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78FD" w14:textId="77777777" w:rsidR="00943E86" w:rsidRDefault="00943E86" w:rsidP="00143700">
      <w:pPr>
        <w:pStyle w:val="Heading3"/>
      </w:pPr>
      <w:r>
        <w:t>Supplementary Material Methods</w:t>
      </w:r>
    </w:p>
    <w:p w14:paraId="71DC7E83" w14:textId="77777777" w:rsidR="00143700" w:rsidRDefault="00143700" w:rsidP="00143700">
      <w:pPr>
        <w:pStyle w:val="Heading3"/>
      </w:pPr>
      <w:r>
        <w:t>1.</w:t>
      </w:r>
      <w:r w:rsidR="00943E86">
        <w:t>1</w:t>
      </w:r>
      <w:r>
        <w:t xml:space="preserve">. Acoustic telemetry detections analysis </w:t>
      </w:r>
    </w:p>
    <w:p w14:paraId="32EE6A7E" w14:textId="20A3E2E0" w:rsidR="00143700" w:rsidRDefault="00143700" w:rsidP="00143700">
      <w:pPr>
        <w:ind w:firstLine="720"/>
      </w:pPr>
      <w:r>
        <w:t xml:space="preserve">Minimum lag filters </w:t>
      </w:r>
      <w:r w:rsidR="00EF47FF" w:rsidRPr="00EF47FF">
        <w:t>remove</w:t>
      </w:r>
      <w:r w:rsidR="008646D5">
        <w:t>d</w:t>
      </w:r>
      <w:r w:rsidR="00EF47FF" w:rsidRPr="00EF47FF">
        <w:t xml:space="preserve"> detection which f</w:t>
      </w:r>
      <w:r w:rsidR="008646D5">
        <w:t>e</w:t>
      </w:r>
      <w:r w:rsidR="00EF47FF" w:rsidRPr="00EF47FF">
        <w:t xml:space="preserve">ll within the minimum and maximum delays (double detection) </w:t>
      </w:r>
      <w:r>
        <w:t>or</w:t>
      </w:r>
      <w:r w:rsidRPr="00977BD7">
        <w:t xml:space="preserve"> </w:t>
      </w:r>
      <w:r w:rsidR="00EF47FF" w:rsidRPr="00EF47FF">
        <w:t>exceed</w:t>
      </w:r>
      <w:r w:rsidR="008646D5">
        <w:t>ed</w:t>
      </w:r>
      <w:r w:rsidR="00EF47FF" w:rsidRPr="00EF47FF">
        <w:t xml:space="preserve"> a duration threshold </w:t>
      </w:r>
      <w:r w:rsidRPr="00977BD7">
        <w:t>30 times the nominal delay (e.g., 3600 s for a transmitter with a 120 s nominal delay</w:t>
      </w:r>
      <w:r>
        <w:t xml:space="preserve">; </w:t>
      </w:r>
      <w:r w:rsidR="00EF47FF">
        <w:t xml:space="preserve">false detection; </w:t>
      </w:r>
      <w:proofErr w:type="spellStart"/>
      <w:r>
        <w:t>Pincock</w:t>
      </w:r>
      <w:proofErr w:type="spellEnd"/>
      <w:r>
        <w:t xml:space="preserve"> 2012).</w:t>
      </w:r>
    </w:p>
    <w:p w14:paraId="7F7823D5" w14:textId="77777777" w:rsidR="00143700" w:rsidRDefault="00143700" w:rsidP="00143700">
      <w:pPr>
        <w:pStyle w:val="Heading3"/>
      </w:pPr>
      <w:r>
        <w:t xml:space="preserve">1.2 Standard and Active Metabolism Calculations </w:t>
      </w:r>
    </w:p>
    <w:p w14:paraId="3F03AE32" w14:textId="77777777" w:rsidR="00143700" w:rsidRDefault="00143700" w:rsidP="00143700">
      <w:pPr>
        <w:pStyle w:val="Heading4"/>
      </w:pPr>
      <w:r>
        <w:t xml:space="preserve">1.2.1 Standard Metabolism </w:t>
      </w:r>
    </w:p>
    <w:p w14:paraId="0B3E8BE9" w14:textId="2A5727C6" w:rsidR="00143700" w:rsidRDefault="00143700" w:rsidP="00143700">
      <w:pPr>
        <w:rPr>
          <w:rFonts w:eastAsiaTheme="minorEastAsia"/>
        </w:rPr>
      </w:pPr>
      <w:r>
        <w:t>Estimates of SMR for tagged Lake Trout in Lake Papineau were determined using equation</w:t>
      </w:r>
      <w:r>
        <w:rPr>
          <w:rFonts w:eastAsiaTheme="minorEastAsia"/>
        </w:rPr>
        <w:t xml:space="preserve"> (</w:t>
      </w:r>
      <w:r w:rsidR="008646D5">
        <w:rPr>
          <w:rFonts w:eastAsiaTheme="minorEastAsia"/>
        </w:rPr>
        <w:t>1</w:t>
      </w:r>
      <w:r>
        <w:rPr>
          <w:rFonts w:eastAsiaTheme="minorEastAsia"/>
        </w:rPr>
        <w:t xml:space="preserve">) </w:t>
      </w:r>
    </w:p>
    <w:p w14:paraId="798A11A7" w14:textId="2A34B7C8" w:rsidR="00143700" w:rsidRPr="00F42021" w:rsidRDefault="00143700" w:rsidP="00143700">
      <w:pPr>
        <w:rPr>
          <w:rFonts w:eastAsiaTheme="minorEastAsia"/>
        </w:rPr>
      </w:pPr>
      <w:r>
        <w:rPr>
          <w:rFonts w:eastAsiaTheme="minorEastAsia"/>
        </w:rPr>
        <w:t>(</w:t>
      </w:r>
      <w:r w:rsidR="008646D5">
        <w:rPr>
          <w:rFonts w:eastAsiaTheme="minorEastAsia"/>
        </w:rPr>
        <w:t>1</w:t>
      </w:r>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SMR</m:t>
        </m:r>
        <m:r>
          <w:rPr>
            <w:rFonts w:ascii="Cambria Math" w:hAnsi="Cambria Math"/>
          </w:rPr>
          <m:t xml:space="preserve"> =</m:t>
        </m:r>
        <m:d>
          <m:dPr>
            <m:ctrlPr>
              <w:rPr>
                <w:rFonts w:ascii="Cambria Math" w:hAnsi="Cambria Math"/>
                <w:i/>
              </w:rPr>
            </m:ctrlPr>
          </m:dPr>
          <m:e>
            <m:r>
              <w:rPr>
                <w:rFonts w:ascii="Cambria Math" w:hAnsi="Cambria Math"/>
              </w:rPr>
              <m:t>46.072 ×</m:t>
            </m:r>
            <m:sSup>
              <m:sSupPr>
                <m:ctrlPr>
                  <w:rPr>
                    <w:rFonts w:ascii="Cambria Math" w:hAnsi="Cambria Math"/>
                    <w:i/>
                  </w:rPr>
                </m:ctrlPr>
              </m:sSupPr>
              <m:e>
                <m:r>
                  <w:rPr>
                    <w:rFonts w:ascii="Cambria Math" w:hAnsi="Cambria Math"/>
                  </w:rPr>
                  <m:t>e</m:t>
                </m:r>
              </m:e>
              <m:sup>
                <m:r>
                  <w:rPr>
                    <w:rFonts w:ascii="Cambria Math" w:hAnsi="Cambria Math"/>
                  </w:rPr>
                  <m:t>0.0607 × T</m:t>
                </m:r>
              </m:sup>
            </m:sSup>
          </m:e>
        </m:d>
        <m:r>
          <w:rPr>
            <w:rFonts w:ascii="Cambria Math" w:hAnsi="Cambria Math"/>
          </w:rPr>
          <m:t xml:space="preserve"> </m:t>
        </m:r>
      </m:oMath>
    </w:p>
    <w:p w14:paraId="40D433B8" w14:textId="7E05FDFC" w:rsidR="00143700" w:rsidRDefault="00143700" w:rsidP="00143700">
      <w:pPr>
        <w:rPr>
          <w:rFonts w:eastAsiaTheme="minorEastAsia"/>
        </w:rPr>
      </w:pPr>
      <w:r>
        <w:rPr>
          <w:rFonts w:eastAsiaTheme="minorEastAsia"/>
        </w:rPr>
        <w:t>derived from Stewart et al. (1983) and Evans (2007) w</w:t>
      </w:r>
      <w:r w:rsidR="008646D5">
        <w:rPr>
          <w:rFonts w:eastAsiaTheme="minorEastAsia"/>
        </w:rPr>
        <w:t>here</w:t>
      </w:r>
      <w:r>
        <w:rPr>
          <w:rFonts w:eastAsiaTheme="minorEastAsia"/>
        </w:rPr>
        <w:t xml:space="preserve"> </w:t>
      </w:r>
      <w:r w:rsidRPr="007A736F">
        <w:rPr>
          <w:rFonts w:eastAsiaTheme="minorEastAsia"/>
          <w:i/>
          <w:iCs/>
        </w:rPr>
        <w:t>T</w:t>
      </w:r>
      <w:r>
        <w:rPr>
          <w:rFonts w:eastAsiaTheme="minorEastAsia"/>
        </w:rPr>
        <w:t xml:space="preserve"> </w:t>
      </w:r>
      <w:r w:rsidR="008646D5">
        <w:rPr>
          <w:rFonts w:eastAsiaTheme="minorEastAsia"/>
        </w:rPr>
        <w:t>is</w:t>
      </w:r>
      <w:r>
        <w:rPr>
          <w:rFonts w:eastAsiaTheme="minorEastAsia"/>
        </w:rPr>
        <w:t xml:space="preserve"> water temperature (°C). SMR was corrected for </w:t>
      </w:r>
      <w:proofErr w:type="gramStart"/>
      <w:r>
        <w:rPr>
          <w:rFonts w:eastAsiaTheme="minorEastAsia"/>
        </w:rPr>
        <w:t>each individual</w:t>
      </w:r>
      <w:proofErr w:type="gramEnd"/>
      <w:r>
        <w:rPr>
          <w:rFonts w:eastAsiaTheme="minorEastAsia"/>
        </w:rPr>
        <w:t xml:space="preserve"> by adjusting for body mass using equation (</w:t>
      </w:r>
      <w:r w:rsidR="008646D5">
        <w:rPr>
          <w:rFonts w:eastAsiaTheme="minorEastAsia"/>
        </w:rPr>
        <w:t>2</w:t>
      </w:r>
      <w:r>
        <w:rPr>
          <w:rFonts w:eastAsiaTheme="minorEastAsia"/>
        </w:rPr>
        <w:t>)</w:t>
      </w:r>
    </w:p>
    <w:p w14:paraId="27D10405" w14:textId="7B2AA96A" w:rsidR="00143700" w:rsidRDefault="00143700" w:rsidP="00143700">
      <w:pPr>
        <w:rPr>
          <w:rFonts w:eastAsiaTheme="minorEastAsia"/>
        </w:rPr>
      </w:pPr>
      <w:r>
        <w:rPr>
          <w:rFonts w:eastAsiaTheme="minorEastAsia"/>
        </w:rPr>
        <w:t>(</w:t>
      </w:r>
      <w:r w:rsidR="008646D5">
        <w:rPr>
          <w:rFonts w:eastAsiaTheme="minorEastAsia"/>
        </w:rPr>
        <w:t>2</w:t>
      </w: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SMR</m:t>
            </m:r>
          </m:e>
          <m:sub>
            <m:r>
              <w:rPr>
                <w:rFonts w:ascii="Cambria Math" w:eastAsiaTheme="minorEastAsia" w:hAnsi="Cambria Math"/>
              </w:rPr>
              <m:t>w</m:t>
            </m:r>
          </m:sub>
        </m:sSub>
        <m:r>
          <w:rPr>
            <w:rFonts w:ascii="Cambria Math" w:hAnsi="Cambria Math"/>
          </w:rPr>
          <m:t>=SMR×</m:t>
        </m:r>
        <m:d>
          <m:dPr>
            <m:ctrlPr>
              <w:rPr>
                <w:rFonts w:ascii="Cambria Math" w:hAnsi="Cambria Math"/>
                <w:i/>
              </w:rPr>
            </m:ctrlPr>
          </m:dPr>
          <m:e>
            <m:r>
              <w:rPr>
                <w:rFonts w:ascii="Cambria Math" w:hAnsi="Cambria Math"/>
              </w:rPr>
              <m:t>0.1</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0.1</m:t>
                    </m:r>
                  </m:den>
                </m:f>
              </m:e>
            </m:d>
          </m:e>
          <m:sup>
            <m:r>
              <w:rPr>
                <w:rFonts w:ascii="Cambria Math" w:hAnsi="Cambria Math"/>
              </w:rPr>
              <m:t>0.85</m:t>
            </m:r>
          </m:sup>
        </m:sSup>
      </m:oMath>
    </w:p>
    <w:p w14:paraId="1893F60E" w14:textId="5C426F54" w:rsidR="00143700" w:rsidRDefault="00143700" w:rsidP="00143700">
      <w:pPr>
        <w:rPr>
          <w:rFonts w:eastAsiaTheme="minorEastAsia"/>
        </w:rPr>
      </w:pPr>
      <w:r>
        <w:rPr>
          <w:rFonts w:eastAsiaTheme="minorEastAsia"/>
        </w:rPr>
        <w:t xml:space="preserve">derived from Peters (1983), </w:t>
      </w:r>
      <w:proofErr w:type="spellStart"/>
      <w:r>
        <w:rPr>
          <w:rFonts w:eastAsiaTheme="minorEastAsia"/>
        </w:rPr>
        <w:t>Sandblom</w:t>
      </w:r>
      <w:proofErr w:type="spellEnd"/>
      <w:r>
        <w:rPr>
          <w:rFonts w:eastAsiaTheme="minorEastAsia"/>
        </w:rPr>
        <w:t xml:space="preserve"> et al. (2014), and Cruz-Font et al. (2016), w</w:t>
      </w:r>
      <w:r w:rsidR="008646D5">
        <w:rPr>
          <w:rFonts w:eastAsiaTheme="minorEastAsia"/>
        </w:rPr>
        <w:t>here</w:t>
      </w:r>
      <w:r>
        <w:rPr>
          <w:rFonts w:eastAsiaTheme="minorEastAsia"/>
        </w:rPr>
        <w:t xml:space="preserve"> </w:t>
      </w:r>
      <w:r w:rsidRPr="007A736F">
        <w:rPr>
          <w:rFonts w:eastAsiaTheme="minorEastAsia"/>
          <w:i/>
          <w:iCs/>
        </w:rPr>
        <w:t>W</w:t>
      </w:r>
      <w:r>
        <w:rPr>
          <w:rFonts w:eastAsiaTheme="minorEastAsia"/>
        </w:rPr>
        <w:t xml:space="preserve"> </w:t>
      </w:r>
      <w:r w:rsidR="008646D5">
        <w:rPr>
          <w:rFonts w:eastAsiaTheme="minorEastAsia"/>
        </w:rPr>
        <w:t>is</w:t>
      </w:r>
      <w:r>
        <w:rPr>
          <w:rFonts w:eastAsiaTheme="minorEastAsia"/>
        </w:rPr>
        <w:t xml:space="preserve"> the mass of the fish (kg). Standard metabolism is allometrically related to body size and is often described with an exponent scaling factor (Peters 1983). </w:t>
      </w:r>
      <w:r>
        <w:rPr>
          <w:iCs/>
        </w:rPr>
        <w:t xml:space="preserve">Several studies have tested standard metabolism in Lake Tout and have come to a consensus </w:t>
      </w:r>
      <w:r w:rsidR="008646D5">
        <w:rPr>
          <w:iCs/>
        </w:rPr>
        <w:t>for the</w:t>
      </w:r>
      <w:r>
        <w:rPr>
          <w:iCs/>
        </w:rPr>
        <w:t xml:space="preserve"> exponent scaling factor of </w:t>
      </w:r>
      <w:r>
        <w:rPr>
          <w:rFonts w:eastAsiaTheme="minorEastAsia"/>
        </w:rPr>
        <w:t xml:space="preserve">0.85 </w:t>
      </w:r>
      <w:r w:rsidR="000273EB">
        <w:rPr>
          <w:iCs/>
        </w:rPr>
        <w:fldChar w:fldCharType="begin"/>
      </w:r>
      <w:r>
        <w:rPr>
          <w:iCs/>
        </w:rPr>
        <w:instrText xml:space="preserve"> ADDIN ZOTERO_ITEM CSL_CITATION {"citationID":"wC9Dr9FA","properties":{"formattedCitation":"(Beamish et al. 1989; Evans 2007; Cruz-Font et al. 2016)","plainCitation":"(Beamish et al. 1989; Evans 2007; Cruz-Font et al. 2016)","noteIndex":0},"citationItems":[{"id":166,"uris":["http://zotero.org/users/9968347/items/BQLQP7K2"],"itemData":{"id":166,"type":"article-journal","abstract":"Juvenile lake trout of similar size were fed 1 of 3 isocaloric diets, each differing in protein and lipid content. Oxygen consumption for a given speed did not differ significantly throughout the feeding trial nor among diets, implying a similarity in the quality and quantity of substrate catabolized for energy. Basal metabolism (0 cm.s-1) was also independent of diet and feeding interval. Critical swimming speed increased with dietary and carcass protein content to suggest a direct association with muscle mass and number of myofilaments. -from Authors","container-title":"Canadian Journal of Fisheries and Aquatic Sciences","DOI":"10.1139/f89-050","ISSN":"0706-652X","issue":"3","page":"384–388","title":"Impact of diet on metabolism and swimming performance in juvenile lake trout, Salvelinus namaycush","volume":"46","author":[{"family":"Beamish","given":"F. W.H."},{"family":"Howlett","given":"J. C."},{"family":"Medland","given":"T. E."}],"issued":{"date-parts":[["1989"]]}}},{"id":2950,"uris":["http://zotero.org/users/9968347/items/JWT7L7I2"],"itemData":{"id":2950,"type":"article-journal","abstract":"This study develops a quantitative model of the combined effects of temperature and ambient dissolved oxygen on metabolic scope-for-activity and power capacity of juvenile lake trout (Salvelinus namaycush). The model provides a framework for evaluating the effects of hypoxia on the capacity of lake trout to perform critical daily life support activities. Maximum power output for sustained swimming of yearling lake trout occurred at 12-20 </w:instrText>
      </w:r>
      <w:r>
        <w:rPr>
          <w:rFonts w:ascii="Tahoma" w:hAnsi="Tahoma" w:cs="Tahoma"/>
          <w:iCs/>
        </w:rPr>
        <w:instrText>�</w:instrText>
      </w:r>
      <w:r>
        <w:rPr>
          <w:iCs/>
        </w:rPr>
        <w:instrText>C and a dissolved oxygen concentration of &gt;7 mg</w:instrText>
      </w:r>
      <w:r>
        <w:rPr>
          <w:rFonts w:ascii="Tahoma" w:hAnsi="Tahoma" w:cs="Tahoma"/>
          <w:iCs/>
        </w:rPr>
        <w:instrText>�</w:instrText>
      </w:r>
      <w:r>
        <w:rPr>
          <w:iCs/>
        </w:rPr>
        <w:instrText xml:space="preserve">L-1. At 4-8 </w:instrText>
      </w:r>
      <w:r>
        <w:rPr>
          <w:rFonts w:ascii="Tahoma" w:hAnsi="Tahoma" w:cs="Tahoma"/>
          <w:iCs/>
        </w:rPr>
        <w:instrText>�</w:instrText>
      </w:r>
      <w:r>
        <w:rPr>
          <w:iCs/>
        </w:rPr>
        <w:instrText>C, temperatures typical of the hypolimnetic summer habitat of juvenile lake trout, maximum power capacity was reduced by 33%, 67%, and 100% at ambient dissolved oxygen concentrations of 7, 5, and 3 mg</w:instrText>
      </w:r>
      <w:r>
        <w:rPr>
          <w:rFonts w:ascii="Tahoma" w:hAnsi="Tahoma" w:cs="Tahoma"/>
          <w:iCs/>
        </w:rPr>
        <w:instrText>�</w:instrText>
      </w:r>
      <w:r>
        <w:rPr>
          <w:iCs/>
        </w:rPr>
        <w:instrText xml:space="preserve">L-1, respectively. Analysis of power outputs, growth impairment, and recruitment success indicated that attainment of 3/4 power capacity would accommodate most daily life support activities of juvenile lake trout. At 4-14 </w:instrText>
      </w:r>
      <w:r>
        <w:rPr>
          <w:rFonts w:ascii="Tahoma" w:hAnsi="Tahoma" w:cs="Tahoma"/>
          <w:iCs/>
        </w:rPr>
        <w:instrText>�</w:instrText>
      </w:r>
      <w:r>
        <w:rPr>
          <w:iCs/>
        </w:rPr>
        <w:instrText>C, the threshold dissolved oxygen concentration for attainment of 3/4 scope-for-activity varied from 7.5 to 6.6 mg</w:instrText>
      </w:r>
      <w:r>
        <w:rPr>
          <w:rFonts w:ascii="Tahoma" w:hAnsi="Tahoma" w:cs="Tahoma"/>
          <w:iCs/>
        </w:rPr>
        <w:instrText>�</w:instrText>
      </w:r>
      <w:r>
        <w:rPr>
          <w:iCs/>
        </w:rPr>
        <w:instrText xml:space="preserve">L-1, respectively, with a mean and standard deviation of 7.04 </w:instrText>
      </w:r>
      <w:r>
        <w:rPr>
          <w:rFonts w:ascii="Tahoma" w:hAnsi="Tahoma" w:cs="Tahoma"/>
          <w:iCs/>
        </w:rPr>
        <w:instrText>�</w:instrText>
      </w:r>
      <w:r>
        <w:rPr>
          <w:iCs/>
        </w:rPr>
        <w:instrText xml:space="preserve"> 0.33 mg</w:instrText>
      </w:r>
      <w:r>
        <w:rPr>
          <w:rFonts w:ascii="Tahoma" w:hAnsi="Tahoma" w:cs="Tahoma"/>
          <w:iCs/>
        </w:rPr>
        <w:instrText>�</w:instrText>
      </w:r>
      <w:r>
        <w:rPr>
          <w:iCs/>
        </w:rPr>
        <w:instrText>L-1. A dissolved oxygen criterion of 7 mg</w:instrText>
      </w:r>
      <w:r>
        <w:rPr>
          <w:rFonts w:ascii="Tahoma" w:hAnsi="Tahoma" w:cs="Tahoma"/>
          <w:iCs/>
        </w:rPr>
        <w:instrText>�</w:instrText>
      </w:r>
      <w:r>
        <w:rPr>
          <w:iCs/>
        </w:rPr>
        <w:instrText xml:space="preserve">L-1 is recommended for protection of the hypolimnetic habitat of juvenile lake trout","container-title":"Canadian Journal of Fisheries and Aquatic Sciences","DOI":"10.1139/f07-007","ISSN":"0706-652X","issue":"2","page":"345–361","title":"Effects of hypoxia on scope-for-activity and power capacity of lake trout (Salvelinus namaycush)","volume":"64","author":[{"family":"Evans","given":"David O"}],"issued":{"date-parts":[["2007",2]]}}},{"id":"UMWbcuc2/8sMdcOin","uris":["http://www.mendeley.com/documents/?uuid=be70e3f7-027f-4d2b-98ae-bfe2ba6501bf"],"itemData":{"DOI":"10.1139/cjfas-2015-0323","ISBN":"0706-652x","ISSN":"0706-652X","abstract":"Acceleration telemetry transmitters offer the opportunity to estimate the cost of behaviours in free-ranging fishes, but a methodology to translate acceleration data into metabolic equivalents is still needed. This study extends previous calibration studies, explores how well tail-beat frequency transmitters fulfill their role, and presents a procedure to convert acceleration data into metabolic cost within a framework consistent with traditional fish bioenergetics models and thus facilitates comparisons of energetic costs between natural fish populations. These objectives were achieved by comparing data from lake trout (Salvelinus namaycush) in a laboratory setting with data from three natural populations. In the laboratory, tail-beat frequency, acceleration values, and oxygen consumption increased progressively with swimming speed. In the wild, individual swimming speeds estimated from positional telemetry were consistently underestimated by, but positively related to, transmitter-based acceleration values. The proposed rationale to estimate metabolic rate from acceleration data accounts for variation in fish mass and environmental temperature. We demonstrated how this novel method permits comparison of metabolic costs associated with the levels of activity typical of lake trout living in two different lakes.","author":[{"dropping-particle":"","family":"Cruz-Font","given":"Liset","non-dropping-particle":"","parse-names":false,"suffix":""},{"dropping-particle":"","family":"Shuter","given":"Brian J","non-dropping-particle":"","parse-names":false,"suffix":""},{"dropping-particle":"","family":"Blanchfield","given":"Paul J","non-dropping-particle":"","parse-names":false,"suffix":""}],"container-title":"Canadian Journal of Fisheries and Aquatic Sciences","id":"CCrmxwx8/Rrm75cQe","issue":"8","issued":{"date-parts":[["2016","8"]]},"page":"1237-1250","title":"Energetic costs of activity in wild lake trout: a calibration study using acceleration transmitters and positional telemetry","type":"article-journal","volume":"73"}}],"schema":"https://github.com/citation-style-language/schema/raw/master/csl-citation.json"} </w:instrText>
      </w:r>
      <w:r w:rsidR="000273EB">
        <w:rPr>
          <w:iCs/>
        </w:rPr>
        <w:fldChar w:fldCharType="separate"/>
      </w:r>
      <w:r w:rsidRPr="00525EAF">
        <w:rPr>
          <w:rFonts w:cs="Times New Roman"/>
        </w:rPr>
        <w:t>(Beamish et al. 1989; Evans 2007; Cruz-Font et al. 2016)</w:t>
      </w:r>
      <w:r w:rsidR="000273EB">
        <w:rPr>
          <w:iCs/>
        </w:rPr>
        <w:fldChar w:fldCharType="end"/>
      </w:r>
      <w:r>
        <w:rPr>
          <w:rFonts w:eastAsiaTheme="minorEastAsia"/>
        </w:rPr>
        <w:t>.</w:t>
      </w:r>
    </w:p>
    <w:p w14:paraId="7F534070" w14:textId="77777777" w:rsidR="00143700" w:rsidRPr="00856343" w:rsidRDefault="00143700" w:rsidP="00143700">
      <w:pPr>
        <w:pStyle w:val="Heading4"/>
        <w:rPr>
          <w:rStyle w:val="Heading4Char"/>
          <w:i/>
          <w:iCs/>
        </w:rPr>
      </w:pPr>
      <w:r>
        <w:t>1.2.2</w:t>
      </w:r>
      <w:r w:rsidRPr="00856343">
        <w:t xml:space="preserve"> A</w:t>
      </w:r>
      <w:r w:rsidRPr="00856343">
        <w:rPr>
          <w:rStyle w:val="Heading4Char"/>
          <w:i/>
          <w:iCs/>
        </w:rPr>
        <w:t xml:space="preserve">ctive Metabolism </w:t>
      </w:r>
    </w:p>
    <w:p w14:paraId="37DC0239" w14:textId="1B0C74D9" w:rsidR="00143700" w:rsidRPr="001720F4" w:rsidRDefault="00143700" w:rsidP="00143700">
      <w:pPr>
        <w:ind w:firstLine="720"/>
        <w:rPr>
          <w:rFonts w:eastAsiaTheme="minorEastAsia"/>
        </w:rPr>
      </w:pPr>
      <w:r>
        <w:rPr>
          <w:rFonts w:eastAsiaTheme="minorEastAsia"/>
        </w:rPr>
        <w:t xml:space="preserve">Estimates of </w:t>
      </w:r>
      <w:r w:rsidR="00BD1FF0">
        <w:rPr>
          <w:rFonts w:eastAsiaTheme="minorEastAsia"/>
        </w:rPr>
        <w:t>RMR</w:t>
      </w:r>
      <w:r>
        <w:rPr>
          <w:rFonts w:eastAsiaTheme="minorEastAsia"/>
        </w:rPr>
        <w:t xml:space="preserve"> for tagged Lake Trout in Lake Papineau were determined using statistical models </w:t>
      </w:r>
      <w:r w:rsidR="008646D5">
        <w:rPr>
          <w:rFonts w:eastAsiaTheme="minorEastAsia"/>
        </w:rPr>
        <w:t xml:space="preserve">described in </w:t>
      </w:r>
      <w:r>
        <w:rPr>
          <w:rFonts w:eastAsiaTheme="minorEastAsia"/>
        </w:rPr>
        <w:t xml:space="preserve">Cruz-Font et al. (2016). They implanted Lake Tout with accelerometer acoustic transmitters </w:t>
      </w:r>
      <w:r w:rsidR="008646D5">
        <w:rPr>
          <w:rFonts w:eastAsiaTheme="minorEastAsia"/>
        </w:rPr>
        <w:t xml:space="preserve">and </w:t>
      </w:r>
      <w:r>
        <w:rPr>
          <w:rFonts w:eastAsiaTheme="minorEastAsia"/>
        </w:rPr>
        <w:t xml:space="preserve">then measured different swim speeds (ss) in a respirometry swim tunnel, allowing for acceleration (ac) to be modeled by swim speed (ss) using </w:t>
      </w:r>
      <w:r>
        <w:rPr>
          <w:rFonts w:eastAsiaTheme="minorEastAsia"/>
        </w:rPr>
        <w:lastRenderedPageBreak/>
        <w:t>a linear mixed-effects model.</w:t>
      </w:r>
      <w:r>
        <w:rPr>
          <w:rFonts w:eastAsiaTheme="minorEastAsia"/>
        </w:rPr>
        <w:br/>
        <w:t>(3)</w:t>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[ss]</m:t>
            </m:r>
          </m:e>
        </m:func>
        <m:r>
          <w:rPr>
            <w:rFonts w:ascii="Cambria Math" w:eastAsiaTheme="minorEastAsia" w:hAnsi="Cambria Math"/>
          </w:rPr>
          <m:t>=0.91+0.46 ×</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[ac]</m:t>
            </m:r>
          </m:e>
        </m:func>
      </m:oMath>
    </w:p>
    <w:p w14:paraId="0E4E102A" w14:textId="4B9FE46B" w:rsidR="00143700" w:rsidRDefault="00143700" w:rsidP="00143700">
      <w:pPr>
        <w:rPr>
          <w:rFonts w:eastAsiaTheme="minorEastAsia"/>
        </w:rPr>
      </w:pPr>
      <w:r>
        <w:rPr>
          <w:rFonts w:eastAsiaTheme="minorEastAsia"/>
        </w:rPr>
        <w:t>We used log</w:t>
      </w:r>
      <w:r>
        <w:rPr>
          <w:rFonts w:eastAsiaTheme="minorEastAsia"/>
          <w:vertAlign w:val="subscript"/>
        </w:rPr>
        <w:t>10</w:t>
      </w:r>
      <w:r>
        <w:rPr>
          <w:rFonts w:eastAsiaTheme="minorEastAsia"/>
        </w:rPr>
        <w:t xml:space="preserve"> transformed raw </w:t>
      </w:r>
      <w:r w:rsidR="00F81374">
        <w:rPr>
          <w:rFonts w:eastAsiaTheme="minorEastAsia"/>
        </w:rPr>
        <w:t xml:space="preserve">acceleration values </w:t>
      </w:r>
      <w:r w:rsidR="00EF47FF">
        <w:rPr>
          <w:rFonts w:eastAsiaTheme="minorEastAsia"/>
        </w:rPr>
        <w:t>[</w:t>
      </w:r>
      <w:r w:rsidR="00EF47FF" w:rsidRPr="00EC5E4F">
        <w:rPr>
          <w:rFonts w:eastAsiaTheme="minorEastAsia"/>
          <w:i/>
          <w:iCs/>
        </w:rPr>
        <w:t>log</w:t>
      </w:r>
      <w:r w:rsidR="00EF47FF" w:rsidRPr="00EC5E4F">
        <w:rPr>
          <w:rFonts w:eastAsiaTheme="minorEastAsia"/>
          <w:i/>
          <w:iCs/>
          <w:vertAlign w:val="subscript"/>
        </w:rPr>
        <w:t>10</w:t>
      </w:r>
      <w:r w:rsidR="00EF47FF" w:rsidRPr="00EC5E4F">
        <w:rPr>
          <w:rFonts w:eastAsiaTheme="minorEastAsia"/>
          <w:i/>
          <w:iCs/>
        </w:rPr>
        <w:t>[ac</w:t>
      </w:r>
      <w:r w:rsidR="00EF47FF">
        <w:rPr>
          <w:rFonts w:eastAsiaTheme="minorEastAsia"/>
          <w:i/>
          <w:iCs/>
        </w:rPr>
        <w:t>]</w:t>
      </w:r>
      <w:r w:rsidR="00EF47FF">
        <w:rPr>
          <w:rFonts w:eastAsiaTheme="minorEastAsia"/>
        </w:rPr>
        <w:t xml:space="preserve">; </w:t>
      </w:r>
      <w:r w:rsidR="00F81374">
        <w:t>0</w:t>
      </w:r>
      <w:r w:rsidR="00F81374" w:rsidRPr="006427D2">
        <w:t>–</w:t>
      </w:r>
      <w:r w:rsidR="00F81374" w:rsidRPr="00175B14">
        <w:t>255</w:t>
      </w:r>
      <w:r w:rsidR="00F81374">
        <w:t xml:space="preserve"> </w:t>
      </w:r>
      <w:r w:rsidR="00F81374" w:rsidRPr="00175B14">
        <w:t>arbitrary units</w:t>
      </w:r>
      <w:r w:rsidR="00F81374">
        <w:t>; (</w:t>
      </w:r>
      <w:proofErr w:type="spellStart"/>
      <w:r w:rsidR="00F81374">
        <w:t>a.u</w:t>
      </w:r>
      <w:proofErr w:type="spellEnd"/>
      <w:r w:rsidR="00F81374">
        <w:t>.)</w:t>
      </w:r>
      <w:r w:rsidR="00EF47FF">
        <w:t>]</w:t>
      </w:r>
      <w:r w:rsidR="00F81374">
        <w:t>, which</w:t>
      </w:r>
      <w:r w:rsidR="00F81374" w:rsidRPr="00175B14">
        <w:t xml:space="preserve"> </w:t>
      </w:r>
      <w:r w:rsidR="00F81374">
        <w:t>are</w:t>
      </w:r>
      <w:r w:rsidR="00F81374" w:rsidRPr="00175B14">
        <w:t xml:space="preserve"> linearly</w:t>
      </w:r>
      <w:r w:rsidR="00F81374">
        <w:t xml:space="preserve"> </w:t>
      </w:r>
      <w:r w:rsidR="00F81374" w:rsidRPr="00175B14">
        <w:t>related to</w:t>
      </w:r>
      <w:r w:rsidR="00F81374">
        <w:t xml:space="preserve"> the </w:t>
      </w:r>
      <w:r w:rsidR="00F81374" w:rsidRPr="00175B14">
        <w:t>acceleration</w:t>
      </w:r>
      <w:r w:rsidR="00F81374">
        <w:t xml:space="preserve"> </w:t>
      </w:r>
      <m:oMath>
        <m:r>
          <w:rPr>
            <w:rFonts w:ascii="Cambria Math" w:hAnsi="Cambria Math"/>
          </w:rPr>
          <m:t>[accleation</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=0+0.01922(a.u.)</m:t>
        </m:r>
      </m:oMath>
      <w:r w:rsidR="00F81374">
        <w:rPr>
          <w:rFonts w:eastAsiaTheme="minorEastAsia"/>
        </w:rPr>
        <w:t>]</w:t>
      </w:r>
      <w:r w:rsidR="00EF47FF">
        <w:t xml:space="preserve"> </w:t>
      </w:r>
      <w:r>
        <w:rPr>
          <w:rFonts w:eastAsiaTheme="minorEastAsia"/>
        </w:rPr>
        <w:t xml:space="preserve">from Lake Papineau, Lake Trout implanted with accelerometer acoustic transmitters, to derive </w:t>
      </w:r>
      <w:r w:rsidRPr="001E5E7D">
        <w:rPr>
          <w:rFonts w:eastAsiaTheme="minorEastAsia"/>
          <w:i/>
          <w:iCs/>
        </w:rPr>
        <w:t>log</w:t>
      </w:r>
      <w:r w:rsidRPr="001E5E7D">
        <w:rPr>
          <w:rFonts w:eastAsiaTheme="minorEastAsia"/>
          <w:i/>
          <w:iCs/>
          <w:vertAlign w:val="subscript"/>
        </w:rPr>
        <w:t>10</w:t>
      </w:r>
      <w:r w:rsidRPr="001E5E7D">
        <w:rPr>
          <w:rFonts w:eastAsiaTheme="minorEastAsia"/>
          <w:i/>
          <w:iCs/>
        </w:rPr>
        <w:t>[ss]</w:t>
      </w:r>
      <w:r>
        <w:rPr>
          <w:rFonts w:eastAsiaTheme="minorEastAsia"/>
        </w:rPr>
        <w:t xml:space="preserve">. </w:t>
      </w:r>
      <w:r w:rsidR="008646D5">
        <w:rPr>
          <w:rFonts w:eastAsiaTheme="minorEastAsia"/>
        </w:rPr>
        <w:t>Cruz-Font et al. (2016)</w:t>
      </w:r>
      <w:r>
        <w:rPr>
          <w:rFonts w:eastAsiaTheme="minorEastAsia"/>
        </w:rPr>
        <w:t xml:space="preserve"> then related </w:t>
      </w:r>
      <w:r w:rsidRPr="00EF17A7">
        <w:rPr>
          <w:rFonts w:eastAsiaTheme="minorEastAsia"/>
          <w:i/>
          <w:iCs/>
        </w:rPr>
        <w:t>log</w:t>
      </w:r>
      <w:r w:rsidRPr="00EF17A7">
        <w:rPr>
          <w:rFonts w:eastAsiaTheme="minorEastAsia"/>
          <w:i/>
          <w:iCs/>
          <w:vertAlign w:val="subscript"/>
        </w:rPr>
        <w:t>10</w:t>
      </w:r>
      <w:r w:rsidRPr="00EF17A7">
        <w:rPr>
          <w:rFonts w:eastAsiaTheme="minorEastAsia"/>
          <w:i/>
          <w:iCs/>
        </w:rPr>
        <w:t>[ss]</w:t>
      </w:r>
      <w:r>
        <w:rPr>
          <w:rFonts w:eastAsiaTheme="minorEastAsia"/>
        </w:rPr>
        <w:t xml:space="preserve"> measurements to observed measurements of </w:t>
      </w:r>
      <w:r w:rsidRPr="00EF17A7">
        <w:rPr>
          <w:rFonts w:eastAsiaTheme="minorEastAsia"/>
          <w:i/>
          <w:iCs/>
        </w:rPr>
        <w:t>log</w:t>
      </w:r>
      <w:r w:rsidRPr="00EF17A7">
        <w:rPr>
          <w:rFonts w:eastAsiaTheme="minorEastAsia"/>
          <w:i/>
          <w:iCs/>
          <w:vertAlign w:val="subscript"/>
        </w:rPr>
        <w:t>10</w:t>
      </w:r>
      <w:r w:rsidRPr="00EF17A7">
        <w:rPr>
          <w:rFonts w:eastAsiaTheme="minorEastAsia"/>
          <w:i/>
          <w:iCs/>
        </w:rPr>
        <w:t>[MO</w:t>
      </w:r>
      <w:r w:rsidRPr="00EF17A7">
        <w:rPr>
          <w:rFonts w:eastAsiaTheme="minorEastAsia"/>
          <w:i/>
          <w:iCs/>
          <w:vertAlign w:val="subscript"/>
        </w:rPr>
        <w:t>2</w:t>
      </w:r>
      <w:r w:rsidRPr="00EF17A7">
        <w:rPr>
          <w:rFonts w:eastAsiaTheme="minorEastAsia"/>
          <w:i/>
          <w:iCs/>
        </w:rPr>
        <w:t>]</w:t>
      </w:r>
      <w:r>
        <w:rPr>
          <w:rFonts w:eastAsiaTheme="minorEastAsia"/>
        </w:rPr>
        <w:t xml:space="preserve"> and modeled their results using </w:t>
      </w:r>
      <w:r w:rsidR="008646D5">
        <w:rPr>
          <w:rFonts w:eastAsiaTheme="minorEastAsia"/>
        </w:rPr>
        <w:t>the</w:t>
      </w:r>
      <w:r>
        <w:rPr>
          <w:rFonts w:eastAsiaTheme="minorEastAsia"/>
        </w:rPr>
        <w:t xml:space="preserve"> </w:t>
      </w:r>
      <w:r w:rsidR="008646D5">
        <w:rPr>
          <w:rFonts w:eastAsiaTheme="minorEastAsia"/>
        </w:rPr>
        <w:t xml:space="preserve">estimated </w:t>
      </w:r>
      <w:r>
        <w:rPr>
          <w:rFonts w:eastAsiaTheme="minorEastAsia"/>
        </w:rPr>
        <w:t>linear mixed-effects</w:t>
      </w:r>
      <w:r w:rsidR="008646D5">
        <w:rPr>
          <w:rFonts w:eastAsiaTheme="minorEastAsia"/>
        </w:rPr>
        <w:t xml:space="preserve"> equation:</w:t>
      </w:r>
      <w:r>
        <w:rPr>
          <w:rFonts w:eastAsiaTheme="minorEastAsia"/>
        </w:rPr>
        <w:t xml:space="preserve"> </w:t>
      </w:r>
    </w:p>
    <w:p w14:paraId="63CECB5C" w14:textId="77777777" w:rsidR="00143700" w:rsidRPr="00EC5E4F" w:rsidRDefault="00143700" w:rsidP="00143700">
      <w:pPr>
        <w:rPr>
          <w:rFonts w:eastAsiaTheme="minorEastAsia"/>
          <w:i/>
        </w:rPr>
      </w:pPr>
      <w:r>
        <w:rPr>
          <w:rFonts w:eastAsiaTheme="minorEastAsia"/>
        </w:rPr>
        <w:t xml:space="preserve">(4) </w:t>
      </w:r>
      <w:r>
        <w:rPr>
          <w:rFonts w:eastAsiaTheme="minorEastAsia"/>
        </w:rPr>
        <w:tab/>
      </w:r>
      <w:r>
        <w:rPr>
          <w:rFonts w:eastAsiaTheme="minorEastAsia"/>
        </w:rPr>
        <w:tab/>
      </w:r>
      <w:r>
        <w:rPr>
          <w:rFonts w:eastAsiaTheme="minorEastAsia"/>
        </w:rPr>
        <w:tab/>
      </w:r>
      <w:r>
        <w:rPr>
          <w:rFonts w:eastAsiaTheme="minorEastAsia"/>
        </w:rPr>
        <w:tab/>
      </w:r>
      <m:oMath>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hAnsi="Cambria Math"/>
                  </w:rPr>
                  <m:t>Log</m:t>
                </m:r>
              </m:e>
              <m:sub>
                <m:r>
                  <w:rPr>
                    <w:rFonts w:ascii="Cambria Math" w:eastAsiaTheme="minorEastAsia" w:hAnsi="Cambria Math"/>
                  </w:rPr>
                  <m:t>10</m:t>
                </m:r>
              </m:sub>
            </m:sSub>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MO</m:t>
                    </m:r>
                  </m:e>
                  <m:sub>
                    <m:r>
                      <w:rPr>
                        <w:rFonts w:ascii="Cambria Math" w:eastAsiaTheme="minorEastAsia" w:hAnsi="Cambria Math"/>
                      </w:rPr>
                      <m:t>2</m:t>
                    </m:r>
                  </m:sub>
                </m:sSub>
              </m:e>
            </m:d>
          </m:e>
        </m:func>
        <m:r>
          <w:rPr>
            <w:rFonts w:ascii="Cambria Math" w:eastAsiaTheme="minorEastAsia" w:hAnsi="Cambria Math"/>
          </w:rPr>
          <m:t>= 0.22+1.17×</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[ss+1]</m:t>
            </m:r>
          </m:e>
        </m:func>
      </m:oMath>
      <w:r w:rsidRPr="00EC5E4F">
        <w:rPr>
          <w:rFonts w:eastAsiaTheme="minorEastAsia"/>
          <w:i/>
        </w:rPr>
        <w:t xml:space="preserve"> </w:t>
      </w:r>
    </w:p>
    <w:p w14:paraId="0F5C79CB" w14:textId="500AB49D" w:rsidR="00143700" w:rsidRDefault="00143700" w:rsidP="00143700">
      <w:r>
        <w:rPr>
          <w:rFonts w:eastAsiaTheme="minorEastAsia"/>
        </w:rPr>
        <w:t xml:space="preserve">We took the anti-log of </w:t>
      </w:r>
      <w:r w:rsidRPr="00D64C15">
        <w:rPr>
          <w:rFonts w:eastAsiaTheme="minorEastAsia"/>
          <w:i/>
          <w:iCs/>
        </w:rPr>
        <w:t>log</w:t>
      </w:r>
      <w:r w:rsidRPr="00D64C15">
        <w:rPr>
          <w:rFonts w:eastAsiaTheme="minorEastAsia"/>
          <w:i/>
          <w:iCs/>
          <w:vertAlign w:val="subscript"/>
        </w:rPr>
        <w:t>10</w:t>
      </w:r>
      <w:r w:rsidRPr="00D64C15">
        <w:rPr>
          <w:rFonts w:eastAsiaTheme="minorEastAsia"/>
          <w:i/>
          <w:iCs/>
        </w:rPr>
        <w:t>[ss]</w:t>
      </w:r>
      <w:r>
        <w:rPr>
          <w:rFonts w:eastAsiaTheme="minorEastAsia"/>
        </w:rPr>
        <w:t xml:space="preserve"> values from equation (3) and added 1 to adjust for low swim speeds that would produce negative log</w:t>
      </w:r>
      <w:r>
        <w:rPr>
          <w:rFonts w:eastAsiaTheme="minorEastAsia"/>
          <w:vertAlign w:val="subscript"/>
        </w:rPr>
        <w:t>10</w:t>
      </w:r>
      <w:r>
        <w:rPr>
          <w:rFonts w:eastAsiaTheme="minorEastAsia"/>
        </w:rPr>
        <w:t xml:space="preserve"> values in equation (4). We then took the anti-log of </w:t>
      </w:r>
      <w:r w:rsidRPr="00D64C15">
        <w:rPr>
          <w:rFonts w:eastAsiaTheme="minorEastAsia"/>
          <w:i/>
          <w:iCs/>
        </w:rPr>
        <w:t>log</w:t>
      </w:r>
      <w:r w:rsidRPr="00D64C15">
        <w:rPr>
          <w:rFonts w:eastAsiaTheme="minorEastAsia"/>
          <w:i/>
          <w:iCs/>
          <w:vertAlign w:val="subscript"/>
        </w:rPr>
        <w:t>10</w:t>
      </w:r>
      <w:r w:rsidRPr="00D64C15">
        <w:rPr>
          <w:rFonts w:eastAsiaTheme="minorEastAsia"/>
          <w:i/>
          <w:iCs/>
        </w:rPr>
        <w:t>[MO</w:t>
      </w:r>
      <w:r w:rsidRPr="00D64C15">
        <w:rPr>
          <w:rFonts w:eastAsiaTheme="minorEastAsia"/>
          <w:i/>
          <w:iCs/>
          <w:vertAlign w:val="subscript"/>
        </w:rPr>
        <w:t>2</w:t>
      </w:r>
      <w:r w:rsidRPr="00D64C15">
        <w:rPr>
          <w:rFonts w:eastAsiaTheme="minorEastAsia"/>
          <w:i/>
          <w:iCs/>
        </w:rPr>
        <w:t>]</w:t>
      </w:r>
      <w:r>
        <w:rPr>
          <w:rFonts w:eastAsiaTheme="minorEastAsia"/>
        </w:rPr>
        <w:t xml:space="preserve"> estimates derived from (4) to back-transform estimates of MO</w:t>
      </w:r>
      <w:r>
        <w:rPr>
          <w:rFonts w:eastAsiaTheme="minorEastAsia"/>
          <w:vertAlign w:val="subscript"/>
        </w:rPr>
        <w:t>2</w:t>
      </w:r>
      <w:r>
        <w:rPr>
          <w:rFonts w:eastAsiaTheme="minorEastAsia"/>
        </w:rPr>
        <w:t>. Lastly, MO</w:t>
      </w:r>
      <w:r>
        <w:rPr>
          <w:rFonts w:eastAsiaTheme="minorEastAsia"/>
          <w:vertAlign w:val="subscript"/>
        </w:rPr>
        <w:t>2</w:t>
      </w:r>
      <w:r>
        <w:t xml:space="preserve"> values were weight- and drag-adjusted following Cruz-Font et al. (2016) using </w:t>
      </w:r>
      <w:r w:rsidR="008646D5">
        <w:t xml:space="preserve">the following </w:t>
      </w:r>
      <w:r>
        <w:t>equation</w:t>
      </w:r>
      <w:r w:rsidR="008646D5">
        <w:t>:</w:t>
      </w:r>
      <w:r>
        <w:t xml:space="preserve"> </w:t>
      </w:r>
    </w:p>
    <w:p w14:paraId="69B90D67" w14:textId="616DA95D" w:rsidR="00143700" w:rsidRPr="00D64C15" w:rsidRDefault="00143700" w:rsidP="00143700">
      <w:r>
        <w:t>(</w:t>
      </w:r>
      <w:r w:rsidR="008646D5">
        <w:t>5</w:t>
      </w:r>
      <w:r>
        <w:t xml:space="preserve">) </w:t>
      </w:r>
      <w:r>
        <w:tab/>
      </w:r>
      <w:r>
        <w:tab/>
      </w:r>
      <w:r>
        <w:tab/>
      </w:r>
      <w:r>
        <w:tab/>
      </w:r>
      <m:oMath>
        <m:r>
          <w:rPr>
            <w:rFonts w:ascii="Cambria Math" w:hAnsi="Cambria Math"/>
          </w:rPr>
          <m:t>RMR=</m:t>
        </m:r>
        <m:sSub>
          <m:sSubPr>
            <m:ctrlPr>
              <w:rPr>
                <w:rFonts w:ascii="Cambria Math" w:hAnsi="Cambria Math"/>
                <w:i/>
              </w:rPr>
            </m:ctrlPr>
          </m:sSubPr>
          <m:e>
            <m:r>
              <w:rPr>
                <w:rFonts w:ascii="Cambria Math" w:hAnsi="Cambria Math"/>
              </w:rPr>
              <m:t>MO</m:t>
            </m:r>
          </m:e>
          <m:sub>
            <m:r>
              <w:rPr>
                <w:rFonts w:ascii="Cambria Math" w:hAnsi="Cambria Math"/>
              </w:rPr>
              <m:t>2</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f</m:t>
                        </m:r>
                      </m:sub>
                    </m:sSub>
                  </m:num>
                  <m:den>
                    <m:sSub>
                      <m:sSubPr>
                        <m:ctrlPr>
                          <w:rPr>
                            <w:rFonts w:ascii="Cambria Math" w:hAnsi="Cambria Math"/>
                            <w:i/>
                          </w:rPr>
                        </m:ctrlPr>
                      </m:sSubPr>
                      <m:e>
                        <m:r>
                          <w:rPr>
                            <w:rFonts w:ascii="Cambria Math" w:hAnsi="Cambria Math"/>
                          </w:rPr>
                          <m:t>w</m:t>
                        </m:r>
                      </m:e>
                      <m:sub>
                        <m:r>
                          <w:rPr>
                            <w:rFonts w:ascii="Cambria Math" w:hAnsi="Cambria Math"/>
                          </w:rPr>
                          <m:t>l</m:t>
                        </m:r>
                      </m:sub>
                    </m:sSub>
                  </m:den>
                </m:f>
              </m:e>
            </m:d>
          </m:e>
          <m:sup>
            <m:r>
              <w:rPr>
                <w:rFonts w:ascii="Cambria Math" w:hAnsi="Cambria Math"/>
              </w:rPr>
              <m:t>0.67</m:t>
            </m:r>
          </m:sup>
        </m:sSup>
      </m:oMath>
    </w:p>
    <w:p w14:paraId="7B440C25" w14:textId="1C1D3E3C" w:rsidR="00143700" w:rsidRDefault="00143700" w:rsidP="00143700">
      <w:pPr>
        <w:rPr>
          <w:rFonts w:eastAsiaTheme="minorEastAsia"/>
        </w:rPr>
      </w:pPr>
      <w:r>
        <w:rPr>
          <w:rFonts w:eastAsiaTheme="minorEastAsia"/>
        </w:rPr>
        <w:t xml:space="preserve">where </w:t>
      </w:r>
      <w:proofErr w:type="spellStart"/>
      <w:r w:rsidRPr="00E615E3">
        <w:rPr>
          <w:rFonts w:eastAsiaTheme="minorEastAsia"/>
          <w:i/>
          <w:iCs/>
        </w:rPr>
        <w:t>W</w:t>
      </w:r>
      <w:r w:rsidRPr="00E615E3">
        <w:rPr>
          <w:rFonts w:eastAsiaTheme="minorEastAsia"/>
          <w:i/>
          <w:iCs/>
          <w:vertAlign w:val="subscript"/>
        </w:rPr>
        <w:t>f</w:t>
      </w:r>
      <w:proofErr w:type="spellEnd"/>
      <w:r>
        <w:rPr>
          <w:rFonts w:eastAsiaTheme="minorEastAsia"/>
        </w:rPr>
        <w:t xml:space="preserve"> is the weight (kg) of a Lake Papineau Lake Trout implanted with an accelerometer acoustic transmitter, and </w:t>
      </w:r>
      <w:proofErr w:type="spellStart"/>
      <w:r w:rsidRPr="00E615E3">
        <w:rPr>
          <w:rFonts w:eastAsiaTheme="minorEastAsia"/>
          <w:i/>
          <w:iCs/>
        </w:rPr>
        <w:t>W</w:t>
      </w:r>
      <w:r w:rsidRPr="00E615E3">
        <w:rPr>
          <w:rFonts w:eastAsiaTheme="minorEastAsia"/>
          <w:i/>
          <w:iCs/>
          <w:vertAlign w:val="subscript"/>
        </w:rPr>
        <w:t>l</w:t>
      </w:r>
      <w:proofErr w:type="spellEnd"/>
      <w:r>
        <w:rPr>
          <w:rFonts w:eastAsiaTheme="minorEastAsia"/>
        </w:rPr>
        <w:t xml:space="preserve"> is the average weight (kg) of </w:t>
      </w:r>
      <w:r w:rsidR="008646D5">
        <w:rPr>
          <w:rFonts w:eastAsiaTheme="minorEastAsia"/>
        </w:rPr>
        <w:t xml:space="preserve">the </w:t>
      </w:r>
      <w:r>
        <w:rPr>
          <w:rFonts w:eastAsiaTheme="minorEastAsia"/>
        </w:rPr>
        <w:t>Lake Trout used in the Cruz-Font et al. (2016) laboratory experiments.</w:t>
      </w:r>
    </w:p>
    <w:p w14:paraId="18132353" w14:textId="77777777" w:rsidR="00BD1FF0" w:rsidRDefault="00BD1FF0" w:rsidP="00BD1FF0">
      <w:pPr>
        <w:pStyle w:val="Heading4"/>
      </w:pPr>
      <w:r>
        <w:t>1.2.3</w:t>
      </w:r>
      <w:r w:rsidRPr="00856343">
        <w:t xml:space="preserve"> </w:t>
      </w:r>
      <w:r>
        <w:t>Swimming Activity</w:t>
      </w:r>
    </w:p>
    <w:p w14:paraId="3CAAA179" w14:textId="04A6D665" w:rsidR="00BD1FF0" w:rsidRDefault="00BD1FF0" w:rsidP="00BD1FF0">
      <w:r>
        <w:t xml:space="preserve">Daily swimming activity </w:t>
      </w:r>
      <w:r w:rsidR="00C55E1C">
        <w:t xml:space="preserve">(SA) </w:t>
      </w:r>
      <w:r>
        <w:t xml:space="preserve">was determined using the following equation. </w:t>
      </w:r>
    </w:p>
    <w:p w14:paraId="7B51F1FA" w14:textId="4428EDB2" w:rsidR="006641FB" w:rsidRDefault="00BD1FF0" w:rsidP="00BD1FF0">
      <w:pPr>
        <w:rPr>
          <w:rStyle w:val="Heading4Char"/>
          <w:i w:val="0"/>
          <w:iCs w:val="0"/>
        </w:rPr>
      </w:pPr>
      <w:r>
        <w:t>(6)</w:t>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SA=Daily RMR-Daily SMR</m:t>
        </m:r>
      </m:oMath>
      <w:r>
        <w:t xml:space="preserve"> </w:t>
      </w:r>
      <w:r w:rsidRPr="00856343">
        <w:rPr>
          <w:rStyle w:val="Heading4Char"/>
        </w:rPr>
        <w:t xml:space="preserve"> </w:t>
      </w:r>
    </w:p>
    <w:p w14:paraId="71339D54" w14:textId="2F69B37C" w:rsidR="006641FB" w:rsidRPr="006641FB" w:rsidRDefault="006641FB" w:rsidP="00BD1FF0">
      <w:pPr>
        <w:rPr>
          <w:rStyle w:val="Heading4Char"/>
          <w:i w:val="0"/>
          <w:iCs w:val="0"/>
        </w:rPr>
      </w:pPr>
      <w:r>
        <w:rPr>
          <w:rStyle w:val="Heading4Char"/>
          <w:i w:val="0"/>
          <w:iCs w:val="0"/>
        </w:rPr>
        <w:t xml:space="preserve">where </w:t>
      </w:r>
      <w:r>
        <w:rPr>
          <w:rStyle w:val="Heading4Char"/>
        </w:rPr>
        <w:t xml:space="preserve">Daily RMR </w:t>
      </w:r>
      <w:r>
        <w:rPr>
          <w:rStyle w:val="Heading4Char"/>
          <w:i w:val="0"/>
          <w:iCs w:val="0"/>
        </w:rPr>
        <w:t xml:space="preserve">is the daily mean of RMR calculated in equation (5) for each basin, and </w:t>
      </w:r>
      <w:r>
        <w:rPr>
          <w:rStyle w:val="Heading4Char"/>
        </w:rPr>
        <w:t>Daily SMR</w:t>
      </w:r>
      <w:r>
        <w:rPr>
          <w:rStyle w:val="Heading4Char"/>
          <w:i w:val="0"/>
          <w:iCs w:val="0"/>
        </w:rPr>
        <w:t xml:space="preserve"> is the daily mean of SMR calculated in equation (2) for each basin. Daily means were calculated regardless of individual because RMR and SMR were calculated in different fish as </w:t>
      </w:r>
      <w:r>
        <w:rPr>
          <w:rStyle w:val="Heading4Char"/>
          <w:i w:val="0"/>
          <w:iCs w:val="0"/>
        </w:rPr>
        <w:lastRenderedPageBreak/>
        <w:t xml:space="preserve">some fish had depth and temperature acoustic transmitters (SMR) and some fish had accelerometer transmitters (RMR). </w:t>
      </w:r>
    </w:p>
    <w:p w14:paraId="28E94151" w14:textId="77777777" w:rsidR="00BD1FF0" w:rsidRPr="00D64C15" w:rsidRDefault="00BD1FF0" w:rsidP="00143700">
      <w:pPr>
        <w:rPr>
          <w:rFonts w:eastAsiaTheme="minorEastAsia"/>
        </w:rPr>
      </w:pPr>
    </w:p>
    <w:p w14:paraId="7C92DE93" w14:textId="77777777" w:rsidR="00FF7B0D" w:rsidRDefault="00FF7B0D"/>
    <w:sectPr w:rsidR="00FF7B0D" w:rsidSect="000273E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9851E" w14:textId="77777777" w:rsidR="004F7394" w:rsidRDefault="004F7394" w:rsidP="00170389">
      <w:pPr>
        <w:spacing w:line="240" w:lineRule="auto"/>
      </w:pPr>
      <w:r>
        <w:separator/>
      </w:r>
    </w:p>
  </w:endnote>
  <w:endnote w:type="continuationSeparator" w:id="0">
    <w:p w14:paraId="2D9804AD" w14:textId="77777777" w:rsidR="004F7394" w:rsidRDefault="004F7394" w:rsidP="00170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711892"/>
      <w:docPartObj>
        <w:docPartGallery w:val="Page Numbers (Bottom of Page)"/>
        <w:docPartUnique/>
      </w:docPartObj>
    </w:sdtPr>
    <w:sdtEndPr>
      <w:rPr>
        <w:noProof/>
      </w:rPr>
    </w:sdtEndPr>
    <w:sdtContent>
      <w:p w14:paraId="67EB1735" w14:textId="5C246C4A" w:rsidR="00170389" w:rsidRDefault="001703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EDABB" w14:textId="77777777" w:rsidR="00170389" w:rsidRDefault="00170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3407" w14:textId="77777777" w:rsidR="004F7394" w:rsidRDefault="004F7394" w:rsidP="00170389">
      <w:pPr>
        <w:spacing w:line="240" w:lineRule="auto"/>
      </w:pPr>
      <w:r>
        <w:separator/>
      </w:r>
    </w:p>
  </w:footnote>
  <w:footnote w:type="continuationSeparator" w:id="0">
    <w:p w14:paraId="42750885" w14:textId="77777777" w:rsidR="004F7394" w:rsidRDefault="004F7394" w:rsidP="001703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6494"/>
    <w:rsid w:val="000273EB"/>
    <w:rsid w:val="00033A81"/>
    <w:rsid w:val="00143700"/>
    <w:rsid w:val="00170389"/>
    <w:rsid w:val="002245CD"/>
    <w:rsid w:val="003B6494"/>
    <w:rsid w:val="004D5D06"/>
    <w:rsid w:val="004F7394"/>
    <w:rsid w:val="00522189"/>
    <w:rsid w:val="00640106"/>
    <w:rsid w:val="006641FB"/>
    <w:rsid w:val="007112A1"/>
    <w:rsid w:val="0073167A"/>
    <w:rsid w:val="007D709F"/>
    <w:rsid w:val="00841D3C"/>
    <w:rsid w:val="008646D5"/>
    <w:rsid w:val="00943E86"/>
    <w:rsid w:val="00A24A3A"/>
    <w:rsid w:val="00BD1FF0"/>
    <w:rsid w:val="00C55E1C"/>
    <w:rsid w:val="00CB3DF7"/>
    <w:rsid w:val="00E33E96"/>
    <w:rsid w:val="00E770E2"/>
    <w:rsid w:val="00EE0007"/>
    <w:rsid w:val="00EF47FF"/>
    <w:rsid w:val="00F81374"/>
    <w:rsid w:val="00F83E05"/>
    <w:rsid w:val="00FF7B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F4A4"/>
  <w15:docId w15:val="{D5FC2920-8C43-4A2B-9EEE-BCB03A81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0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33A81"/>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83E05"/>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3E96"/>
    <w:pPr>
      <w:keepNext/>
      <w:keepLines/>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E33E96"/>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8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83E0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33E96"/>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E33E96"/>
    <w:rPr>
      <w:rFonts w:ascii="Times New Roman" w:eastAsiaTheme="majorEastAsia" w:hAnsi="Times New Roman" w:cstheme="majorBidi"/>
      <w:i/>
      <w:iCs/>
      <w:sz w:val="24"/>
    </w:rPr>
  </w:style>
  <w:style w:type="character" w:styleId="LineNumber">
    <w:name w:val="line number"/>
    <w:basedOn w:val="DefaultParagraphFont"/>
    <w:uiPriority w:val="99"/>
    <w:unhideWhenUsed/>
    <w:qFormat/>
    <w:rsid w:val="00640106"/>
    <w:rPr>
      <w:rFonts w:ascii="Times New Roman" w:hAnsi="Times New Roman"/>
    </w:rPr>
  </w:style>
  <w:style w:type="character" w:styleId="CommentReference">
    <w:name w:val="annotation reference"/>
    <w:basedOn w:val="DefaultParagraphFont"/>
    <w:uiPriority w:val="99"/>
    <w:semiHidden/>
    <w:unhideWhenUsed/>
    <w:rsid w:val="00143700"/>
    <w:rPr>
      <w:sz w:val="16"/>
      <w:szCs w:val="16"/>
    </w:rPr>
  </w:style>
  <w:style w:type="paragraph" w:styleId="CommentText">
    <w:name w:val="annotation text"/>
    <w:basedOn w:val="Normal"/>
    <w:link w:val="CommentTextChar"/>
    <w:uiPriority w:val="99"/>
    <w:unhideWhenUsed/>
    <w:rsid w:val="00143700"/>
    <w:pPr>
      <w:spacing w:line="240" w:lineRule="auto"/>
    </w:pPr>
    <w:rPr>
      <w:sz w:val="20"/>
      <w:szCs w:val="20"/>
    </w:rPr>
  </w:style>
  <w:style w:type="character" w:customStyle="1" w:styleId="CommentTextChar">
    <w:name w:val="Comment Text Char"/>
    <w:basedOn w:val="DefaultParagraphFont"/>
    <w:link w:val="CommentText"/>
    <w:uiPriority w:val="99"/>
    <w:rsid w:val="0014370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43700"/>
    <w:rPr>
      <w:b/>
      <w:bCs/>
    </w:rPr>
  </w:style>
  <w:style w:type="character" w:customStyle="1" w:styleId="CommentSubjectChar">
    <w:name w:val="Comment Subject Char"/>
    <w:basedOn w:val="CommentTextChar"/>
    <w:link w:val="CommentSubject"/>
    <w:uiPriority w:val="99"/>
    <w:semiHidden/>
    <w:rsid w:val="00143700"/>
    <w:rPr>
      <w:rFonts w:ascii="Times New Roman" w:hAnsi="Times New Roman"/>
      <w:b/>
      <w:bCs/>
      <w:sz w:val="20"/>
      <w:szCs w:val="20"/>
    </w:rPr>
  </w:style>
  <w:style w:type="paragraph" w:styleId="BalloonText">
    <w:name w:val="Balloon Text"/>
    <w:basedOn w:val="Normal"/>
    <w:link w:val="BalloonTextChar"/>
    <w:uiPriority w:val="99"/>
    <w:semiHidden/>
    <w:unhideWhenUsed/>
    <w:rsid w:val="008646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D5"/>
    <w:rPr>
      <w:rFonts w:ascii="Tahoma" w:hAnsi="Tahoma" w:cs="Tahoma"/>
      <w:sz w:val="16"/>
      <w:szCs w:val="16"/>
    </w:rPr>
  </w:style>
  <w:style w:type="paragraph" w:styleId="Revision">
    <w:name w:val="Revision"/>
    <w:hidden/>
    <w:uiPriority w:val="99"/>
    <w:semiHidden/>
    <w:rsid w:val="00BD1FF0"/>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D1FF0"/>
    <w:rPr>
      <w:color w:val="808080"/>
    </w:rPr>
  </w:style>
  <w:style w:type="paragraph" w:styleId="Header">
    <w:name w:val="header"/>
    <w:basedOn w:val="Normal"/>
    <w:link w:val="HeaderChar"/>
    <w:uiPriority w:val="99"/>
    <w:unhideWhenUsed/>
    <w:rsid w:val="00170389"/>
    <w:pPr>
      <w:tabs>
        <w:tab w:val="center" w:pos="4680"/>
        <w:tab w:val="right" w:pos="9360"/>
      </w:tabs>
      <w:spacing w:line="240" w:lineRule="auto"/>
    </w:pPr>
  </w:style>
  <w:style w:type="character" w:customStyle="1" w:styleId="HeaderChar">
    <w:name w:val="Header Char"/>
    <w:basedOn w:val="DefaultParagraphFont"/>
    <w:link w:val="Header"/>
    <w:uiPriority w:val="99"/>
    <w:rsid w:val="00170389"/>
    <w:rPr>
      <w:rFonts w:ascii="Times New Roman" w:hAnsi="Times New Roman"/>
      <w:sz w:val="24"/>
    </w:rPr>
  </w:style>
  <w:style w:type="paragraph" w:styleId="Footer">
    <w:name w:val="footer"/>
    <w:basedOn w:val="Normal"/>
    <w:link w:val="FooterChar"/>
    <w:uiPriority w:val="99"/>
    <w:unhideWhenUsed/>
    <w:rsid w:val="00170389"/>
    <w:pPr>
      <w:tabs>
        <w:tab w:val="center" w:pos="4680"/>
        <w:tab w:val="right" w:pos="9360"/>
      </w:tabs>
      <w:spacing w:line="240" w:lineRule="auto"/>
    </w:pPr>
  </w:style>
  <w:style w:type="character" w:customStyle="1" w:styleId="FooterChar">
    <w:name w:val="Footer Char"/>
    <w:basedOn w:val="DefaultParagraphFont"/>
    <w:link w:val="Footer"/>
    <w:uiPriority w:val="99"/>
    <w:rsid w:val="0017038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C072F-6461-4EE2-90E6-3E34F8ED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Hlina</dc:creator>
  <cp:lastModifiedBy>Ben Hlina</cp:lastModifiedBy>
  <cp:revision>2</cp:revision>
  <dcterms:created xsi:type="dcterms:W3CDTF">2023-02-21T14:40:00Z</dcterms:created>
  <dcterms:modified xsi:type="dcterms:W3CDTF">2023-02-21T14:40:00Z</dcterms:modified>
</cp:coreProperties>
</file>