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C45C" w14:textId="6E0168B0" w:rsidR="00CB302B" w:rsidRPr="00AC4D81" w:rsidRDefault="00CB302B" w:rsidP="00AC4D81">
      <w:pPr>
        <w:pStyle w:val="Heading1"/>
        <w:jc w:val="center"/>
        <w:rPr>
          <w:color w:val="000000" w:themeColor="text1"/>
        </w:rPr>
      </w:pPr>
      <w:r w:rsidRPr="00AC4D81">
        <w:rPr>
          <w:color w:val="000000" w:themeColor="text1"/>
        </w:rPr>
        <w:t xml:space="preserve">Polychlorinated </w:t>
      </w:r>
      <w:r w:rsidR="00AC4D81">
        <w:rPr>
          <w:color w:val="000000" w:themeColor="text1"/>
        </w:rPr>
        <w:t>B</w:t>
      </w:r>
      <w:r w:rsidRPr="00AC4D81">
        <w:rPr>
          <w:color w:val="000000" w:themeColor="text1"/>
        </w:rPr>
        <w:t>iphenyls (PCBs)</w:t>
      </w:r>
    </w:p>
    <w:p w14:paraId="18052B58" w14:textId="56AF209E" w:rsidR="00BE1BDE" w:rsidRPr="00BF2C39" w:rsidRDefault="00880FEC" w:rsidP="00BE1BDE">
      <w:pPr>
        <w:spacing w:after="0" w:line="240" w:lineRule="auto"/>
        <w:rPr>
          <w:rFonts w:cs="Times New Roman"/>
        </w:rPr>
      </w:pPr>
      <w:r w:rsidRPr="00BF2C39">
        <w:rPr>
          <w:rFonts w:cs="Times New Roman"/>
        </w:rPr>
        <w:t xml:space="preserve">Manufacturing of polychlorinated biphenyls (PCBs), a group of chlorinated organic compounds </w:t>
      </w:r>
      <w:r w:rsidR="003E59D1" w:rsidRPr="00BF2C39">
        <w:rPr>
          <w:rFonts w:cs="Times New Roman"/>
        </w:rPr>
        <w:t xml:space="preserve">that have been commercially used as </w:t>
      </w:r>
      <w:r w:rsidR="001326BB" w:rsidRPr="00BF2C39">
        <w:rPr>
          <w:rFonts w:cs="Times New Roman"/>
        </w:rPr>
        <w:t>insulators in electric capacitors and transformers, protective coating of wood products, hydraulic fluids, and a lubricant for industrial processes, began in the 1930s.</w:t>
      </w:r>
      <w:r w:rsidR="00BF2C39">
        <w:rPr>
          <w:rFonts w:cs="Times New Roman"/>
        </w:rPr>
        <w:t xml:space="preserve"> P</w:t>
      </w:r>
      <w:r w:rsidR="00BF2C39" w:rsidRPr="00BF2C39">
        <w:rPr>
          <w:rFonts w:cs="Times New Roman"/>
        </w:rPr>
        <w:t>olychlorinated biphenyls</w:t>
      </w:r>
      <w:r w:rsidR="00501AB7" w:rsidRPr="00BF2C39">
        <w:rPr>
          <w:rFonts w:cs="Times New Roman"/>
        </w:rPr>
        <w:t xml:space="preserve"> were first detected in fish and wildlife from </w:t>
      </w:r>
      <w:r w:rsidR="00740E53" w:rsidRPr="00BF2C39">
        <w:rPr>
          <w:rFonts w:cs="Times New Roman"/>
        </w:rPr>
        <w:t>locations</w:t>
      </w:r>
      <w:r w:rsidR="00501AB7" w:rsidRPr="00BF2C39">
        <w:rPr>
          <w:rFonts w:cs="Times New Roman"/>
        </w:rPr>
        <w:t xml:space="preserve"> around the world during the 1960s.</w:t>
      </w:r>
      <w:r w:rsidR="00BF2C39">
        <w:rPr>
          <w:rFonts w:cs="Times New Roman"/>
        </w:rPr>
        <w:t xml:space="preserve"> </w:t>
      </w:r>
      <w:r w:rsidR="00740E53" w:rsidRPr="00BF2C39">
        <w:rPr>
          <w:rFonts w:cs="Times New Roman"/>
        </w:rPr>
        <w:t>Further research indicated that once in the environment, PCBs do not readily undergo degradation and therefore they persist in the environment.</w:t>
      </w:r>
      <w:r w:rsidR="00BF2C39">
        <w:rPr>
          <w:rFonts w:cs="Times New Roman"/>
        </w:rPr>
        <w:t xml:space="preserve"> </w:t>
      </w:r>
      <w:r w:rsidR="00677680" w:rsidRPr="00BF2C39">
        <w:rPr>
          <w:rFonts w:cs="Times New Roman"/>
        </w:rPr>
        <w:t>In addition</w:t>
      </w:r>
      <w:r w:rsidR="00376A29" w:rsidRPr="00BF2C39">
        <w:rPr>
          <w:rFonts w:cs="Times New Roman"/>
        </w:rPr>
        <w:t xml:space="preserve">, PCBs </w:t>
      </w:r>
      <w:proofErr w:type="gramStart"/>
      <w:r w:rsidR="00376A29" w:rsidRPr="00BF2C39">
        <w:rPr>
          <w:rFonts w:cs="Times New Roman"/>
        </w:rPr>
        <w:t>are considered to be</w:t>
      </w:r>
      <w:proofErr w:type="gramEnd"/>
      <w:r w:rsidR="00376A29" w:rsidRPr="00BF2C39">
        <w:rPr>
          <w:rFonts w:cs="Times New Roman"/>
        </w:rPr>
        <w:t xml:space="preserve"> suspected human carcinogens.</w:t>
      </w:r>
      <w:r w:rsidR="00BF2C39">
        <w:rPr>
          <w:rFonts w:cs="Times New Roman"/>
        </w:rPr>
        <w:t xml:space="preserve"> </w:t>
      </w:r>
      <w:r w:rsidR="00740E53" w:rsidRPr="00BF2C39">
        <w:rPr>
          <w:rFonts w:cs="Times New Roman"/>
        </w:rPr>
        <w:t xml:space="preserve">Regulations on </w:t>
      </w:r>
      <w:r w:rsidR="00376A29" w:rsidRPr="00BF2C39">
        <w:rPr>
          <w:rFonts w:cs="Times New Roman"/>
        </w:rPr>
        <w:t>manufacturing and use of PCBs have been effective in reducing PCB concentrations in fish over time.</w:t>
      </w:r>
      <w:r w:rsidR="00BF2C39">
        <w:rPr>
          <w:rFonts w:cs="Times New Roman"/>
        </w:rPr>
        <w:t xml:space="preserve"> </w:t>
      </w:r>
      <w:r w:rsidR="00376A29" w:rsidRPr="00BF2C39">
        <w:rPr>
          <w:rFonts w:cs="Times New Roman"/>
        </w:rPr>
        <w:t>Nonetheless, PCBs remain classified as legacy contaminants</w:t>
      </w:r>
      <w:r w:rsidR="00733F91" w:rsidRPr="00BF2C39">
        <w:rPr>
          <w:rFonts w:cs="Times New Roman"/>
        </w:rPr>
        <w:t>,</w:t>
      </w:r>
      <w:r w:rsidR="00376A29" w:rsidRPr="00BF2C39">
        <w:rPr>
          <w:rFonts w:cs="Times New Roman"/>
        </w:rPr>
        <w:t xml:space="preserve"> and monitoring of fish and wildlife PCB concentrations continues to the present time.</w:t>
      </w:r>
      <w:r w:rsidR="00BF2C39">
        <w:rPr>
          <w:rFonts w:cs="Times New Roman"/>
        </w:rPr>
        <w:t xml:space="preserve"> </w:t>
      </w:r>
      <w:r w:rsidR="00BE1BDE" w:rsidRPr="00BF2C39">
        <w:rPr>
          <w:rFonts w:cs="Times New Roman"/>
        </w:rPr>
        <w:t>In general, concentrations of PCBs increase with increasing trophic level within a food chain</w:t>
      </w:r>
      <w:r w:rsidR="009A60FB" w:rsidRPr="00BF2C39">
        <w:rPr>
          <w:rFonts w:cs="Times New Roman"/>
        </w:rPr>
        <w:t>,</w:t>
      </w:r>
      <w:r w:rsidR="00BE1BDE" w:rsidRPr="00BF2C39">
        <w:rPr>
          <w:rFonts w:cs="Times New Roman"/>
        </w:rPr>
        <w:t xml:space="preserve"> a process known as biomagnification.</w:t>
      </w:r>
      <w:r w:rsidR="00BF2C39">
        <w:rPr>
          <w:rFonts w:cs="Times New Roman"/>
        </w:rPr>
        <w:t xml:space="preserve"> </w:t>
      </w:r>
      <w:r w:rsidR="00BE1BDE" w:rsidRPr="00BF2C39">
        <w:rPr>
          <w:rFonts w:cs="Times New Roman"/>
        </w:rPr>
        <w:t>Thus, PCB concentration</w:t>
      </w:r>
      <w:r w:rsidR="00984D4F" w:rsidRPr="00BF2C39">
        <w:rPr>
          <w:rFonts w:cs="Times New Roman"/>
        </w:rPr>
        <w:t>s</w:t>
      </w:r>
      <w:r w:rsidR="00BE1BDE" w:rsidRPr="00BF2C39">
        <w:rPr>
          <w:rFonts w:cs="Times New Roman"/>
        </w:rPr>
        <w:t xml:space="preserve"> in fish </w:t>
      </w:r>
      <w:r w:rsidR="00984D4F" w:rsidRPr="00BF2C39">
        <w:rPr>
          <w:rFonts w:cs="Times New Roman"/>
        </w:rPr>
        <w:t xml:space="preserve">are </w:t>
      </w:r>
      <w:r w:rsidR="00BE1BDE" w:rsidRPr="00BF2C39">
        <w:rPr>
          <w:rFonts w:cs="Times New Roman"/>
        </w:rPr>
        <w:t xml:space="preserve">positively correlated with </w:t>
      </w:r>
      <w:r w:rsidR="00984D4F" w:rsidRPr="00BF2C39">
        <w:rPr>
          <w:rFonts w:cs="Times New Roman"/>
        </w:rPr>
        <w:t xml:space="preserve">the </w:t>
      </w:r>
      <w:r w:rsidR="009A60FB" w:rsidRPr="00BF2C39">
        <w:rPr>
          <w:rFonts w:cs="Times New Roman"/>
        </w:rPr>
        <w:t xml:space="preserve">values of </w:t>
      </w:r>
      <w:r w:rsidR="00BE1BDE" w:rsidRPr="00BF2C39">
        <w:rPr>
          <w:rFonts w:cs="Times New Roman"/>
        </w:rPr>
        <w:t>the stable isotope ratio δ</w:t>
      </w:r>
      <w:r w:rsidR="00BE1BDE" w:rsidRPr="00BF2C39">
        <w:rPr>
          <w:rFonts w:cs="Times New Roman"/>
          <w:vertAlign w:val="superscript"/>
        </w:rPr>
        <w:t>15</w:t>
      </w:r>
      <w:r w:rsidR="00BE1BDE" w:rsidRPr="00BF2C39">
        <w:rPr>
          <w:rFonts w:cs="Times New Roman"/>
        </w:rPr>
        <w:t>N</w:t>
      </w:r>
      <w:r w:rsidR="00544892" w:rsidRPr="00BF2C39">
        <w:rPr>
          <w:rFonts w:cs="Times New Roman"/>
        </w:rPr>
        <w:t xml:space="preserve"> in the fish</w:t>
      </w:r>
      <w:r w:rsidR="00BE1BDE" w:rsidRPr="00BF2C39">
        <w:rPr>
          <w:rFonts w:cs="Times New Roman"/>
        </w:rPr>
        <w:t>.</w:t>
      </w:r>
      <w:r w:rsidR="00BF2C39">
        <w:rPr>
          <w:rFonts w:cs="Times New Roman"/>
        </w:rPr>
        <w:t xml:space="preserve"> </w:t>
      </w:r>
      <w:r w:rsidR="00BE1BDE" w:rsidRPr="00BF2C39">
        <w:rPr>
          <w:rFonts w:cs="Times New Roman"/>
        </w:rPr>
        <w:t xml:space="preserve">In addition, because PCBs persist in the environment, they may </w:t>
      </w:r>
      <w:r w:rsidR="009A60FB" w:rsidRPr="00BF2C39">
        <w:rPr>
          <w:rFonts w:cs="Times New Roman"/>
        </w:rPr>
        <w:t xml:space="preserve">serve </w:t>
      </w:r>
      <w:r w:rsidR="00BE1BDE" w:rsidRPr="00BF2C39">
        <w:rPr>
          <w:rFonts w:cs="Times New Roman"/>
        </w:rPr>
        <w:t>as a tracer of food consumption by free-ranging fish in the wild.</w:t>
      </w:r>
      <w:r w:rsidR="00BF2C39">
        <w:rPr>
          <w:rFonts w:cs="Times New Roman"/>
        </w:rPr>
        <w:t xml:space="preserve"> </w:t>
      </w:r>
      <w:r w:rsidR="009A60FB" w:rsidRPr="00BF2C39">
        <w:rPr>
          <w:rFonts w:cs="Times New Roman"/>
        </w:rPr>
        <w:t>Such applications may be useful in field evaluations of fish bioenergetics model performance.</w:t>
      </w:r>
      <w:r w:rsidR="00BF2C39">
        <w:rPr>
          <w:rFonts w:cs="Times New Roman"/>
        </w:rPr>
        <w:t xml:space="preserve"> </w:t>
      </w:r>
    </w:p>
    <w:p w14:paraId="2AC47F3B" w14:textId="77777777" w:rsidR="009A60FB" w:rsidRPr="00BF2C39" w:rsidRDefault="009A60FB" w:rsidP="00BE1BDE">
      <w:pPr>
        <w:spacing w:after="0" w:line="240" w:lineRule="auto"/>
        <w:rPr>
          <w:rFonts w:cs="Times New Roman"/>
        </w:rPr>
      </w:pPr>
    </w:p>
    <w:p w14:paraId="0DC87B74" w14:textId="77777777" w:rsidR="009A60FB" w:rsidRPr="00BF2C39" w:rsidRDefault="009A60FB" w:rsidP="00BE1BDE">
      <w:pPr>
        <w:spacing w:after="0" w:line="240" w:lineRule="auto"/>
        <w:rPr>
          <w:rFonts w:cs="Times New Roman"/>
        </w:rPr>
      </w:pPr>
    </w:p>
    <w:p w14:paraId="094D51B5" w14:textId="2F2EF383" w:rsidR="009A60FB" w:rsidRPr="00BF2C39" w:rsidRDefault="009A60FB" w:rsidP="00BE1BDE">
      <w:pPr>
        <w:spacing w:after="0" w:line="240" w:lineRule="auto"/>
        <w:rPr>
          <w:rFonts w:cs="Times New Roman"/>
        </w:rPr>
      </w:pPr>
      <w:r w:rsidRPr="00BF2C39">
        <w:rPr>
          <w:rFonts w:cs="Times New Roman"/>
        </w:rPr>
        <w:t xml:space="preserve">Key </w:t>
      </w:r>
      <w:r w:rsidR="00AC4D81">
        <w:t>citations</w:t>
      </w:r>
      <w:r w:rsidRPr="00BF2C39">
        <w:rPr>
          <w:rFonts w:cs="Times New Roman"/>
        </w:rPr>
        <w:t>:</w:t>
      </w:r>
    </w:p>
    <w:p w14:paraId="4345577A" w14:textId="77777777" w:rsidR="009A60FB" w:rsidRPr="00BF2C39" w:rsidRDefault="009A60FB" w:rsidP="00BE1BDE">
      <w:pPr>
        <w:spacing w:after="0" w:line="240" w:lineRule="auto"/>
        <w:rPr>
          <w:rFonts w:cs="Times New Roman"/>
        </w:rPr>
      </w:pPr>
    </w:p>
    <w:p w14:paraId="32C64577" w14:textId="4B3BA158" w:rsidR="00BF2C39" w:rsidRDefault="00904383" w:rsidP="00665426">
      <w:pPr>
        <w:pStyle w:val="ListParagraph"/>
        <w:numPr>
          <w:ilvl w:val="0"/>
          <w:numId w:val="1"/>
        </w:numPr>
        <w:spacing w:after="0" w:line="240" w:lineRule="auto"/>
        <w:ind w:left="792"/>
        <w:rPr>
          <w:rFonts w:cs="Times New Roman"/>
        </w:rPr>
      </w:pPr>
      <w:r w:rsidRPr="00BF2C39">
        <w:rPr>
          <w:rFonts w:cs="Times New Roman"/>
        </w:rPr>
        <w:t xml:space="preserve">Kiriluk, R. M., M. R. Servos, D. M. Whittle, G. Cabana, and J. B. Rasmussen. </w:t>
      </w:r>
      <w:r w:rsidR="00CD68D9" w:rsidRPr="00BF2C39">
        <w:rPr>
          <w:rFonts w:cs="Times New Roman"/>
        </w:rPr>
        <w:t xml:space="preserve">1995. </w:t>
      </w:r>
      <w:r w:rsidRPr="00BF2C39">
        <w:rPr>
          <w:rFonts w:cs="Times New Roman"/>
        </w:rPr>
        <w:t xml:space="preserve">Using ratios of stable nitrogen and carbon isotopes to characterize the biomagnification of DDE, </w:t>
      </w:r>
      <w:proofErr w:type="spellStart"/>
      <w:r w:rsidRPr="00BF2C39">
        <w:rPr>
          <w:rFonts w:cs="Times New Roman"/>
        </w:rPr>
        <w:t>mirex</w:t>
      </w:r>
      <w:proofErr w:type="spellEnd"/>
      <w:r w:rsidRPr="00BF2C39">
        <w:rPr>
          <w:rFonts w:cs="Times New Roman"/>
        </w:rPr>
        <w:t xml:space="preserve">, and PCB in a Lake Ontario pelagic food web. Can. J. Fish. </w:t>
      </w:r>
      <w:proofErr w:type="spellStart"/>
      <w:r w:rsidRPr="00BF2C39">
        <w:rPr>
          <w:rFonts w:cs="Times New Roman"/>
        </w:rPr>
        <w:t>Aquat</w:t>
      </w:r>
      <w:proofErr w:type="spellEnd"/>
      <w:r w:rsidRPr="00BF2C39">
        <w:rPr>
          <w:rFonts w:cs="Times New Roman"/>
        </w:rPr>
        <w:t>. Sci. 52: 2660-2674.</w:t>
      </w:r>
      <w:r w:rsidR="00BF2C39" w:rsidRPr="00BF2C39">
        <w:t xml:space="preserve"> </w:t>
      </w:r>
      <w:hyperlink r:id="rId8" w:history="1">
        <w:r w:rsidR="00BF2C39" w:rsidRPr="002433CA">
          <w:rPr>
            <w:rStyle w:val="Hyperlink"/>
            <w:rFonts w:cs="Times New Roman"/>
          </w:rPr>
          <w:t>https://doi.org/10.1139/f95-855</w:t>
        </w:r>
      </w:hyperlink>
    </w:p>
    <w:p w14:paraId="15AD3D39" w14:textId="77777777" w:rsidR="00BF2C39" w:rsidRPr="00BF2C39" w:rsidRDefault="00BF2C39" w:rsidP="00BF2C39">
      <w:pPr>
        <w:spacing w:after="0" w:line="240" w:lineRule="auto"/>
        <w:rPr>
          <w:rFonts w:cs="Times New Roman"/>
        </w:rPr>
      </w:pPr>
    </w:p>
    <w:p w14:paraId="5D324E72" w14:textId="77777777" w:rsidR="00BF2C39" w:rsidRDefault="00904383" w:rsidP="00BF2C39">
      <w:pPr>
        <w:pStyle w:val="ListParagraph"/>
        <w:numPr>
          <w:ilvl w:val="0"/>
          <w:numId w:val="1"/>
        </w:numPr>
        <w:spacing w:after="0" w:line="240" w:lineRule="auto"/>
        <w:ind w:left="792"/>
        <w:rPr>
          <w:rFonts w:cs="Times New Roman"/>
        </w:rPr>
      </w:pPr>
      <w:r w:rsidRPr="00BF2C39">
        <w:rPr>
          <w:rFonts w:cs="Times New Roman"/>
        </w:rPr>
        <w:t xml:space="preserve">Madenjian, C. P., D. V. O’Connor, and D. A. Nortrup. 2000. A new approach toward evaluation of fish bioenergetics models. Can. J. Fish. </w:t>
      </w:r>
      <w:proofErr w:type="spellStart"/>
      <w:r w:rsidRPr="00BF2C39">
        <w:rPr>
          <w:rFonts w:cs="Times New Roman"/>
        </w:rPr>
        <w:t>Aquat</w:t>
      </w:r>
      <w:proofErr w:type="spellEnd"/>
      <w:r w:rsidRPr="00BF2C39">
        <w:rPr>
          <w:rFonts w:cs="Times New Roman"/>
        </w:rPr>
        <w:t xml:space="preserve">. Sci. 57: 1025-1032. </w:t>
      </w:r>
      <w:hyperlink r:id="rId9" w:history="1">
        <w:r w:rsidR="00BF2C39" w:rsidRPr="002433CA">
          <w:rPr>
            <w:rStyle w:val="Hyperlink"/>
            <w:rFonts w:cs="Times New Roman"/>
          </w:rPr>
          <w:t>https://doi.org/10.1139/f99-280</w:t>
        </w:r>
      </w:hyperlink>
    </w:p>
    <w:p w14:paraId="6DF85164" w14:textId="77777777" w:rsidR="00BF2C39" w:rsidRPr="00BF2C39" w:rsidRDefault="00BF2C39" w:rsidP="00BF2C39">
      <w:pPr>
        <w:pStyle w:val="ListParagraph"/>
        <w:rPr>
          <w:rFonts w:cs="Times New Roman"/>
        </w:rPr>
      </w:pPr>
    </w:p>
    <w:p w14:paraId="00848AF2" w14:textId="1A237453" w:rsidR="00904383" w:rsidRPr="00BF2C39" w:rsidRDefault="00904383" w:rsidP="00BF2C39">
      <w:pPr>
        <w:pStyle w:val="ListParagraph"/>
        <w:numPr>
          <w:ilvl w:val="0"/>
          <w:numId w:val="1"/>
        </w:numPr>
        <w:spacing w:after="0" w:line="240" w:lineRule="auto"/>
        <w:ind w:left="792"/>
        <w:rPr>
          <w:rFonts w:cs="Times New Roman"/>
        </w:rPr>
      </w:pPr>
      <w:r w:rsidRPr="00BF2C39">
        <w:rPr>
          <w:rFonts w:cs="Times New Roman"/>
        </w:rPr>
        <w:t xml:space="preserve">Safe, S. H. 1994. Polychlorinated biphenyls (PCBs): environmental impact, biochemical and toxic responses, and implications for risk assessment. Crit. Rev. </w:t>
      </w:r>
      <w:proofErr w:type="spellStart"/>
      <w:r w:rsidRPr="00BF2C39">
        <w:rPr>
          <w:rFonts w:cs="Times New Roman"/>
        </w:rPr>
        <w:t>Toxicol</w:t>
      </w:r>
      <w:proofErr w:type="spellEnd"/>
      <w:r w:rsidRPr="00BF2C39">
        <w:rPr>
          <w:rFonts w:cs="Times New Roman"/>
        </w:rPr>
        <w:t>. 24: 87-149.</w:t>
      </w:r>
      <w:r w:rsidR="00BF2C39" w:rsidRPr="00BF2C39">
        <w:t xml:space="preserve"> </w:t>
      </w:r>
      <w:hyperlink r:id="rId10" w:history="1">
        <w:r w:rsidR="00BF2C39" w:rsidRPr="00BF2C39">
          <w:rPr>
            <w:rStyle w:val="Hyperlink"/>
            <w:rFonts w:cs="Times New Roman"/>
          </w:rPr>
          <w:t>https://doi.org/10.3109/10408449409049308</w:t>
        </w:r>
      </w:hyperlink>
      <w:r w:rsidR="00BF2C39" w:rsidRPr="00BF2C39">
        <w:rPr>
          <w:rFonts w:cs="Times New Roman"/>
        </w:rPr>
        <w:br/>
      </w:r>
    </w:p>
    <w:p w14:paraId="3F5381A9" w14:textId="77777777" w:rsidR="00BF2C39" w:rsidRPr="00BF2C39" w:rsidRDefault="00BF2C39" w:rsidP="00BF2C39">
      <w:pPr>
        <w:pStyle w:val="ListParagraph"/>
        <w:rPr>
          <w:rFonts w:cs="Times New Roman"/>
        </w:rPr>
      </w:pPr>
    </w:p>
    <w:p w14:paraId="1AFB8CC1" w14:textId="77777777" w:rsidR="00BF2C39" w:rsidRPr="00BF2C39" w:rsidRDefault="00BF2C39" w:rsidP="00BF2C39">
      <w:pPr>
        <w:rPr>
          <w:rFonts w:cs="Times New Roman"/>
        </w:rPr>
      </w:pPr>
    </w:p>
    <w:p w14:paraId="240575CA" w14:textId="77777777" w:rsidR="00904383" w:rsidRPr="00BF2C39" w:rsidRDefault="00904383" w:rsidP="00904383">
      <w:pPr>
        <w:pStyle w:val="ListParagraph"/>
        <w:spacing w:after="0" w:line="240" w:lineRule="auto"/>
        <w:ind w:left="792"/>
        <w:rPr>
          <w:rFonts w:cs="Times New Roman"/>
        </w:rPr>
      </w:pPr>
    </w:p>
    <w:p w14:paraId="7E1816B6" w14:textId="71E46DBD" w:rsidR="009A60FB" w:rsidRPr="00BF2C39" w:rsidRDefault="009A60FB" w:rsidP="00665426">
      <w:pPr>
        <w:pStyle w:val="ListParagraph"/>
        <w:spacing w:after="0" w:line="240" w:lineRule="auto"/>
        <w:ind w:left="936"/>
        <w:rPr>
          <w:rFonts w:cs="Times New Roman"/>
        </w:rPr>
      </w:pPr>
    </w:p>
    <w:p w14:paraId="34E8DF37" w14:textId="6E708C05" w:rsidR="00CB302B" w:rsidRPr="00BF2C39" w:rsidRDefault="00BF2C39" w:rsidP="00CB302B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      </w:t>
      </w:r>
    </w:p>
    <w:p w14:paraId="294BFBB8" w14:textId="77777777" w:rsidR="00CB302B" w:rsidRPr="00BF2C39" w:rsidRDefault="00CB302B" w:rsidP="00CB302B">
      <w:pPr>
        <w:spacing w:after="0" w:line="240" w:lineRule="auto"/>
        <w:rPr>
          <w:rFonts w:cs="Times New Roman"/>
        </w:rPr>
      </w:pPr>
    </w:p>
    <w:sectPr w:rsidR="00CB302B" w:rsidRPr="00BF2C39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20B1" w14:textId="77777777" w:rsidR="00500A2E" w:rsidRDefault="00500A2E" w:rsidP="00AC4D81">
      <w:pPr>
        <w:spacing w:after="0" w:line="240" w:lineRule="auto"/>
      </w:pPr>
      <w:r>
        <w:separator/>
      </w:r>
    </w:p>
  </w:endnote>
  <w:endnote w:type="continuationSeparator" w:id="0">
    <w:p w14:paraId="5BBE0508" w14:textId="77777777" w:rsidR="00500A2E" w:rsidRDefault="00500A2E" w:rsidP="00AC4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7278516"/>
      <w:docPartObj>
        <w:docPartGallery w:val="Page Numbers (Bottom of Page)"/>
        <w:docPartUnique/>
      </w:docPartObj>
    </w:sdtPr>
    <w:sdtContent>
      <w:p w14:paraId="7B2DE3E6" w14:textId="7A96A6E5" w:rsidR="00AC4D81" w:rsidRDefault="00AC4D81" w:rsidP="002433C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02BCB96" w14:textId="77777777" w:rsidR="00AC4D81" w:rsidRDefault="00AC4D81" w:rsidP="00AC4D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19239422"/>
      <w:docPartObj>
        <w:docPartGallery w:val="Page Numbers (Bottom of Page)"/>
        <w:docPartUnique/>
      </w:docPartObj>
    </w:sdtPr>
    <w:sdtContent>
      <w:p w14:paraId="6490C403" w14:textId="5105A1C1" w:rsidR="00AC4D81" w:rsidRDefault="00AC4D81" w:rsidP="002433C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A56E9A" w14:textId="77777777" w:rsidR="00AC4D81" w:rsidRDefault="00AC4D81" w:rsidP="00AC4D8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684CB" w14:textId="77777777" w:rsidR="00500A2E" w:rsidRDefault="00500A2E" w:rsidP="00AC4D81">
      <w:pPr>
        <w:spacing w:after="0" w:line="240" w:lineRule="auto"/>
      </w:pPr>
      <w:r>
        <w:separator/>
      </w:r>
    </w:p>
  </w:footnote>
  <w:footnote w:type="continuationSeparator" w:id="0">
    <w:p w14:paraId="7965F3B6" w14:textId="77777777" w:rsidR="00500A2E" w:rsidRDefault="00500A2E" w:rsidP="00AC4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50F3A"/>
    <w:multiLevelType w:val="hybridMultilevel"/>
    <w:tmpl w:val="80469E46"/>
    <w:lvl w:ilvl="0" w:tplc="E3885656">
      <w:numFmt w:val="bullet"/>
      <w:lvlText w:val="•"/>
      <w:lvlJc w:val="left"/>
      <w:pPr>
        <w:ind w:left="93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05913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2B"/>
    <w:rsid w:val="001326BB"/>
    <w:rsid w:val="00176062"/>
    <w:rsid w:val="0027694F"/>
    <w:rsid w:val="00376A29"/>
    <w:rsid w:val="003E59D1"/>
    <w:rsid w:val="00500A2E"/>
    <w:rsid w:val="00501AB7"/>
    <w:rsid w:val="00502AFC"/>
    <w:rsid w:val="00544892"/>
    <w:rsid w:val="00665426"/>
    <w:rsid w:val="00677680"/>
    <w:rsid w:val="00724FA2"/>
    <w:rsid w:val="00733F91"/>
    <w:rsid w:val="00740E53"/>
    <w:rsid w:val="00814867"/>
    <w:rsid w:val="00880FEC"/>
    <w:rsid w:val="00904383"/>
    <w:rsid w:val="00984D4F"/>
    <w:rsid w:val="009A60FB"/>
    <w:rsid w:val="00A306AF"/>
    <w:rsid w:val="00A86531"/>
    <w:rsid w:val="00AC4D81"/>
    <w:rsid w:val="00B85D8B"/>
    <w:rsid w:val="00BE1BDE"/>
    <w:rsid w:val="00BF2C39"/>
    <w:rsid w:val="00C40F40"/>
    <w:rsid w:val="00CB302B"/>
    <w:rsid w:val="00CD68D9"/>
    <w:rsid w:val="00D565FF"/>
    <w:rsid w:val="00DE3A51"/>
    <w:rsid w:val="00EA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4EF1"/>
  <w15:chartTrackingRefBased/>
  <w15:docId w15:val="{6131FD4F-979C-414E-B8A9-29E5A39F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C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C3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C4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D81"/>
  </w:style>
  <w:style w:type="character" w:styleId="PageNumber">
    <w:name w:val="page number"/>
    <w:basedOn w:val="DefaultParagraphFont"/>
    <w:uiPriority w:val="99"/>
    <w:semiHidden/>
    <w:unhideWhenUsed/>
    <w:rsid w:val="00AC4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39/f95-85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3109/1040844940904930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39/f99-28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F61A47-7B89-6441-8301-B147868E4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Madenjian, Charles P</dc:creator>
  <cp:keywords/>
  <dc:description/>
  <cp:lastModifiedBy>Ben Hlina</cp:lastModifiedBy>
  <cp:revision>2</cp:revision>
  <dcterms:created xsi:type="dcterms:W3CDTF">2026-02-19T14:30:00Z</dcterms:created>
  <dcterms:modified xsi:type="dcterms:W3CDTF">2026-02-19T14:30:00Z</dcterms:modified>
</cp:coreProperties>
</file>