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47F4" w14:textId="467DCD13" w:rsidR="00A71299" w:rsidRPr="00060E5B" w:rsidRDefault="008F2BC7" w:rsidP="00060E5B">
      <w:pPr>
        <w:pStyle w:val="Heading1"/>
        <w:jc w:val="center"/>
        <w:rPr>
          <w:color w:val="000000" w:themeColor="text1"/>
          <w:lang w:val="en-US"/>
        </w:rPr>
      </w:pPr>
      <w:r w:rsidRPr="00060E5B">
        <w:rPr>
          <w:color w:val="000000" w:themeColor="text1"/>
          <w:lang w:val="en-US"/>
        </w:rPr>
        <w:t xml:space="preserve">Stable </w:t>
      </w:r>
      <w:r w:rsidR="0072594D">
        <w:rPr>
          <w:color w:val="000000" w:themeColor="text1"/>
          <w:lang w:val="en-US"/>
        </w:rPr>
        <w:t>I</w:t>
      </w:r>
      <w:r w:rsidRPr="00060E5B">
        <w:rPr>
          <w:color w:val="000000" w:themeColor="text1"/>
          <w:lang w:val="en-US"/>
        </w:rPr>
        <w:t>sotopes</w:t>
      </w:r>
    </w:p>
    <w:p w14:paraId="4B740BDD" w14:textId="6C8159B0" w:rsidR="008F2BC7" w:rsidRDefault="008F2BC7">
      <w:pPr>
        <w:rPr>
          <w:lang w:val="en-US"/>
        </w:rPr>
      </w:pPr>
      <w:r>
        <w:rPr>
          <w:lang w:val="en-US"/>
        </w:rPr>
        <w:t>In biological tissues, stable isotopes (</w:t>
      </w:r>
      <w:r w:rsidR="00060E5B">
        <w:rPr>
          <w:lang w:val="en-US"/>
        </w:rPr>
        <w:t>i.e.</w:t>
      </w:r>
      <w:r>
        <w:rPr>
          <w:lang w:val="en-US"/>
        </w:rPr>
        <w:t>, isotopes of elements that do not decay, or decay on the order of several millions of years and therefore deemed ‘stable’) are most frequently used to determine both the source of energy and trophic position of fishes</w:t>
      </w:r>
      <w:r w:rsidR="00060E5B">
        <w:rPr>
          <w:lang w:val="en-US"/>
        </w:rPr>
        <w:t xml:space="preserve"> and aquatic invertebrates. They are also</w:t>
      </w:r>
      <w:r>
        <w:rPr>
          <w:lang w:val="en-US"/>
        </w:rPr>
        <w:t xml:space="preserve"> useful in helping understand the connections of taxa within a food web and range of resource</w:t>
      </w:r>
      <w:r w:rsidR="00060E5B">
        <w:rPr>
          <w:lang w:val="en-US"/>
        </w:rPr>
        <w:t xml:space="preserve">s each taxa </w:t>
      </w:r>
      <w:r>
        <w:rPr>
          <w:lang w:val="en-US"/>
        </w:rPr>
        <w:t>use</w:t>
      </w:r>
      <w:r w:rsidR="00060E5B">
        <w:rPr>
          <w:lang w:val="en-US"/>
        </w:rPr>
        <w:t>s</w:t>
      </w:r>
      <w:r>
        <w:rPr>
          <w:lang w:val="en-US"/>
        </w:rPr>
        <w:t xml:space="preserve">. Common stable isotopes in food web </w:t>
      </w:r>
      <w:r w:rsidR="00060E5B">
        <w:rPr>
          <w:lang w:val="en-US"/>
        </w:rPr>
        <w:t xml:space="preserve">and habitat use </w:t>
      </w:r>
      <w:r>
        <w:rPr>
          <w:lang w:val="en-US"/>
        </w:rPr>
        <w:t xml:space="preserve">studies include </w:t>
      </w:r>
      <w:r w:rsidRPr="00060E5B">
        <w:rPr>
          <w:vertAlign w:val="superscript"/>
          <w:lang w:val="en-US"/>
        </w:rPr>
        <w:t>13</w:t>
      </w:r>
      <w:r>
        <w:rPr>
          <w:lang w:val="en-US"/>
        </w:rPr>
        <w:t xml:space="preserve">C, </w:t>
      </w:r>
      <w:r w:rsidRPr="00060E5B">
        <w:rPr>
          <w:vertAlign w:val="superscript"/>
          <w:lang w:val="en-US"/>
        </w:rPr>
        <w:t>15</w:t>
      </w:r>
      <w:r>
        <w:rPr>
          <w:lang w:val="en-US"/>
        </w:rPr>
        <w:t xml:space="preserve">N, </w:t>
      </w:r>
      <w:r w:rsidRPr="00060E5B">
        <w:rPr>
          <w:vertAlign w:val="superscript"/>
          <w:lang w:val="en-US"/>
        </w:rPr>
        <w:t>34</w:t>
      </w:r>
      <w:r>
        <w:rPr>
          <w:lang w:val="en-US"/>
        </w:rPr>
        <w:t>S</w:t>
      </w:r>
      <w:r w:rsidR="00060E5B">
        <w:rPr>
          <w:lang w:val="en-US"/>
        </w:rPr>
        <w:t xml:space="preserve">, </w:t>
      </w:r>
      <w:r w:rsidR="00060E5B">
        <w:rPr>
          <w:vertAlign w:val="superscript"/>
          <w:lang w:val="en-US"/>
        </w:rPr>
        <w:t>18</w:t>
      </w:r>
      <w:r w:rsidR="00060E5B">
        <w:rPr>
          <w:lang w:val="en-US"/>
        </w:rPr>
        <w:t xml:space="preserve">O, and </w:t>
      </w:r>
      <w:r w:rsidR="00060E5B">
        <w:rPr>
          <w:vertAlign w:val="superscript"/>
          <w:lang w:val="en-US"/>
        </w:rPr>
        <w:t>2</w:t>
      </w:r>
      <w:r w:rsidR="00060E5B">
        <w:rPr>
          <w:lang w:val="en-US"/>
        </w:rPr>
        <w:t>H</w:t>
      </w:r>
      <w:r>
        <w:rPr>
          <w:lang w:val="en-US"/>
        </w:rPr>
        <w:t>. The relative abundance of these stable isotopes to their more common forms (e.g.</w:t>
      </w:r>
      <w:r w:rsidR="00060E5B">
        <w:rPr>
          <w:lang w:val="en-US"/>
        </w:rPr>
        <w:t>,</w:t>
      </w:r>
      <w:r>
        <w:rPr>
          <w:lang w:val="en-US"/>
        </w:rPr>
        <w:t xml:space="preserve"> </w:t>
      </w:r>
      <w:r w:rsidRPr="00060E5B">
        <w:rPr>
          <w:vertAlign w:val="superscript"/>
          <w:lang w:val="en-US"/>
        </w:rPr>
        <w:t>12</w:t>
      </w:r>
      <w:r>
        <w:rPr>
          <w:lang w:val="en-US"/>
        </w:rPr>
        <w:t xml:space="preserve">C, </w:t>
      </w:r>
      <w:r w:rsidRPr="00060E5B">
        <w:rPr>
          <w:vertAlign w:val="superscript"/>
          <w:lang w:val="en-US"/>
        </w:rPr>
        <w:t>14</w:t>
      </w:r>
      <w:r>
        <w:rPr>
          <w:lang w:val="en-US"/>
        </w:rPr>
        <w:t xml:space="preserve">N, </w:t>
      </w:r>
      <w:r w:rsidRPr="00060E5B">
        <w:rPr>
          <w:vertAlign w:val="superscript"/>
          <w:lang w:val="en-US"/>
        </w:rPr>
        <w:t>32</w:t>
      </w:r>
      <w:r>
        <w:rPr>
          <w:lang w:val="en-US"/>
        </w:rPr>
        <w:t>S</w:t>
      </w:r>
      <w:r w:rsidR="00060E5B">
        <w:rPr>
          <w:lang w:val="en-US"/>
        </w:rPr>
        <w:t xml:space="preserve">, </w:t>
      </w:r>
      <w:r w:rsidR="00060E5B">
        <w:rPr>
          <w:vertAlign w:val="superscript"/>
          <w:lang w:val="en-US"/>
        </w:rPr>
        <w:t>16</w:t>
      </w:r>
      <w:r w:rsidR="00060E5B">
        <w:rPr>
          <w:lang w:val="en-US"/>
        </w:rPr>
        <w:t xml:space="preserve">O, and </w:t>
      </w:r>
      <w:r w:rsidR="00060E5B">
        <w:rPr>
          <w:vertAlign w:val="superscript"/>
          <w:lang w:val="en-US"/>
        </w:rPr>
        <w:t>1</w:t>
      </w:r>
      <w:r w:rsidR="00060E5B">
        <w:rPr>
          <w:lang w:val="en-US"/>
        </w:rPr>
        <w:t>H</w:t>
      </w:r>
      <w:r>
        <w:rPr>
          <w:lang w:val="en-US"/>
        </w:rPr>
        <w:t>) are compared to established standard reference materials (e.g</w:t>
      </w:r>
      <w:r w:rsidR="00060E5B">
        <w:rPr>
          <w:lang w:val="en-US"/>
        </w:rPr>
        <w:t>.</w:t>
      </w:r>
      <w:r>
        <w:rPr>
          <w:lang w:val="en-US"/>
        </w:rPr>
        <w:t xml:space="preserve">, Peedee limestone for Carbon, Nitrogen in air, or the </w:t>
      </w:r>
      <w:r w:rsidRPr="008F2BC7">
        <w:rPr>
          <w:lang w:val="en-US"/>
        </w:rPr>
        <w:t>Canyon Diablo Troilite meteorite</w:t>
      </w:r>
      <w:r>
        <w:rPr>
          <w:lang w:val="en-US"/>
        </w:rPr>
        <w:t xml:space="preserve"> for Sulfur). Tissues (e.g.</w:t>
      </w:r>
      <w:r w:rsidR="00060E5B">
        <w:rPr>
          <w:lang w:val="en-US"/>
        </w:rPr>
        <w:t>,</w:t>
      </w:r>
      <w:r>
        <w:rPr>
          <w:lang w:val="en-US"/>
        </w:rPr>
        <w:t xml:space="preserve"> muscle, fin, scales, etc</w:t>
      </w:r>
      <w:r w:rsidR="00060E5B">
        <w:rPr>
          <w:lang w:val="en-US"/>
        </w:rPr>
        <w:t>.</w:t>
      </w:r>
      <w:r>
        <w:rPr>
          <w:lang w:val="en-US"/>
        </w:rPr>
        <w:t>) may fractionate isotopes at different rates; while sampling of some tissues may permit non-lethal collection, the stable isotope values from these other tissues are standardized to those of muscle using known correction factors. Certain tissue preservation methods can affect these ratios. Additionally, lipid extraction may also be required on fatty tissues (e.g., C</w:t>
      </w:r>
      <w:r w:rsidR="00060E5B">
        <w:rPr>
          <w:lang w:val="en-US"/>
        </w:rPr>
        <w:t>arbon to Nitrogen</w:t>
      </w:r>
      <w:r>
        <w:rPr>
          <w:lang w:val="en-US"/>
        </w:rPr>
        <w:t xml:space="preserve"> ratios</w:t>
      </w:r>
      <w:r w:rsidR="00060E5B">
        <w:rPr>
          <w:lang w:val="en-US"/>
        </w:rPr>
        <w:t xml:space="preserve"> (</w:t>
      </w:r>
      <w:proofErr w:type="gramStart"/>
      <w:r w:rsidR="00060E5B">
        <w:rPr>
          <w:lang w:val="en-US"/>
        </w:rPr>
        <w:t>C:N</w:t>
      </w:r>
      <w:proofErr w:type="gramEnd"/>
      <w:r w:rsidR="00060E5B">
        <w:rPr>
          <w:lang w:val="en-US"/>
        </w:rPr>
        <w:t>)</w:t>
      </w:r>
      <w:r>
        <w:rPr>
          <w:lang w:val="en-US"/>
        </w:rPr>
        <w:t xml:space="preserve"> &gt; 3.5) to better differentiate diet sources from </w:t>
      </w:r>
      <w:r w:rsidR="00AF0D47">
        <w:rPr>
          <w:lang w:val="en-US"/>
        </w:rPr>
        <w:t>endogenous</w:t>
      </w:r>
      <w:r>
        <w:rPr>
          <w:lang w:val="en-US"/>
        </w:rPr>
        <w:t xml:space="preserve"> lipid signatures. Other isotopes derived from stable isotopes can also be used to determine natal streams (e.g. </w:t>
      </w:r>
      <w:r w:rsidRPr="00060E5B">
        <w:rPr>
          <w:vertAlign w:val="superscript"/>
          <w:lang w:val="en-US"/>
        </w:rPr>
        <w:t>86</w:t>
      </w:r>
      <w:r>
        <w:rPr>
          <w:lang w:val="en-US"/>
        </w:rPr>
        <w:t xml:space="preserve">Strontium, </w:t>
      </w:r>
      <w:r w:rsidRPr="00060E5B">
        <w:rPr>
          <w:vertAlign w:val="superscript"/>
          <w:lang w:val="en-US"/>
        </w:rPr>
        <w:t>87</w:t>
      </w:r>
      <w:r>
        <w:rPr>
          <w:lang w:val="en-US"/>
        </w:rPr>
        <w:t xml:space="preserve">Strontium). </w:t>
      </w:r>
    </w:p>
    <w:p w14:paraId="77B1BBB3" w14:textId="532B9A13" w:rsidR="008F2BC7" w:rsidRPr="00060E5B" w:rsidRDefault="008F2BC7">
      <w:pPr>
        <w:rPr>
          <w:lang w:val="en-US"/>
        </w:rPr>
      </w:pPr>
      <w:r w:rsidRPr="00060E5B">
        <w:rPr>
          <w:lang w:val="en-US"/>
        </w:rPr>
        <w:t xml:space="preserve">Key </w:t>
      </w:r>
      <w:r w:rsidR="00060E5B" w:rsidRPr="00060E5B">
        <w:rPr>
          <w:lang w:val="en-US"/>
        </w:rPr>
        <w:t>Citation</w:t>
      </w:r>
      <w:r w:rsidRPr="00060E5B">
        <w:rPr>
          <w:lang w:val="en-US"/>
        </w:rPr>
        <w:t xml:space="preserve">: </w:t>
      </w:r>
    </w:p>
    <w:p w14:paraId="4D5DC029" w14:textId="77777777" w:rsidR="00060E5B" w:rsidRDefault="008F2BC7" w:rsidP="00060E5B">
      <w:pPr>
        <w:ind w:left="720" w:hanging="720"/>
        <w:rPr>
          <w:lang w:val="en-US"/>
        </w:rPr>
      </w:pPr>
      <w:r w:rsidRPr="00060E5B">
        <w:rPr>
          <w:lang w:val="en-US"/>
        </w:rPr>
        <w:t xml:space="preserve">Fincel MJ, </w:t>
      </w:r>
      <w:proofErr w:type="spellStart"/>
      <w:r w:rsidRPr="00060E5B">
        <w:rPr>
          <w:lang w:val="en-US"/>
        </w:rPr>
        <w:t>vanDeHey</w:t>
      </w:r>
      <w:proofErr w:type="spellEnd"/>
      <w:r w:rsidRPr="00060E5B">
        <w:rPr>
          <w:lang w:val="en-US"/>
        </w:rPr>
        <w:t xml:space="preserve"> JA and Chipps SR. 2011. Non-lethal sampling of walleye for stable isotope analysis: a comparison of three tissues. Fisheries Management and Ecology, 19(4): 283-292.</w:t>
      </w:r>
      <w:r w:rsidR="00060E5B">
        <w:rPr>
          <w:lang w:val="en-US"/>
        </w:rPr>
        <w:t xml:space="preserve"> </w:t>
      </w:r>
      <w:hyperlink r:id="rId6" w:history="1">
        <w:r w:rsidR="00060E5B" w:rsidRPr="00DC093C">
          <w:rPr>
            <w:rStyle w:val="Hyperlink"/>
            <w:lang w:val="en-US"/>
          </w:rPr>
          <w:t>https://doi.org/10.1111/j.1365-2400.2011.00830.x</w:t>
        </w:r>
      </w:hyperlink>
    </w:p>
    <w:p w14:paraId="1A842F14" w14:textId="77777777" w:rsidR="00060E5B" w:rsidRDefault="008F2BC7" w:rsidP="00060E5B">
      <w:pPr>
        <w:ind w:left="720" w:hanging="720"/>
        <w:rPr>
          <w:lang w:val="en-US"/>
        </w:rPr>
      </w:pPr>
      <w:r w:rsidRPr="00060E5B">
        <w:rPr>
          <w:lang w:val="en-US"/>
        </w:rPr>
        <w:t xml:space="preserve">Kennedy BP, Blum JD, Folt CL and </w:t>
      </w:r>
      <w:proofErr w:type="spellStart"/>
      <w:r w:rsidRPr="00060E5B">
        <w:rPr>
          <w:lang w:val="en-US"/>
        </w:rPr>
        <w:t>Nislow</w:t>
      </w:r>
      <w:proofErr w:type="spellEnd"/>
      <w:r w:rsidRPr="00060E5B">
        <w:rPr>
          <w:lang w:val="en-US"/>
        </w:rPr>
        <w:t xml:space="preserve"> KH. 2000. Using natural strontium isotopic signatures as fish markers: methodology and application. Canadian Journal of Fisheries and Aquatic Sciences 57(11): 2280-2292.</w:t>
      </w:r>
      <w:r w:rsidR="00060E5B" w:rsidRPr="00060E5B">
        <w:t xml:space="preserve"> </w:t>
      </w:r>
      <w:hyperlink r:id="rId7" w:history="1">
        <w:r w:rsidR="00060E5B" w:rsidRPr="00DC093C">
          <w:rPr>
            <w:rStyle w:val="Hyperlink"/>
            <w:lang w:val="en-US"/>
          </w:rPr>
          <w:t>https://doi.org/10.1139/f00-206</w:t>
        </w:r>
      </w:hyperlink>
    </w:p>
    <w:p w14:paraId="59F0B227" w14:textId="71A63E0B" w:rsidR="00060E5B" w:rsidRDefault="008F2BC7" w:rsidP="00060E5B">
      <w:pPr>
        <w:ind w:left="720" w:hanging="720"/>
      </w:pPr>
      <w:r w:rsidRPr="00060E5B">
        <w:t>Peterson BJ and Fry B. 1987. Stable isotopes in ecosystem studies. Annual Review of Ecology and Systematics, 18: 293-320.</w:t>
      </w:r>
      <w:r w:rsidR="00060E5B">
        <w:t xml:space="preserve"> </w:t>
      </w:r>
      <w:hyperlink r:id="rId8" w:history="1">
        <w:r w:rsidR="00060E5B" w:rsidRPr="00DC093C">
          <w:rPr>
            <w:rStyle w:val="Hyperlink"/>
          </w:rPr>
          <w:t>https://doi.org/10.1146/annurev.es.18.110187.001453</w:t>
        </w:r>
      </w:hyperlink>
    </w:p>
    <w:p w14:paraId="49512460" w14:textId="70A37E5F" w:rsidR="00060E5B" w:rsidRDefault="008F2BC7" w:rsidP="00060E5B">
      <w:pPr>
        <w:ind w:left="720" w:hanging="720"/>
      </w:pPr>
      <w:r w:rsidRPr="00060E5B">
        <w:rPr>
          <w:rFonts w:eastAsia="Cambria"/>
          <w:bCs/>
          <w:color w:val="000000"/>
        </w:rPr>
        <w:t>Rennie, M.D.,</w:t>
      </w:r>
      <w:r w:rsidRPr="00060E5B">
        <w:rPr>
          <w:rFonts w:eastAsia="Cambria"/>
          <w:color w:val="000000"/>
        </w:rPr>
        <w:t xml:space="preserve"> Ozersky, T. and Evans, D.O. 2012. Effects of formalin preservation on freshwater benthic invertebrate isotopic values over decadal time scales. Canadian Journal of Zoology 90: 1320</w:t>
      </w:r>
      <w:r w:rsidRPr="00060E5B">
        <w:t>–</w:t>
      </w:r>
      <w:r w:rsidRPr="00060E5B">
        <w:rPr>
          <w:rFonts w:eastAsia="Cambria"/>
          <w:color w:val="000000"/>
        </w:rPr>
        <w:t xml:space="preserve">1327. </w:t>
      </w:r>
      <w:hyperlink r:id="rId9" w:history="1">
        <w:r w:rsidR="00060E5B" w:rsidRPr="00DC093C">
          <w:rPr>
            <w:rStyle w:val="Hyperlink"/>
            <w:rFonts w:eastAsia="Cambria"/>
          </w:rPr>
          <w:t>https://doi.org/10.1139/z2012-101</w:t>
        </w:r>
      </w:hyperlink>
    </w:p>
    <w:p w14:paraId="7A804908" w14:textId="4D906222" w:rsidR="008F2BC7" w:rsidRDefault="008F2BC7" w:rsidP="00060E5B">
      <w:pPr>
        <w:ind w:left="720" w:hanging="720"/>
        <w:rPr>
          <w:rFonts w:cs="Times New Roman"/>
        </w:rPr>
      </w:pPr>
      <w:r w:rsidRPr="00060E5B">
        <w:rPr>
          <w:rFonts w:cs="Times New Roman"/>
          <w:lang w:val="en-US"/>
        </w:rPr>
        <w:t xml:space="preserve">Sweeting, C.J., Polunin, N.V.C., &amp; Jennings, S. (2006) </w:t>
      </w:r>
      <w:r w:rsidRPr="00060E5B">
        <w:rPr>
          <w:rFonts w:cs="Times New Roman"/>
        </w:rPr>
        <w:t xml:space="preserve">Effects of chemical lipid extraction and arithmetic lipid correction on stable isotope ratios of fish tissues. </w:t>
      </w:r>
      <w:r w:rsidRPr="00060E5B">
        <w:rPr>
          <w:rFonts w:cs="Times New Roman"/>
          <w:i/>
        </w:rPr>
        <w:t xml:space="preserve">Rapid </w:t>
      </w:r>
      <w:r w:rsidRPr="00060E5B">
        <w:rPr>
          <w:rFonts w:cs="Times New Roman"/>
          <w:i/>
        </w:rPr>
        <w:lastRenderedPageBreak/>
        <w:t xml:space="preserve">Communications </w:t>
      </w:r>
      <w:proofErr w:type="gramStart"/>
      <w:r w:rsidRPr="00060E5B">
        <w:rPr>
          <w:rFonts w:cs="Times New Roman"/>
          <w:i/>
        </w:rPr>
        <w:t>In</w:t>
      </w:r>
      <w:proofErr w:type="gramEnd"/>
      <w:r w:rsidRPr="00060E5B">
        <w:rPr>
          <w:rFonts w:cs="Times New Roman"/>
          <w:i/>
        </w:rPr>
        <w:t xml:space="preserve"> Mass Spectrometry</w:t>
      </w:r>
      <w:r w:rsidRPr="00060E5B">
        <w:rPr>
          <w:rFonts w:cs="Times New Roman"/>
        </w:rPr>
        <w:t xml:space="preserve">, </w:t>
      </w:r>
      <w:r w:rsidRPr="00060E5B">
        <w:rPr>
          <w:rFonts w:cs="Times New Roman"/>
          <w:b/>
        </w:rPr>
        <w:t>20</w:t>
      </w:r>
      <w:r w:rsidRPr="00060E5B">
        <w:rPr>
          <w:rFonts w:cs="Times New Roman"/>
        </w:rPr>
        <w:t>,595-601.</w:t>
      </w:r>
      <w:r w:rsidR="00060E5B">
        <w:rPr>
          <w:rFonts w:cs="Times New Roman"/>
        </w:rPr>
        <w:t xml:space="preserve"> </w:t>
      </w:r>
      <w:hyperlink r:id="rId10" w:history="1">
        <w:r w:rsidR="00060E5B" w:rsidRPr="00DC093C">
          <w:rPr>
            <w:rStyle w:val="Hyperlink"/>
            <w:rFonts w:cs="Times New Roman"/>
          </w:rPr>
          <w:t>https://doi.org/10.1002/rcm.2347</w:t>
        </w:r>
      </w:hyperlink>
    </w:p>
    <w:p w14:paraId="798B8229" w14:textId="77777777" w:rsidR="00060E5B" w:rsidRPr="00060E5B" w:rsidRDefault="00060E5B" w:rsidP="00060E5B">
      <w:pPr>
        <w:ind w:left="720" w:hanging="720"/>
      </w:pPr>
    </w:p>
    <w:sectPr w:rsidR="00060E5B" w:rsidRPr="00060E5B" w:rsidSect="002319ED">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204F" w14:textId="77777777" w:rsidR="00EF101E" w:rsidRDefault="00EF101E" w:rsidP="00060E5B">
      <w:pPr>
        <w:spacing w:after="0" w:line="240" w:lineRule="auto"/>
      </w:pPr>
      <w:r>
        <w:separator/>
      </w:r>
    </w:p>
  </w:endnote>
  <w:endnote w:type="continuationSeparator" w:id="0">
    <w:p w14:paraId="256E0C3E" w14:textId="77777777" w:rsidR="00EF101E" w:rsidRDefault="00EF101E" w:rsidP="0006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8509172"/>
      <w:docPartObj>
        <w:docPartGallery w:val="Page Numbers (Bottom of Page)"/>
        <w:docPartUnique/>
      </w:docPartObj>
    </w:sdtPr>
    <w:sdtContent>
      <w:p w14:paraId="729E8DAA" w14:textId="6C334A7F" w:rsidR="00060E5B" w:rsidRDefault="00060E5B" w:rsidP="00DC09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CF8CC2" w14:textId="77777777" w:rsidR="00060E5B" w:rsidRDefault="00060E5B" w:rsidP="00060E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9330454"/>
      <w:docPartObj>
        <w:docPartGallery w:val="Page Numbers (Bottom of Page)"/>
        <w:docPartUnique/>
      </w:docPartObj>
    </w:sdtPr>
    <w:sdtContent>
      <w:p w14:paraId="5A343DC9" w14:textId="2345B8DD" w:rsidR="00060E5B" w:rsidRDefault="00060E5B" w:rsidP="00DC09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C7557D" w14:textId="77777777" w:rsidR="00060E5B" w:rsidRDefault="00060E5B" w:rsidP="00060E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84DE" w14:textId="77777777" w:rsidR="00EF101E" w:rsidRDefault="00EF101E" w:rsidP="00060E5B">
      <w:pPr>
        <w:spacing w:after="0" w:line="240" w:lineRule="auto"/>
      </w:pPr>
      <w:r>
        <w:separator/>
      </w:r>
    </w:p>
  </w:footnote>
  <w:footnote w:type="continuationSeparator" w:id="0">
    <w:p w14:paraId="5955A010" w14:textId="77777777" w:rsidR="00EF101E" w:rsidRDefault="00EF101E" w:rsidP="00060E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C7"/>
    <w:rsid w:val="00060E5B"/>
    <w:rsid w:val="00117DFA"/>
    <w:rsid w:val="00187BE5"/>
    <w:rsid w:val="002319ED"/>
    <w:rsid w:val="006C48CF"/>
    <w:rsid w:val="0072594D"/>
    <w:rsid w:val="00775D6E"/>
    <w:rsid w:val="008F2BC7"/>
    <w:rsid w:val="00A27F89"/>
    <w:rsid w:val="00A71299"/>
    <w:rsid w:val="00AF0D47"/>
    <w:rsid w:val="00EF101E"/>
    <w:rsid w:val="00F14B77"/>
    <w:rsid w:val="00F16F1F"/>
    <w:rsid w:val="00F263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5071"/>
  <w15:chartTrackingRefBased/>
  <w15:docId w15:val="{CC0D5C0D-C0A7-D742-B202-33F33021B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BC7"/>
    <w:rPr>
      <w:rFonts w:eastAsiaTheme="majorEastAsia" w:cstheme="majorBidi"/>
      <w:color w:val="272727" w:themeColor="text1" w:themeTint="D8"/>
    </w:rPr>
  </w:style>
  <w:style w:type="paragraph" w:styleId="Title">
    <w:name w:val="Title"/>
    <w:basedOn w:val="Normal"/>
    <w:next w:val="Normal"/>
    <w:link w:val="TitleChar"/>
    <w:uiPriority w:val="10"/>
    <w:qFormat/>
    <w:rsid w:val="008F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BC7"/>
    <w:pPr>
      <w:spacing w:before="160"/>
      <w:jc w:val="center"/>
    </w:pPr>
    <w:rPr>
      <w:i/>
      <w:iCs/>
      <w:color w:val="404040" w:themeColor="text1" w:themeTint="BF"/>
    </w:rPr>
  </w:style>
  <w:style w:type="character" w:customStyle="1" w:styleId="QuoteChar">
    <w:name w:val="Quote Char"/>
    <w:basedOn w:val="DefaultParagraphFont"/>
    <w:link w:val="Quote"/>
    <w:uiPriority w:val="29"/>
    <w:rsid w:val="008F2BC7"/>
    <w:rPr>
      <w:i/>
      <w:iCs/>
      <w:color w:val="404040" w:themeColor="text1" w:themeTint="BF"/>
    </w:rPr>
  </w:style>
  <w:style w:type="paragraph" w:styleId="ListParagraph">
    <w:name w:val="List Paragraph"/>
    <w:basedOn w:val="Normal"/>
    <w:uiPriority w:val="34"/>
    <w:qFormat/>
    <w:rsid w:val="008F2BC7"/>
    <w:pPr>
      <w:ind w:left="720"/>
      <w:contextualSpacing/>
    </w:pPr>
  </w:style>
  <w:style w:type="character" w:styleId="IntenseEmphasis">
    <w:name w:val="Intense Emphasis"/>
    <w:basedOn w:val="DefaultParagraphFont"/>
    <w:uiPriority w:val="21"/>
    <w:qFormat/>
    <w:rsid w:val="008F2BC7"/>
    <w:rPr>
      <w:i/>
      <w:iCs/>
      <w:color w:val="0F4761" w:themeColor="accent1" w:themeShade="BF"/>
    </w:rPr>
  </w:style>
  <w:style w:type="paragraph" w:styleId="IntenseQuote">
    <w:name w:val="Intense Quote"/>
    <w:basedOn w:val="Normal"/>
    <w:next w:val="Normal"/>
    <w:link w:val="IntenseQuoteChar"/>
    <w:uiPriority w:val="30"/>
    <w:qFormat/>
    <w:rsid w:val="008F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BC7"/>
    <w:rPr>
      <w:i/>
      <w:iCs/>
      <w:color w:val="0F4761" w:themeColor="accent1" w:themeShade="BF"/>
    </w:rPr>
  </w:style>
  <w:style w:type="character" w:styleId="IntenseReference">
    <w:name w:val="Intense Reference"/>
    <w:basedOn w:val="DefaultParagraphFont"/>
    <w:uiPriority w:val="32"/>
    <w:qFormat/>
    <w:rsid w:val="008F2BC7"/>
    <w:rPr>
      <w:b/>
      <w:bCs/>
      <w:smallCaps/>
      <w:color w:val="0F4761" w:themeColor="accent1" w:themeShade="BF"/>
      <w:spacing w:val="5"/>
    </w:rPr>
  </w:style>
  <w:style w:type="character" w:styleId="Hyperlink">
    <w:name w:val="Hyperlink"/>
    <w:basedOn w:val="DefaultParagraphFont"/>
    <w:uiPriority w:val="99"/>
    <w:unhideWhenUsed/>
    <w:rsid w:val="00060E5B"/>
    <w:rPr>
      <w:color w:val="467886" w:themeColor="hyperlink"/>
      <w:u w:val="single"/>
    </w:rPr>
  </w:style>
  <w:style w:type="character" w:styleId="UnresolvedMention">
    <w:name w:val="Unresolved Mention"/>
    <w:basedOn w:val="DefaultParagraphFont"/>
    <w:uiPriority w:val="99"/>
    <w:semiHidden/>
    <w:unhideWhenUsed/>
    <w:rsid w:val="00060E5B"/>
    <w:rPr>
      <w:color w:val="605E5C"/>
      <w:shd w:val="clear" w:color="auto" w:fill="E1DFDD"/>
    </w:rPr>
  </w:style>
  <w:style w:type="paragraph" w:styleId="Header">
    <w:name w:val="header"/>
    <w:basedOn w:val="Normal"/>
    <w:link w:val="HeaderChar"/>
    <w:uiPriority w:val="99"/>
    <w:unhideWhenUsed/>
    <w:rsid w:val="00060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E5B"/>
  </w:style>
  <w:style w:type="paragraph" w:styleId="Footer">
    <w:name w:val="footer"/>
    <w:basedOn w:val="Normal"/>
    <w:link w:val="FooterChar"/>
    <w:uiPriority w:val="99"/>
    <w:unhideWhenUsed/>
    <w:rsid w:val="00060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E5B"/>
  </w:style>
  <w:style w:type="character" w:styleId="PageNumber">
    <w:name w:val="page number"/>
    <w:basedOn w:val="DefaultParagraphFont"/>
    <w:uiPriority w:val="99"/>
    <w:semiHidden/>
    <w:unhideWhenUsed/>
    <w:rsid w:val="0006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6/annurev.es.18.110187.001453"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39/f00-206"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j.1365-2400.2011.00830.x"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doi.org/10.1002/rcm.2347" TargetMode="External"/><Relationship Id="rId4" Type="http://schemas.openxmlformats.org/officeDocument/2006/relationships/footnotes" Target="footnotes.xml"/><Relationship Id="rId9" Type="http://schemas.openxmlformats.org/officeDocument/2006/relationships/hyperlink" Target="https://doi.org/10.1139/z2012-1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2439</Characters>
  <Application>Microsoft Office Word</Application>
  <DocSecurity>0</DocSecurity>
  <Lines>38</Lines>
  <Paragraphs>11</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Rennie</dc:creator>
  <cp:keywords/>
  <dc:description/>
  <cp:lastModifiedBy>Ben Hlina</cp:lastModifiedBy>
  <cp:revision>3</cp:revision>
  <cp:lastPrinted>2026-02-23T21:10:00Z</cp:lastPrinted>
  <dcterms:created xsi:type="dcterms:W3CDTF">2026-02-23T21:10:00Z</dcterms:created>
  <dcterms:modified xsi:type="dcterms:W3CDTF">2026-02-23T21:10:00Z</dcterms:modified>
</cp:coreProperties>
</file>