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lineRule="auto" w:line="360" w:before="240" w:after="120"/>
        <w:rPr>
          <w:rFonts w:ascii="Source Sans Pro SemiBold" w:hAnsi="Source Sans Pro SemiBold" w:eastAsia="Source Sans Pro SemiBold" w:cs="Source Sans Pro SemiBold"/>
          <w:b/>
          <w:b/>
          <w:color w:val="222668"/>
          <w:sz w:val="32"/>
          <w:szCs w:val="32"/>
        </w:rPr>
      </w:pPr>
      <w:r>
        <w:rPr>
          <w:rFonts w:eastAsia="Source Sans Pro SemiBold" w:cs="Source Sans Pro SemiBold" w:ascii="Source Sans Pro SemiBold" w:hAnsi="Source Sans Pro SemiBold"/>
          <w:b/>
          <w:color w:val="222668"/>
          <w:sz w:val="32"/>
          <w:szCs w:val="32"/>
        </w:rPr>
      </w:r>
    </w:p>
    <w:p>
      <w:pPr>
        <w:pStyle w:val="Heading1"/>
        <w:spacing w:lineRule="auto" w:line="360" w:before="240" w:after="120"/>
        <w:rPr/>
      </w:pPr>
      <w:bookmarkStart w:id="0" w:name="_3u8yhowwyp1g"/>
      <w:bookmarkEnd w:id="0"/>
      <w:r>
        <w:rPr>
          <w:rFonts w:eastAsia="Source Sans Pro SemiBold" w:cs="Source Sans Pro SemiBold" w:ascii="Source Sans Pro SemiBold" w:hAnsi="Source Sans Pro SemiBold"/>
          <w:b/>
          <w:color w:val="222668"/>
          <w:sz w:val="32"/>
          <w:szCs w:val="32"/>
        </w:rPr>
        <w:t>Supplementary information to “Determinants of RSV resurgence following COVID-19-related non-pharmaceutical interventions”</w:t>
      </w:r>
    </w:p>
    <w:p>
      <w:pPr>
        <w:pStyle w:val="Heading1"/>
        <w:spacing w:lineRule="auto" w:line="360" w:before="240" w:after="120"/>
        <w:rPr/>
      </w:pPr>
      <w:bookmarkStart w:id="1" w:name="_yumsay6ncu43"/>
      <w:bookmarkEnd w:id="1"/>
      <w:r>
        <w:rPr>
          <w:rFonts w:eastAsia="Source Sans Pro SemiBold" w:cs="Source Sans Pro SemiBold" w:ascii="Source Sans Pro SemiBold" w:hAnsi="Source Sans Pro SemiBold"/>
          <w:b/>
          <w:color w:val="222668"/>
          <w:sz w:val="32"/>
          <w:szCs w:val="32"/>
        </w:rPr>
        <w:t>Supplementary Tables</w:t>
      </w:r>
    </w:p>
    <w:p>
      <w:pPr>
        <w:pStyle w:val="LOnormal"/>
        <w:spacing w:lineRule="auto" w:line="360"/>
        <w:ind w:right="-330" w:hanging="0"/>
        <w:rPr/>
      </w:pPr>
      <w:r>
        <w:rPr>
          <w:b/>
        </w:rPr>
        <w:t>SI Table 1</w:t>
      </w:r>
      <w:r>
        <w:rPr>
          <w:i/>
        </w:rPr>
        <w:t xml:space="preserve"> Demographic parameters used in the model</w:t>
      </w:r>
    </w:p>
    <w:tbl>
      <w:tblPr>
        <w:tblW w:w="9600" w:type="dxa"/>
        <w:jc w:val="left"/>
        <w:tblInd w:w="100" w:type="dxa"/>
        <w:tblCellMar>
          <w:top w:w="100" w:type="dxa"/>
          <w:left w:w="100" w:type="dxa"/>
          <w:bottom w:w="100" w:type="dxa"/>
          <w:right w:w="100" w:type="dxa"/>
        </w:tblCellMar>
        <w:tblLook w:val="0600" w:noHBand="1" w:noVBand="1" w:firstColumn="0" w:lastRow="0" w:lastColumn="0" w:firstRow="0"/>
      </w:tblPr>
      <w:tblGrid>
        <w:gridCol w:w="4245"/>
        <w:gridCol w:w="5354"/>
      </w:tblGrid>
      <w:tr>
        <w:trPr/>
        <w:tc>
          <w:tcPr>
            <w:tcW w:w="424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b/>
              </w:rPr>
              <w:t>Parameter</w:t>
            </w:r>
          </w:p>
        </w:tc>
        <w:tc>
          <w:tcPr>
            <w:tcW w:w="535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b/>
              </w:rPr>
              <w:t>Values</w:t>
            </w:r>
          </w:p>
        </w:tc>
      </w:tr>
      <w:tr>
        <w:trPr/>
        <w:tc>
          <w:tcPr>
            <w:tcW w:w="424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Age groups</w:t>
            </w:r>
          </w:p>
        </w:tc>
        <w:tc>
          <w:tcPr>
            <w:tcW w:w="535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11 age groups: [0-0.5), [0.5-1), [1-1.5), [1.5-2), [2-3), [3-4), [4-5), [5-15), [15-45), [45-65), [65-100] years of age</w:t>
            </w:r>
          </w:p>
        </w:tc>
      </w:tr>
      <w:tr>
        <w:trPr/>
        <w:tc>
          <w:tcPr>
            <w:tcW w:w="424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Death rates per age group (per 1000 person years)</w:t>
            </w:r>
          </w:p>
        </w:tc>
        <w:tc>
          <w:tcPr>
            <w:tcW w:w="535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[10.95, 10.95, 0.365, 0.365, 0.365, 0.365, 0.365, 0, 0, 0.365, 65.335]</w:t>
            </w:r>
          </w:p>
        </w:tc>
      </w:tr>
      <w:tr>
        <w:trPr/>
        <w:tc>
          <w:tcPr>
            <w:tcW w:w="424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Thousands of persons by age groups in the model</w:t>
            </w:r>
          </w:p>
        </w:tc>
        <w:tc>
          <w:tcPr>
            <w:tcW w:w="535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420, 418, 418, 418, 835, 835, 834, 8342, 25027, 16563, 12676 (ONS 2020 mid-year estimates: 351, 351, 365, 365, 759, 783, 808, 8193, 25311, 17287, 12509)</w:t>
            </w:r>
          </w:p>
        </w:tc>
      </w:tr>
    </w:tbl>
    <w:p>
      <w:pPr>
        <w:pStyle w:val="LOnormal"/>
        <w:spacing w:lineRule="auto" w:line="360"/>
        <w:ind w:right="-330" w:hanging="0"/>
        <w:rPr>
          <w:b/>
          <w:b/>
        </w:rPr>
      </w:pPr>
      <w:r>
        <w:rPr>
          <w:b/>
        </w:rPr>
      </w:r>
    </w:p>
    <w:p>
      <w:pPr>
        <w:pStyle w:val="LOnormal"/>
        <w:spacing w:lineRule="auto" w:line="360"/>
        <w:ind w:right="-330" w:hanging="0"/>
        <w:rPr/>
      </w:pPr>
      <w:r>
        <w:rPr>
          <w:b/>
        </w:rPr>
        <w:t>SI Table 2</w:t>
      </w:r>
      <w:r>
        <w:rPr/>
        <w:t>: First two criteria for parameter selection. We selected parameter sets that satisfied these criteria for 8 out of 11 age groups in the 2017-18 and 2018-19 seasons. The attack rate estimates are from the household surveillance study [37]</w:t>
      </w:r>
      <w:r>
        <w:rPr>
          <w:sz w:val="28"/>
          <w:szCs w:val="28"/>
        </w:rPr>
        <w:t xml:space="preserve">. </w:t>
      </w:r>
      <w:r>
        <w:rPr/>
        <w:t>Seasonal concentration and peak week estimates are from RSV surveillance data in the United Kingdom [9].</w:t>
      </w:r>
    </w:p>
    <w:p>
      <w:pPr>
        <w:pStyle w:val="LOnormal"/>
        <w:spacing w:lineRule="auto" w:line="360"/>
        <w:ind w:right="-330" w:hanging="0"/>
        <w:rPr/>
      </w:pPr>
      <w:r>
        <w:rPr/>
      </w:r>
    </w:p>
    <w:tbl>
      <w:tblPr>
        <w:tblW w:w="9644" w:type="dxa"/>
        <w:jc w:val="left"/>
        <w:tblInd w:w="100" w:type="dxa"/>
        <w:tblCellMar>
          <w:top w:w="100" w:type="dxa"/>
          <w:left w:w="100" w:type="dxa"/>
          <w:bottom w:w="100" w:type="dxa"/>
          <w:right w:w="100" w:type="dxa"/>
        </w:tblCellMar>
        <w:tblLook w:val="0600" w:noHBand="1" w:noVBand="1" w:firstColumn="0" w:lastRow="0" w:lastColumn="0" w:firstRow="0"/>
      </w:tblPr>
      <w:tblGrid>
        <w:gridCol w:w="3214"/>
        <w:gridCol w:w="3215"/>
        <w:gridCol w:w="3215"/>
      </w:tblGrid>
      <w:tr>
        <w:trPr/>
        <w:tc>
          <w:tcPr>
            <w:tcW w:w="321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b/>
                <w:sz w:val="20"/>
                <w:szCs w:val="20"/>
              </w:rPr>
              <w:t>Age group</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b/>
                <w:sz w:val="20"/>
                <w:szCs w:val="20"/>
              </w:rPr>
              <w:t>Symptomatic attack rates (acceptable range)</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b/>
                <w:sz w:val="20"/>
                <w:szCs w:val="20"/>
              </w:rPr>
              <w:t>Seasonal concentration of infections</w:t>
            </w:r>
          </w:p>
        </w:tc>
      </w:tr>
      <w:tr>
        <w:trPr/>
        <w:tc>
          <w:tcPr>
            <w:tcW w:w="321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&lt;0.5 year, [0.5-1) y</w:t>
            </w:r>
          </w:p>
          <w:p>
            <w:pPr>
              <w:pStyle w:val="LOnormal"/>
              <w:widowControl w:val="false"/>
              <w:spacing w:lineRule="auto" w:line="360"/>
              <w:rPr>
                <w:sz w:val="20"/>
                <w:szCs w:val="20"/>
              </w:rPr>
            </w:pPr>
            <w:r>
              <w:rPr>
                <w:sz w:val="20"/>
                <w:szCs w:val="20"/>
              </w:rPr>
            </w:r>
          </w:p>
          <w:p>
            <w:pPr>
              <w:pStyle w:val="LOnormal"/>
              <w:widowControl w:val="false"/>
              <w:spacing w:lineRule="auto" w:line="360"/>
              <w:rPr>
                <w:sz w:val="20"/>
                <w:szCs w:val="20"/>
              </w:rPr>
            </w:pPr>
            <w:r>
              <w:rPr>
                <w:sz w:val="20"/>
                <w:szCs w:val="20"/>
              </w:rPr>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54.5% (27.3-109%)</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&gt;85% from week 40 to week 13 (inclusive)</w:t>
            </w:r>
          </w:p>
        </w:tc>
      </w:tr>
      <w:tr>
        <w:trPr/>
        <w:tc>
          <w:tcPr>
            <w:tcW w:w="321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[1-2)y, [2-3)y, [3-4)y, [4-5)y</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52.4% (26.2-105%)</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(same for all age groups)</w:t>
            </w:r>
          </w:p>
        </w:tc>
      </w:tr>
      <w:tr>
        <w:trPr/>
        <w:tc>
          <w:tcPr>
            <w:tcW w:w="321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5-15y</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21.5% (10.75-42.9%)</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sz w:val="20"/>
                <w:szCs w:val="20"/>
              </w:rPr>
            </w:pPr>
            <w:r>
              <w:rPr>
                <w:sz w:val="20"/>
                <w:szCs w:val="20"/>
              </w:rPr>
            </w:r>
          </w:p>
        </w:tc>
      </w:tr>
      <w:tr>
        <w:trPr/>
        <w:tc>
          <w:tcPr>
            <w:tcW w:w="321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15-45y</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6.38% (3.19-12.77%)</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sz w:val="20"/>
                <w:szCs w:val="20"/>
              </w:rPr>
            </w:pPr>
            <w:r>
              <w:rPr>
                <w:sz w:val="20"/>
                <w:szCs w:val="20"/>
              </w:rPr>
            </w:r>
          </w:p>
        </w:tc>
      </w:tr>
      <w:tr>
        <w:trPr/>
        <w:tc>
          <w:tcPr>
            <w:tcW w:w="321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45-65y</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4.76% (2.38-9.52%)</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sz w:val="20"/>
                <w:szCs w:val="20"/>
              </w:rPr>
            </w:pPr>
            <w:r>
              <w:rPr>
                <w:sz w:val="20"/>
                <w:szCs w:val="20"/>
              </w:rPr>
            </w:r>
          </w:p>
        </w:tc>
      </w:tr>
      <w:tr>
        <w:trPr/>
        <w:tc>
          <w:tcPr>
            <w:tcW w:w="3214"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65+y</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pPr>
            <w:r>
              <w:rPr>
                <w:sz w:val="20"/>
                <w:szCs w:val="20"/>
              </w:rPr>
              <w:t>4.76% (2.38-9.52%)</w:t>
            </w:r>
          </w:p>
        </w:tc>
        <w:tc>
          <w:tcPr>
            <w:tcW w:w="3215"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pacing w:lineRule="auto" w:line="360"/>
              <w:rPr>
                <w:sz w:val="20"/>
                <w:szCs w:val="20"/>
              </w:rPr>
            </w:pPr>
            <w:r>
              <w:rPr>
                <w:sz w:val="20"/>
                <w:szCs w:val="20"/>
              </w:rPr>
            </w:r>
          </w:p>
        </w:tc>
      </w:tr>
    </w:tbl>
    <w:p>
      <w:pPr>
        <w:pStyle w:val="LOnormal"/>
        <w:spacing w:lineRule="auto" w:line="360"/>
        <w:ind w:right="-330" w:hanging="0"/>
        <w:rPr>
          <w:sz w:val="20"/>
          <w:szCs w:val="20"/>
        </w:rPr>
      </w:pPr>
      <w:r>
        <w:rPr>
          <w:sz w:val="20"/>
          <w:szCs w:val="20"/>
        </w:rPr>
      </w:r>
    </w:p>
    <w:p>
      <w:pPr>
        <w:pStyle w:val="LOnormal"/>
        <w:spacing w:lineRule="auto" w:line="360"/>
        <w:rPr/>
      </w:pPr>
      <w:r>
        <w:rPr>
          <w:b/>
        </w:rPr>
        <w:t>SI Table 3</w:t>
      </w:r>
      <w:r>
        <w:rPr/>
        <w:t>: Hospitalisation probability per infection (median estimates from [15])</w:t>
      </w:r>
    </w:p>
    <w:p>
      <w:pPr>
        <w:pStyle w:val="LOnormal"/>
        <w:spacing w:lineRule="auto" w:line="360"/>
        <w:rPr/>
      </w:pPr>
      <w:r>
        <w:rPr/>
      </w:r>
    </w:p>
    <w:tbl>
      <w:tblPr>
        <w:tblW w:w="8352" w:type="dxa"/>
        <w:jc w:val="left"/>
        <w:tblInd w:w="100" w:type="dxa"/>
        <w:tblCellMar>
          <w:top w:w="100" w:type="dxa"/>
          <w:left w:w="100" w:type="dxa"/>
          <w:bottom w:w="100" w:type="dxa"/>
          <w:right w:w="100" w:type="dxa"/>
        </w:tblCellMar>
        <w:tblLook w:val="0600" w:noHBand="1" w:noVBand="1" w:firstColumn="0" w:lastRow="0" w:lastColumn="0" w:firstRow="0"/>
      </w:tblPr>
      <w:tblGrid>
        <w:gridCol w:w="2640"/>
        <w:gridCol w:w="5711"/>
      </w:tblGrid>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b/>
                <w:sz w:val="20"/>
                <w:szCs w:val="20"/>
              </w:rPr>
              <w:t>Age group</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b/>
                <w:sz w:val="20"/>
                <w:szCs w:val="20"/>
              </w:rPr>
              <w:t>Hospitalisation probability %</w:t>
            </w:r>
            <w:r>
              <w:rPr>
                <w:sz w:val="20"/>
                <w:szCs w:val="20"/>
              </w:rPr>
              <w:t xml:space="preserve"> (median value) </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0-0.5</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5.88%</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0.5-1</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2.06%</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1-1.5</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0.48%</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1.5-2</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0.48%</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2-3</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0.61%</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3-4</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0.68%</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4-5</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0.72%</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5-15</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0.0061%</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15-45</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0.0061%</w:t>
            </w:r>
          </w:p>
        </w:tc>
      </w:tr>
      <w:tr>
        <w:trPr>
          <w:trHeight w:val="455"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45-65</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0.1%</w:t>
            </w:r>
          </w:p>
        </w:tc>
      </w:tr>
      <w:tr>
        <w:trPr>
          <w:trHeight w:val="304" w:hRule="atLeast"/>
        </w:trPr>
        <w:tc>
          <w:tcPr>
            <w:tcW w:w="2640"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65-100</w:t>
            </w:r>
          </w:p>
        </w:tc>
        <w:tc>
          <w:tcPr>
            <w:tcW w:w="5711"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360"/>
              <w:jc w:val="left"/>
              <w:rPr/>
            </w:pPr>
            <w:r>
              <w:rPr>
                <w:sz w:val="20"/>
                <w:szCs w:val="20"/>
              </w:rPr>
              <w:t>0.97%</w:t>
            </w:r>
          </w:p>
        </w:tc>
      </w:tr>
    </w:tbl>
    <w:p>
      <w:pPr>
        <w:pStyle w:val="LOnormal"/>
        <w:spacing w:lineRule="auto" w:line="360"/>
        <w:rPr/>
      </w:pPr>
      <w:r>
        <w:rPr/>
      </w:r>
    </w:p>
    <w:p>
      <w:pPr>
        <w:pStyle w:val="LOnormal"/>
        <w:spacing w:lineRule="auto" w:line="360"/>
        <w:rPr/>
      </w:pPr>
      <w:r>
        <w:rPr>
          <w:b/>
        </w:rPr>
        <w:t>SI Table 4</w:t>
      </w:r>
      <w:r>
        <w:rPr/>
        <w:t>: RSV hospitalisation rate estimates for the UK (median values)</w:t>
      </w:r>
    </w:p>
    <w:p>
      <w:pPr>
        <w:pStyle w:val="LOnormal"/>
        <w:spacing w:lineRule="auto" w:line="360"/>
        <w:rPr/>
      </w:pPr>
      <w:r>
        <w:rPr/>
      </w:r>
    </w:p>
    <w:tbl>
      <w:tblPr>
        <w:tblW w:w="9828" w:type="dxa"/>
        <w:jc w:val="left"/>
        <w:tblInd w:w="100" w:type="dxa"/>
        <w:tblCellMar>
          <w:top w:w="100" w:type="dxa"/>
          <w:left w:w="100" w:type="dxa"/>
          <w:bottom w:w="100" w:type="dxa"/>
          <w:right w:w="100" w:type="dxa"/>
        </w:tblCellMar>
        <w:tblLook w:val="0600" w:noHBand="1" w:noVBand="1" w:firstColumn="0" w:lastRow="0" w:lastColumn="0" w:firstRow="0"/>
      </w:tblPr>
      <w:tblGrid>
        <w:gridCol w:w="1205"/>
        <w:gridCol w:w="4688"/>
        <w:gridCol w:w="3056"/>
        <w:gridCol w:w="878"/>
      </w:tblGrid>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b/>
                <w:sz w:val="20"/>
                <w:szCs w:val="20"/>
              </w:rPr>
              <w:t>Age group</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b/>
                <w:sz w:val="20"/>
                <w:szCs w:val="20"/>
              </w:rPr>
              <w:t>Number of hospitalisations/year (median estimate)</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b/>
                <w:sz w:val="20"/>
                <w:szCs w:val="20"/>
              </w:rPr>
              <w:t>Rate (median) per 100.000 population</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b/>
                <w:sz w:val="20"/>
                <w:szCs w:val="20"/>
              </w:rPr>
              <w:t>Source</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0-0.5</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13862</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4184</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[32]</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0.5-2</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12862</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1272</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[32]</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2-5</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2436</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114</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[32]</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0-0.5</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16202</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4879</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[33]</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0.5-1</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7108</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2141</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[33]</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1-4</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10251</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531</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[33]</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0-0.5</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15127</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4402</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[34]</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0.5-1</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5235</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1523</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 xml:space="preserve">[34] </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18-49</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1033</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4</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[35]</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50-64</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3067</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30</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[35]</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65-74</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4236</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86</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[35]</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75-100</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9463</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234</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[35]</w:t>
            </w:r>
          </w:p>
        </w:tc>
      </w:tr>
      <w:tr>
        <w:trPr>
          <w:trHeight w:val="455"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65-74</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3565</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71</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[36]</w:t>
            </w:r>
          </w:p>
        </w:tc>
      </w:tr>
      <w:tr>
        <w:trPr>
          <w:trHeight w:val="10" w:hRule="atLeast"/>
        </w:trPr>
        <w:tc>
          <w:tcPr>
            <w:tcW w:w="120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75-100</w:t>
            </w:r>
          </w:p>
        </w:tc>
        <w:tc>
          <w:tcPr>
            <w:tcW w:w="468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10808</w:t>
            </w:r>
          </w:p>
        </w:tc>
        <w:tc>
          <w:tcPr>
            <w:tcW w:w="305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2"/>
                <w:szCs w:val="22"/>
              </w:rPr>
              <w:t>251</w:t>
            </w:r>
          </w:p>
        </w:tc>
        <w:tc>
          <w:tcPr>
            <w:tcW w:w="878"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t>[36]</w:t>
            </w:r>
          </w:p>
        </w:tc>
      </w:tr>
    </w:tbl>
    <w:p>
      <w:pPr>
        <w:pStyle w:val="LOnormal"/>
        <w:spacing w:lineRule="auto" w:line="360"/>
        <w:rPr>
          <w:b/>
          <w:b/>
          <w:sz w:val="20"/>
          <w:szCs w:val="20"/>
        </w:rPr>
      </w:pPr>
      <w:r>
        <w:rPr>
          <w:b/>
          <w:sz w:val="20"/>
          <w:szCs w:val="20"/>
        </w:rPr>
      </w:r>
    </w:p>
    <w:p>
      <w:pPr>
        <w:pStyle w:val="LOnormal"/>
        <w:spacing w:lineRule="auto" w:line="360"/>
        <w:rPr>
          <w:b/>
          <w:b/>
        </w:rPr>
      </w:pPr>
      <w:r>
        <w:rPr>
          <w:b/>
        </w:rPr>
      </w:r>
      <w:r>
        <w:br w:type="page"/>
      </w:r>
    </w:p>
    <w:p>
      <w:pPr>
        <w:pStyle w:val="LOnormal"/>
        <w:spacing w:lineRule="auto" w:line="360"/>
        <w:rPr/>
      </w:pPr>
      <w:r>
        <w:rPr>
          <w:b/>
        </w:rPr>
        <w:t xml:space="preserve">SI Table 5 </w:t>
      </w:r>
      <w:r>
        <w:rPr/>
        <w:t>Seasonal concentration (% cases from week 40 to 13) of RSV cases in England and Wales from ‘</w:t>
      </w:r>
      <w:r>
        <w:rPr>
          <w:i/>
        </w:rPr>
        <w:t>Respiratory infections: laboratory reports</w:t>
      </w:r>
      <w:r>
        <w:rPr/>
        <w:t>’ [65]</w:t>
      </w:r>
    </w:p>
    <w:p>
      <w:pPr>
        <w:pStyle w:val="LOnormal"/>
        <w:spacing w:lineRule="auto" w:line="360"/>
        <w:rPr>
          <w:b/>
          <w:b/>
        </w:rPr>
      </w:pPr>
      <w:r>
        <w:rPr>
          <w:b/>
        </w:rPr>
      </w:r>
    </w:p>
    <w:tbl>
      <w:tblPr>
        <w:tblW w:w="8271" w:type="dxa"/>
        <w:jc w:val="left"/>
        <w:tblInd w:w="100" w:type="dxa"/>
        <w:tblCellMar>
          <w:top w:w="100" w:type="dxa"/>
          <w:left w:w="100" w:type="dxa"/>
          <w:bottom w:w="100" w:type="dxa"/>
          <w:right w:w="100" w:type="dxa"/>
        </w:tblCellMar>
        <w:tblLook w:val="0600" w:noHBand="1" w:noVBand="1" w:firstColumn="0" w:lastRow="0" w:lastColumn="0" w:firstRow="0"/>
      </w:tblPr>
      <w:tblGrid>
        <w:gridCol w:w="945"/>
        <w:gridCol w:w="4740"/>
        <w:gridCol w:w="2586"/>
      </w:tblGrid>
      <w:tr>
        <w:trPr>
          <w:trHeight w:val="455" w:hRule="atLeast"/>
        </w:trPr>
        <w:tc>
          <w:tcPr>
            <w:tcW w:w="94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b/>
                <w:sz w:val="20"/>
                <w:szCs w:val="20"/>
              </w:rPr>
              <w:t>Epi-year</w:t>
            </w:r>
          </w:p>
        </w:tc>
        <w:tc>
          <w:tcPr>
            <w:tcW w:w="4740"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b/>
                <w:sz w:val="20"/>
                <w:szCs w:val="20"/>
              </w:rPr>
              <w:t>Calendar years</w:t>
            </w:r>
          </w:p>
        </w:tc>
        <w:tc>
          <w:tcPr>
            <w:tcW w:w="258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b/>
                <w:sz w:val="20"/>
                <w:szCs w:val="20"/>
              </w:rPr>
              <w:t>Seasonal share of cases</w:t>
            </w:r>
          </w:p>
        </w:tc>
      </w:tr>
      <w:tr>
        <w:trPr>
          <w:trHeight w:val="455" w:hRule="atLeast"/>
        </w:trPr>
        <w:tc>
          <w:tcPr>
            <w:tcW w:w="94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2</w:t>
            </w:r>
          </w:p>
        </w:tc>
        <w:tc>
          <w:tcPr>
            <w:tcW w:w="4740"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2014-2015</w:t>
            </w:r>
          </w:p>
        </w:tc>
        <w:tc>
          <w:tcPr>
            <w:tcW w:w="258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86%</w:t>
            </w:r>
          </w:p>
        </w:tc>
      </w:tr>
      <w:tr>
        <w:trPr>
          <w:trHeight w:val="455" w:hRule="atLeast"/>
        </w:trPr>
        <w:tc>
          <w:tcPr>
            <w:tcW w:w="94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3</w:t>
            </w:r>
          </w:p>
        </w:tc>
        <w:tc>
          <w:tcPr>
            <w:tcW w:w="4740"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2015-2016</w:t>
            </w:r>
          </w:p>
        </w:tc>
        <w:tc>
          <w:tcPr>
            <w:tcW w:w="258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86.7%</w:t>
            </w:r>
          </w:p>
        </w:tc>
      </w:tr>
      <w:tr>
        <w:trPr>
          <w:trHeight w:val="455" w:hRule="atLeast"/>
        </w:trPr>
        <w:tc>
          <w:tcPr>
            <w:tcW w:w="94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4</w:t>
            </w:r>
          </w:p>
        </w:tc>
        <w:tc>
          <w:tcPr>
            <w:tcW w:w="4740"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2016-2017</w:t>
            </w:r>
          </w:p>
        </w:tc>
        <w:tc>
          <w:tcPr>
            <w:tcW w:w="258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87.7%</w:t>
            </w:r>
          </w:p>
        </w:tc>
      </w:tr>
      <w:tr>
        <w:trPr>
          <w:trHeight w:val="455" w:hRule="atLeast"/>
        </w:trPr>
        <w:tc>
          <w:tcPr>
            <w:tcW w:w="94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5</w:t>
            </w:r>
          </w:p>
        </w:tc>
        <w:tc>
          <w:tcPr>
            <w:tcW w:w="4740"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2017-2018</w:t>
            </w:r>
          </w:p>
        </w:tc>
        <w:tc>
          <w:tcPr>
            <w:tcW w:w="258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92.8%</w:t>
            </w:r>
          </w:p>
        </w:tc>
      </w:tr>
      <w:tr>
        <w:trPr>
          <w:trHeight w:val="455" w:hRule="atLeast"/>
        </w:trPr>
        <w:tc>
          <w:tcPr>
            <w:tcW w:w="94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6</w:t>
            </w:r>
          </w:p>
        </w:tc>
        <w:tc>
          <w:tcPr>
            <w:tcW w:w="4740"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2018-2019</w:t>
            </w:r>
          </w:p>
        </w:tc>
        <w:tc>
          <w:tcPr>
            <w:tcW w:w="258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96.1%</w:t>
            </w:r>
          </w:p>
        </w:tc>
      </w:tr>
      <w:tr>
        <w:trPr>
          <w:trHeight w:val="455" w:hRule="atLeast"/>
        </w:trPr>
        <w:tc>
          <w:tcPr>
            <w:tcW w:w="945"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7</w:t>
            </w:r>
          </w:p>
        </w:tc>
        <w:tc>
          <w:tcPr>
            <w:tcW w:w="4740"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2019-2020 (COVID-19 pandemic starting in early 2020)</w:t>
            </w:r>
          </w:p>
        </w:tc>
        <w:tc>
          <w:tcPr>
            <w:tcW w:w="2586" w:type="dxa"/>
            <w:tcBorders>
              <w:top w:val="single" w:sz="6" w:space="0" w:color="000000"/>
              <w:left w:val="single" w:sz="6" w:space="0" w:color="000000"/>
              <w:bottom w:val="single" w:sz="6" w:space="0" w:color="000000"/>
              <w:right w:val="single" w:sz="6" w:space="0" w:color="000000"/>
            </w:tcBorders>
          </w:tcPr>
          <w:p>
            <w:pPr>
              <w:pStyle w:val="LOnormal"/>
              <w:widowControl w:val="false"/>
              <w:spacing w:lineRule="auto" w:line="360"/>
              <w:jc w:val="left"/>
              <w:rPr/>
            </w:pPr>
            <w:r>
              <w:rPr>
                <w:sz w:val="20"/>
                <w:szCs w:val="20"/>
              </w:rPr>
              <w:t>99.6%</w:t>
            </w:r>
          </w:p>
        </w:tc>
      </w:tr>
    </w:tbl>
    <w:p>
      <w:pPr>
        <w:pStyle w:val="LOnormal"/>
        <w:spacing w:lineRule="auto" w:line="360"/>
        <w:rPr>
          <w:sz w:val="20"/>
          <w:szCs w:val="20"/>
        </w:rPr>
      </w:pPr>
      <w:r>
        <w:rPr>
          <w:sz w:val="20"/>
          <w:szCs w:val="20"/>
        </w:rPr>
      </w:r>
    </w:p>
    <w:p>
      <w:pPr>
        <w:pStyle w:val="LOnormal"/>
        <w:spacing w:lineRule="auto" w:line="360"/>
        <w:rPr>
          <w:b/>
          <w:b/>
        </w:rPr>
      </w:pPr>
      <w:r>
        <w:rPr>
          <w:b/>
        </w:rPr>
      </w:r>
      <w:r>
        <w:br w:type="page"/>
      </w:r>
    </w:p>
    <w:p>
      <w:pPr>
        <w:pStyle w:val="Heading1"/>
        <w:spacing w:lineRule="auto" w:line="360" w:before="240" w:after="120"/>
        <w:rPr/>
      </w:pPr>
      <w:bookmarkStart w:id="2" w:name="_mgjlebb6i7ng"/>
      <w:bookmarkEnd w:id="2"/>
      <w:r>
        <w:rPr>
          <w:rFonts w:eastAsia="Source Sans Pro SemiBold" w:cs="Source Sans Pro SemiBold" w:ascii="Source Sans Pro SemiBold" w:hAnsi="Source Sans Pro SemiBold"/>
          <w:b/>
          <w:color w:val="222668"/>
          <w:sz w:val="32"/>
          <w:szCs w:val="32"/>
        </w:rPr>
        <w:t>Supplementary Figures</w:t>
      </w:r>
    </w:p>
    <w:p>
      <w:pPr>
        <w:pStyle w:val="LOnormal"/>
        <w:spacing w:lineRule="auto" w:line="360"/>
        <w:ind w:right="-330" w:hanging="0"/>
        <w:rPr/>
      </w:pPr>
      <w:r>
        <w:rPr/>
        <w:drawing>
          <wp:inline distT="0" distB="0" distL="0" distR="0">
            <wp:extent cx="6120765" cy="4203700"/>
            <wp:effectExtent l="0" t="0" r="0" b="0"/>
            <wp:docPr id="1"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png" descr=""/>
                    <pic:cNvPicPr>
                      <a:picLocks noChangeAspect="1" noChangeArrowheads="1"/>
                    </pic:cNvPicPr>
                  </pic:nvPicPr>
                  <pic:blipFill>
                    <a:blip r:embed="rId2"/>
                    <a:stretch>
                      <a:fillRect/>
                    </a:stretch>
                  </pic:blipFill>
                  <pic:spPr bwMode="auto">
                    <a:xfrm>
                      <a:off x="0" y="0"/>
                      <a:ext cx="6120765" cy="4203700"/>
                    </a:xfrm>
                    <a:prstGeom prst="rect">
                      <a:avLst/>
                    </a:prstGeom>
                  </pic:spPr>
                </pic:pic>
              </a:graphicData>
            </a:graphic>
          </wp:inline>
        </w:drawing>
      </w:r>
    </w:p>
    <w:p>
      <w:pPr>
        <w:pStyle w:val="LOnormal"/>
        <w:spacing w:lineRule="auto" w:line="360"/>
        <w:ind w:right="-330" w:hanging="0"/>
        <w:rPr/>
      </w:pPr>
      <w:r>
        <w:rPr>
          <w:b/>
        </w:rPr>
        <w:t>SI Figure 1</w:t>
      </w:r>
      <w:r>
        <w:rPr/>
        <w:t xml:space="preserve"> Reports of RSV infections from PHE and NHS laboratories in England and Wales, stacked by age groups, from 2014 to 2021, in 4-week reporting periods [65]</w:t>
      </w:r>
    </w:p>
    <w:p>
      <w:pPr>
        <w:pStyle w:val="LOnormal"/>
        <w:spacing w:lineRule="auto" w:line="360"/>
        <w:ind w:right="-330" w:hanging="0"/>
        <w:rPr/>
      </w:pPr>
      <w:r>
        <w:rPr/>
      </w:r>
    </w:p>
    <w:p>
      <w:pPr>
        <w:pStyle w:val="LOnormal"/>
        <w:spacing w:lineRule="auto" w:line="360"/>
        <w:ind w:right="-330" w:hanging="0"/>
        <w:rPr/>
      </w:pPr>
      <w:r>
        <w:rPr/>
      </w:r>
    </w:p>
    <w:p>
      <w:pPr>
        <w:pStyle w:val="LOnormal"/>
        <w:spacing w:lineRule="auto" w:line="360"/>
        <w:ind w:right="-330" w:hanging="0"/>
        <w:jc w:val="left"/>
        <w:rPr/>
      </w:pPr>
      <w:r>
        <w:rPr/>
        <w:drawing>
          <wp:inline distT="0" distB="0" distL="0" distR="0">
            <wp:extent cx="6120765" cy="5003800"/>
            <wp:effectExtent l="0" t="0" r="0" b="0"/>
            <wp:docPr id="2"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7.png" descr=""/>
                    <pic:cNvPicPr>
                      <a:picLocks noChangeAspect="1" noChangeArrowheads="1"/>
                    </pic:cNvPicPr>
                  </pic:nvPicPr>
                  <pic:blipFill>
                    <a:blip r:embed="rId3"/>
                    <a:stretch>
                      <a:fillRect/>
                    </a:stretch>
                  </pic:blipFill>
                  <pic:spPr bwMode="auto">
                    <a:xfrm>
                      <a:off x="0" y="0"/>
                      <a:ext cx="6120765" cy="5003800"/>
                    </a:xfrm>
                    <a:prstGeom prst="rect">
                      <a:avLst/>
                    </a:prstGeom>
                  </pic:spPr>
                </pic:pic>
              </a:graphicData>
            </a:graphic>
          </wp:inline>
        </w:drawing>
      </w:r>
    </w:p>
    <w:p>
      <w:pPr>
        <w:pStyle w:val="LOnormal"/>
        <w:spacing w:lineRule="auto" w:line="360"/>
        <w:ind w:right="-330" w:hanging="0"/>
        <w:jc w:val="left"/>
        <w:rPr/>
      </w:pPr>
      <w:r>
        <w:rPr>
          <w:b/>
        </w:rPr>
        <w:t>SI Figure 2</w:t>
      </w:r>
      <w:r>
        <w:rPr/>
        <w:t xml:space="preserve"> </w:t>
      </w:r>
      <w:r>
        <w:rPr>
          <w:i/>
        </w:rPr>
        <w:t>Relative susceptibility (</w:t>
      </w:r>
      <w:r>
        <w:rPr/>
      </w:r>
      <m:oMath xmlns:m="http://schemas.openxmlformats.org/officeDocument/2006/math">
        <m:sSubSup>
          <m:e>
            <m:r>
              <w:rPr>
                <w:rFonts w:ascii="Cambria Math" w:hAnsi="Cambria Math"/>
              </w:rPr>
              <m:t xml:space="preserve">δ</m:t>
            </m:r>
          </m:e>
          <m:sub>
            <m:r>
              <w:rPr>
                <w:rFonts w:ascii="Cambria Math" w:hAnsi="Cambria Math"/>
              </w:rPr>
              <m:t xml:space="preserve">exp</m:t>
            </m:r>
          </m:sub>
          <m:sup>
            <m:d>
              <m:dPr>
                <m:begChr m:val="("/>
                <m:endChr m:val=")"/>
              </m:dPr>
              <m:e>
                <m:r>
                  <w:rPr>
                    <w:rFonts w:ascii="Cambria Math" w:hAnsi="Cambria Math"/>
                  </w:rPr>
                  <m:t xml:space="preserve">age</m:t>
                </m:r>
              </m:e>
            </m:d>
          </m:sup>
        </m:sSubSup>
      </m:oMath>
      <w:r>
        <w:rPr>
          <w:i/>
        </w:rPr>
        <w:t xml:space="preserve">) to RSV infection as a function of exposure and age at different levels of dependence on exposure and age. </w:t>
      </w:r>
    </w:p>
    <w:p>
      <w:pPr>
        <w:pStyle w:val="LOnormal"/>
        <w:spacing w:lineRule="auto" w:line="360"/>
        <w:ind w:right="-330" w:hanging="0"/>
        <w:jc w:val="left"/>
        <w:rPr>
          <w:i/>
          <w:i/>
        </w:rPr>
      </w:pPr>
      <w:r>
        <w:rPr>
          <w:i/>
        </w:rPr>
      </w:r>
    </w:p>
    <w:p>
      <w:pPr>
        <w:pStyle w:val="LOnormal"/>
        <w:spacing w:lineRule="auto" w:line="360"/>
        <w:ind w:right="-330" w:hanging="0"/>
        <w:jc w:val="left"/>
        <w:rPr>
          <w:i/>
          <w:i/>
        </w:rPr>
      </w:pPr>
      <w:r>
        <w:rPr>
          <w:i/>
        </w:rPr>
      </w:r>
    </w:p>
    <w:p>
      <w:pPr>
        <w:pStyle w:val="LOnormal"/>
        <w:spacing w:lineRule="auto" w:line="360"/>
        <w:ind w:right="-330" w:hanging="0"/>
        <w:jc w:val="left"/>
        <w:rPr>
          <w:i/>
          <w:i/>
        </w:rPr>
      </w:pPr>
      <w:r>
        <w:rPr>
          <w:i/>
        </w:rPr>
      </w:r>
    </w:p>
    <w:p>
      <w:pPr>
        <w:pStyle w:val="LOnormal"/>
        <w:spacing w:lineRule="auto" w:line="360"/>
        <w:ind w:right="-330" w:hanging="0"/>
        <w:rPr/>
      </w:pPr>
      <w:r>
        <w:rPr/>
        <w:drawing>
          <wp:inline distT="0" distB="0" distL="0" distR="0">
            <wp:extent cx="6120765" cy="4902200"/>
            <wp:effectExtent l="0" t="0" r="0" b="0"/>
            <wp:docPr id="3"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3.png" descr=""/>
                    <pic:cNvPicPr>
                      <a:picLocks noChangeAspect="1" noChangeArrowheads="1"/>
                    </pic:cNvPicPr>
                  </pic:nvPicPr>
                  <pic:blipFill>
                    <a:blip r:embed="rId4"/>
                    <a:stretch>
                      <a:fillRect/>
                    </a:stretch>
                  </pic:blipFill>
                  <pic:spPr bwMode="auto">
                    <a:xfrm>
                      <a:off x="0" y="0"/>
                      <a:ext cx="6120765" cy="4902200"/>
                    </a:xfrm>
                    <a:prstGeom prst="rect">
                      <a:avLst/>
                    </a:prstGeom>
                  </pic:spPr>
                </pic:pic>
              </a:graphicData>
            </a:graphic>
          </wp:inline>
        </w:drawing>
      </w:r>
    </w:p>
    <w:p>
      <w:pPr>
        <w:pStyle w:val="LOnormal"/>
        <w:spacing w:lineRule="auto" w:line="360"/>
        <w:ind w:right="-330" w:hanging="0"/>
        <w:rPr/>
      </w:pPr>
      <w:r>
        <w:rPr/>
        <w:drawing>
          <wp:inline distT="0" distB="0" distL="0" distR="0">
            <wp:extent cx="6124575" cy="1666240"/>
            <wp:effectExtent l="0" t="0" r="0" b="0"/>
            <wp:docPr id="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
                    <pic:cNvPicPr>
                      <a:picLocks noChangeAspect="1" noChangeArrowheads="1"/>
                    </pic:cNvPicPr>
                  </pic:nvPicPr>
                  <pic:blipFill>
                    <a:blip r:embed="rId5"/>
                    <a:srcRect l="0" t="52355" r="0" b="0"/>
                    <a:stretch>
                      <a:fillRect/>
                    </a:stretch>
                  </pic:blipFill>
                  <pic:spPr bwMode="auto">
                    <a:xfrm>
                      <a:off x="0" y="0"/>
                      <a:ext cx="6124575" cy="1666240"/>
                    </a:xfrm>
                    <a:prstGeom prst="rect">
                      <a:avLst/>
                    </a:prstGeom>
                  </pic:spPr>
                </pic:pic>
              </a:graphicData>
            </a:graphic>
          </wp:inline>
        </w:drawing>
      </w:r>
    </w:p>
    <w:p>
      <w:pPr>
        <w:pStyle w:val="LOnormal"/>
        <w:spacing w:lineRule="auto" w:line="360"/>
        <w:ind w:right="-330" w:hanging="0"/>
        <w:rPr/>
      </w:pPr>
      <w:r>
        <w:rPr>
          <w:b/>
        </w:rPr>
        <w:t xml:space="preserve">SI Figure 3 A </w:t>
      </w:r>
      <w:r>
        <w:rPr/>
        <w:t xml:space="preserve">Comparing literature estimates (red lines;  dashed lines are median estimates, solid lines 0.5x and 2x of median) for pre-2020 annual cumulative infections to simulated values. Accepted simulations are in blue, rejected in black. For comparability with the attack rates in [37], we only counted first infections for the first age group. </w:t>
      </w:r>
      <w:r>
        <w:rPr>
          <w:b/>
        </w:rPr>
        <w:t xml:space="preserve">B </w:t>
      </w:r>
      <w:r>
        <w:rPr/>
        <w:t>Seasonal concentration of simulations with a negative log-likelihood less than 3000. Colour coding as in A.</w:t>
      </w:r>
    </w:p>
    <w:p>
      <w:pPr>
        <w:pStyle w:val="LOnormal"/>
        <w:spacing w:lineRule="auto" w:line="360"/>
        <w:jc w:val="left"/>
        <w:rPr/>
      </w:pPr>
      <w:r>
        <w:rPr/>
      </w:r>
      <w:r>
        <w:br w:type="page"/>
      </w:r>
    </w:p>
    <w:p>
      <w:pPr>
        <w:pStyle w:val="LOnormal"/>
        <w:spacing w:lineRule="auto" w:line="360"/>
        <w:jc w:val="left"/>
        <w:rPr/>
      </w:pPr>
      <w:r>
        <w:rPr>
          <w:b/>
        </w:rPr>
        <w:t>A</w:t>
      </w:r>
    </w:p>
    <w:p>
      <w:pPr>
        <w:pStyle w:val="LOnormal"/>
        <w:spacing w:lineRule="auto" w:line="360"/>
        <w:jc w:val="center"/>
        <w:rPr/>
      </w:pPr>
      <w:r>
        <w:rPr/>
        <w:drawing>
          <wp:inline distT="0" distB="0" distL="0" distR="0">
            <wp:extent cx="5031105" cy="4185920"/>
            <wp:effectExtent l="0" t="0" r="0" b="0"/>
            <wp:docPr id="5"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png" descr=""/>
                    <pic:cNvPicPr>
                      <a:picLocks noChangeAspect="1" noChangeArrowheads="1"/>
                    </pic:cNvPicPr>
                  </pic:nvPicPr>
                  <pic:blipFill>
                    <a:blip r:embed="rId6"/>
                    <a:stretch>
                      <a:fillRect/>
                    </a:stretch>
                  </pic:blipFill>
                  <pic:spPr bwMode="auto">
                    <a:xfrm>
                      <a:off x="0" y="0"/>
                      <a:ext cx="5031105" cy="4185920"/>
                    </a:xfrm>
                    <a:prstGeom prst="rect">
                      <a:avLst/>
                    </a:prstGeom>
                  </pic:spPr>
                </pic:pic>
              </a:graphicData>
            </a:graphic>
          </wp:inline>
        </w:drawing>
      </w:r>
    </w:p>
    <w:p>
      <w:pPr>
        <w:pStyle w:val="LOnormal"/>
        <w:spacing w:lineRule="auto" w:line="360"/>
        <w:jc w:val="left"/>
        <w:rPr/>
      </w:pPr>
      <w:r>
        <w:rPr>
          <w:b/>
        </w:rPr>
        <w:t>B</w:t>
      </w:r>
    </w:p>
    <w:p>
      <w:pPr>
        <w:pStyle w:val="LOnormal"/>
        <w:spacing w:lineRule="auto" w:line="360"/>
        <w:jc w:val="center"/>
        <w:rPr/>
      </w:pPr>
      <w:r>
        <w:rPr/>
        <w:drawing>
          <wp:inline distT="0" distB="0" distL="0" distR="0">
            <wp:extent cx="4921885" cy="4084955"/>
            <wp:effectExtent l="0" t="0" r="0" b="0"/>
            <wp:docPr id="6"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4.png" descr=""/>
                    <pic:cNvPicPr>
                      <a:picLocks noChangeAspect="1" noChangeArrowheads="1"/>
                    </pic:cNvPicPr>
                  </pic:nvPicPr>
                  <pic:blipFill>
                    <a:blip r:embed="rId7"/>
                    <a:stretch>
                      <a:fillRect/>
                    </a:stretch>
                  </pic:blipFill>
                  <pic:spPr bwMode="auto">
                    <a:xfrm>
                      <a:off x="0" y="0"/>
                      <a:ext cx="4921885" cy="4084955"/>
                    </a:xfrm>
                    <a:prstGeom prst="rect">
                      <a:avLst/>
                    </a:prstGeom>
                  </pic:spPr>
                </pic:pic>
              </a:graphicData>
            </a:graphic>
          </wp:inline>
        </w:drawing>
      </w:r>
    </w:p>
    <w:p>
      <w:pPr>
        <w:pStyle w:val="LOnormal"/>
        <w:spacing w:lineRule="auto" w:line="360"/>
        <w:jc w:val="left"/>
        <w:rPr/>
      </w:pPr>
      <w:r>
        <w:rPr>
          <w:b/>
        </w:rPr>
        <w:t>C</w:t>
      </w:r>
    </w:p>
    <w:p>
      <w:pPr>
        <w:pStyle w:val="LOnormal"/>
        <w:spacing w:lineRule="auto" w:line="360"/>
        <w:jc w:val="center"/>
        <w:rPr/>
      </w:pPr>
      <w:r>
        <w:rPr/>
        <w:drawing>
          <wp:inline distT="0" distB="0" distL="0" distR="0">
            <wp:extent cx="5610860" cy="4005580"/>
            <wp:effectExtent l="0" t="0" r="0" b="0"/>
            <wp:docPr id="7"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descr=""/>
                    <pic:cNvPicPr>
                      <a:picLocks noChangeAspect="1" noChangeArrowheads="1"/>
                    </pic:cNvPicPr>
                  </pic:nvPicPr>
                  <pic:blipFill>
                    <a:blip r:embed="rId8"/>
                    <a:stretch>
                      <a:fillRect/>
                    </a:stretch>
                  </pic:blipFill>
                  <pic:spPr bwMode="auto">
                    <a:xfrm>
                      <a:off x="0" y="0"/>
                      <a:ext cx="5610860" cy="4005580"/>
                    </a:xfrm>
                    <a:prstGeom prst="rect">
                      <a:avLst/>
                    </a:prstGeom>
                  </pic:spPr>
                </pic:pic>
              </a:graphicData>
            </a:graphic>
          </wp:inline>
        </w:drawing>
      </w:r>
    </w:p>
    <w:p>
      <w:pPr>
        <w:pStyle w:val="LOnormal"/>
        <w:spacing w:lineRule="auto" w:line="360"/>
        <w:jc w:val="left"/>
        <w:rPr/>
      </w:pPr>
      <w:r>
        <w:rPr>
          <w:b/>
        </w:rPr>
        <w:t>D</w:t>
      </w:r>
    </w:p>
    <w:p>
      <w:pPr>
        <w:pStyle w:val="LOnormal"/>
        <w:spacing w:lineRule="auto" w:line="360"/>
        <w:jc w:val="center"/>
        <w:rPr/>
      </w:pPr>
      <w:r>
        <w:rPr/>
        <w:drawing>
          <wp:inline distT="0" distB="0" distL="0" distR="0">
            <wp:extent cx="5346065" cy="3434715"/>
            <wp:effectExtent l="0" t="0" r="0" b="0"/>
            <wp:docPr id="8"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1.png" descr=""/>
                    <pic:cNvPicPr>
                      <a:picLocks noChangeAspect="1" noChangeArrowheads="1"/>
                    </pic:cNvPicPr>
                  </pic:nvPicPr>
                  <pic:blipFill>
                    <a:blip r:embed="rId9"/>
                    <a:stretch>
                      <a:fillRect/>
                    </a:stretch>
                  </pic:blipFill>
                  <pic:spPr bwMode="auto">
                    <a:xfrm>
                      <a:off x="0" y="0"/>
                      <a:ext cx="5346065" cy="3434715"/>
                    </a:xfrm>
                    <a:prstGeom prst="rect">
                      <a:avLst/>
                    </a:prstGeom>
                  </pic:spPr>
                </pic:pic>
              </a:graphicData>
            </a:graphic>
          </wp:inline>
        </w:drawing>
      </w:r>
    </w:p>
    <w:p>
      <w:pPr>
        <w:pStyle w:val="LOnormal"/>
        <w:spacing w:lineRule="auto" w:line="360"/>
        <w:jc w:val="left"/>
        <w:rPr/>
      </w:pPr>
      <w:r>
        <w:rPr>
          <w:b/>
        </w:rPr>
        <w:t xml:space="preserve">SI Figure 4: A </w:t>
      </w:r>
      <w:r>
        <w:rPr/>
        <w:t xml:space="preserve">Distribution of likelihood (negative log-likelihood) values for accepted and rejected simulations, with the likelihood’s three components. </w:t>
      </w:r>
      <w:r>
        <w:rPr>
          <w:b/>
        </w:rPr>
        <w:t>B</w:t>
      </w:r>
      <w:r>
        <w:rPr/>
        <w:t xml:space="preserve"> Density plot of likelihood values for accepted and rejected simulations. Dashed lines show medians. </w:t>
      </w:r>
      <w:r>
        <w:rPr>
          <w:b/>
        </w:rPr>
        <w:t xml:space="preserve">C </w:t>
      </w:r>
      <w:r>
        <w:rPr/>
        <w:t xml:space="preserve">Time series of hospitalisation counts and accepted/rejected simulations (likelihood below 1500). Counts vary with changing number/size of reporting hospitals, simulations scaled accordingly </w:t>
      </w:r>
      <w:r>
        <w:rPr>
          <w:b/>
        </w:rPr>
        <w:t>D</w:t>
      </w:r>
      <w:r>
        <w:rPr/>
        <w:t xml:space="preserve"> Distribution of parameter values for accepted and rejected simulations. P-values from Kolgomorov-Smirnov test.</w:t>
      </w:r>
    </w:p>
    <w:p>
      <w:pPr>
        <w:pStyle w:val="LOnormal"/>
        <w:spacing w:lineRule="auto" w:line="360"/>
        <w:jc w:val="left"/>
        <w:rPr/>
      </w:pPr>
      <w:r>
        <w:rPr/>
      </w:r>
    </w:p>
    <w:p>
      <w:pPr>
        <w:pStyle w:val="LOnormal"/>
        <w:spacing w:lineRule="auto" w:line="360"/>
        <w:rPr/>
      </w:pPr>
      <w:r>
        <w:rPr/>
        <w:drawing>
          <wp:inline distT="0" distB="0" distL="0" distR="0">
            <wp:extent cx="6120765" cy="4368800"/>
            <wp:effectExtent l="0" t="0" r="0" b="0"/>
            <wp:docPr id="9"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descr=""/>
                    <pic:cNvPicPr>
                      <a:picLocks noChangeAspect="1" noChangeArrowheads="1"/>
                    </pic:cNvPicPr>
                  </pic:nvPicPr>
                  <pic:blipFill>
                    <a:blip r:embed="rId10"/>
                    <a:stretch>
                      <a:fillRect/>
                    </a:stretch>
                  </pic:blipFill>
                  <pic:spPr bwMode="auto">
                    <a:xfrm>
                      <a:off x="0" y="0"/>
                      <a:ext cx="6120765" cy="4368800"/>
                    </a:xfrm>
                    <a:prstGeom prst="rect">
                      <a:avLst/>
                    </a:prstGeom>
                  </pic:spPr>
                </pic:pic>
              </a:graphicData>
            </a:graphic>
          </wp:inline>
        </w:drawing>
      </w:r>
    </w:p>
    <w:p>
      <w:pPr>
        <w:pStyle w:val="LOnormal"/>
        <w:spacing w:lineRule="auto" w:line="360"/>
        <w:rPr/>
      </w:pPr>
      <w:r>
        <w:rPr>
          <w:b/>
        </w:rPr>
        <w:t>SI Figure 5</w:t>
      </w:r>
      <w:r>
        <w:rPr/>
        <w:t>. Correlations between parameter pairs. Blue dots are accepted, black dots rejected simulations.</w:t>
      </w:r>
    </w:p>
    <w:p>
      <w:pPr>
        <w:pStyle w:val="LOnormal"/>
        <w:spacing w:lineRule="auto" w:line="360"/>
        <w:ind w:right="-330" w:hanging="0"/>
        <w:rPr>
          <w:b/>
          <w:b/>
        </w:rPr>
      </w:pPr>
      <w:r>
        <w:rPr>
          <w:b/>
        </w:rPr>
      </w:r>
    </w:p>
    <w:p>
      <w:pPr>
        <w:pStyle w:val="LOnormal"/>
        <w:spacing w:lineRule="auto" w:line="360"/>
        <w:ind w:right="-330" w:hanging="0"/>
        <w:rPr/>
      </w:pPr>
      <w:r>
        <w:rPr/>
        <w:drawing>
          <wp:inline distT="0" distB="0" distL="0" distR="0">
            <wp:extent cx="6120765" cy="4368800"/>
            <wp:effectExtent l="0" t="0" r="0" b="0"/>
            <wp:docPr id="10"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2.png" descr=""/>
                    <pic:cNvPicPr>
                      <a:picLocks noChangeAspect="1" noChangeArrowheads="1"/>
                    </pic:cNvPicPr>
                  </pic:nvPicPr>
                  <pic:blipFill>
                    <a:blip r:embed="rId11"/>
                    <a:srcRect l="0" t="47" r="0" b="47"/>
                    <a:stretch>
                      <a:fillRect/>
                    </a:stretch>
                  </pic:blipFill>
                  <pic:spPr bwMode="auto">
                    <a:xfrm>
                      <a:off x="0" y="0"/>
                      <a:ext cx="6120765" cy="4368800"/>
                    </a:xfrm>
                    <a:prstGeom prst="rect">
                      <a:avLst/>
                    </a:prstGeom>
                  </pic:spPr>
                </pic:pic>
              </a:graphicData>
            </a:graphic>
          </wp:inline>
        </w:drawing>
      </w:r>
    </w:p>
    <w:p>
      <w:pPr>
        <w:pStyle w:val="LOnormal"/>
        <w:spacing w:lineRule="auto" w:line="360"/>
        <w:ind w:right="-330" w:hanging="0"/>
        <w:rPr/>
      </w:pPr>
      <w:r>
        <w:rPr>
          <w:b/>
        </w:rPr>
        <w:t xml:space="preserve">SI Figure 6 </w:t>
      </w:r>
      <w:r>
        <w:rPr/>
        <w:t>Incidence of cases in  the 0 to 0.5 year age group for the years 2016-2019, for simulations showing a biennial pattern. Time is normalised to the onset of the season. Dashed and straight lines are odd and even years, respectively. Simulations have stabilised as there is no difference between the years 2016 and 2018 or 2017 and 2019.</w:t>
      </w:r>
    </w:p>
    <w:p>
      <w:pPr>
        <w:pStyle w:val="LOnormal"/>
        <w:spacing w:lineRule="auto" w:line="360"/>
        <w:ind w:right="-330" w:hanging="0"/>
        <w:rPr/>
      </w:pPr>
      <w:r>
        <w:rPr/>
      </w:r>
    </w:p>
    <w:p>
      <w:pPr>
        <w:pStyle w:val="LOnormal"/>
        <w:spacing w:lineRule="auto" w:line="360"/>
        <w:ind w:right="-330" w:hanging="0"/>
        <w:rPr/>
      </w:pPr>
      <w:r>
        <w:rPr/>
        <w:drawing>
          <wp:inline distT="0" distB="0" distL="0" distR="0">
            <wp:extent cx="6120765" cy="4368800"/>
            <wp:effectExtent l="0" t="0" r="0" b="0"/>
            <wp:docPr id="11"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png" descr=""/>
                    <pic:cNvPicPr>
                      <a:picLocks noChangeAspect="1" noChangeArrowheads="1"/>
                    </pic:cNvPicPr>
                  </pic:nvPicPr>
                  <pic:blipFill>
                    <a:blip r:embed="rId12"/>
                    <a:stretch>
                      <a:fillRect/>
                    </a:stretch>
                  </pic:blipFill>
                  <pic:spPr bwMode="auto">
                    <a:xfrm>
                      <a:off x="0" y="0"/>
                      <a:ext cx="6120765" cy="4368800"/>
                    </a:xfrm>
                    <a:prstGeom prst="rect">
                      <a:avLst/>
                    </a:prstGeom>
                  </pic:spPr>
                </pic:pic>
              </a:graphicData>
            </a:graphic>
          </wp:inline>
        </w:drawing>
      </w:r>
    </w:p>
    <w:p>
      <w:pPr>
        <w:pStyle w:val="LOnormal"/>
        <w:spacing w:lineRule="auto" w:line="360"/>
        <w:ind w:right="-330" w:hanging="0"/>
        <w:rPr/>
      </w:pPr>
      <w:r>
        <w:rPr>
          <w:b/>
        </w:rPr>
        <w:t xml:space="preserve">SI Figure 7 </w:t>
      </w:r>
      <w:r>
        <w:rPr/>
        <w:t>Cumulative density function of relative differences between 2018/19 and 2019/2020 RSV seasons, for the 7993 simulations selected by the first two criteria (SI Table 2). Relative difference is defined as the sum of (absolute values of) differences between matching days of the two seasons, normalised by the average cumulative incidence (SI Methods). Parameter sets to the right of the dashed red lines were removed, reducing the number of accepted parameterisations to 6098.</w:t>
      </w:r>
    </w:p>
    <w:p>
      <w:pPr>
        <w:pStyle w:val="LOnormal"/>
        <w:spacing w:lineRule="auto" w:line="360"/>
        <w:ind w:right="-330" w:hanging="0"/>
        <w:rPr>
          <w:b/>
          <w:b/>
        </w:rPr>
      </w:pPr>
      <w:r>
        <w:rPr>
          <w:b/>
        </w:rPr>
      </w:r>
    </w:p>
    <w:p>
      <w:pPr>
        <w:pStyle w:val="LOnormal"/>
        <w:spacing w:lineRule="auto" w:line="360"/>
        <w:ind w:right="-330" w:hanging="0"/>
        <w:rPr>
          <w:b/>
          <w:b/>
        </w:rPr>
      </w:pPr>
      <w:r>
        <w:rPr>
          <w:b/>
        </w:rPr>
      </w:r>
      <w:r>
        <w:br w:type="page"/>
      </w:r>
    </w:p>
    <w:p>
      <w:pPr>
        <w:pStyle w:val="LOnormal"/>
        <w:spacing w:lineRule="auto" w:line="360"/>
        <w:ind w:right="-330" w:hanging="0"/>
        <w:rPr/>
      </w:pPr>
      <w:r>
        <w:rPr>
          <w:b/>
        </w:rPr>
        <w:t>A</w:t>
      </w:r>
    </w:p>
    <w:p>
      <w:pPr>
        <w:pStyle w:val="LOnormal"/>
        <w:spacing w:lineRule="auto" w:line="360"/>
        <w:jc w:val="left"/>
        <w:rPr/>
      </w:pPr>
      <w:r>
        <w:rPr/>
        <w:drawing>
          <wp:inline distT="0" distB="0" distL="0" distR="0">
            <wp:extent cx="5812155" cy="3317240"/>
            <wp:effectExtent l="0" t="0" r="0" b="0"/>
            <wp:docPr id="12"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descr=""/>
                    <pic:cNvPicPr>
                      <a:picLocks noChangeAspect="1" noChangeArrowheads="1"/>
                    </pic:cNvPicPr>
                  </pic:nvPicPr>
                  <pic:blipFill>
                    <a:blip r:embed="rId13"/>
                    <a:stretch>
                      <a:fillRect/>
                    </a:stretch>
                  </pic:blipFill>
                  <pic:spPr bwMode="auto">
                    <a:xfrm>
                      <a:off x="0" y="0"/>
                      <a:ext cx="5812155" cy="3317240"/>
                    </a:xfrm>
                    <a:prstGeom prst="rect">
                      <a:avLst/>
                    </a:prstGeom>
                  </pic:spPr>
                </pic:pic>
              </a:graphicData>
            </a:graphic>
          </wp:inline>
        </w:drawing>
      </w:r>
    </w:p>
    <w:p>
      <w:pPr>
        <w:pStyle w:val="LOnormal"/>
        <w:spacing w:lineRule="auto" w:line="360"/>
        <w:jc w:val="left"/>
        <w:rPr/>
      </w:pPr>
      <w:r>
        <w:rPr>
          <w:b/>
        </w:rPr>
        <w:t>B</w:t>
      </w:r>
    </w:p>
    <w:p>
      <w:pPr>
        <w:pStyle w:val="LOnormal"/>
        <w:spacing w:lineRule="auto" w:line="360"/>
        <w:ind w:right="-330" w:hanging="0"/>
        <w:rPr/>
      </w:pPr>
      <w:r>
        <w:rPr/>
        <w:drawing>
          <wp:inline distT="0" distB="0" distL="0" distR="0">
            <wp:extent cx="6120765" cy="3492500"/>
            <wp:effectExtent l="0" t="0" r="0" b="0"/>
            <wp:docPr id="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
                    <pic:cNvPicPr>
                      <a:picLocks noChangeAspect="1" noChangeArrowheads="1"/>
                    </pic:cNvPicPr>
                  </pic:nvPicPr>
                  <pic:blipFill>
                    <a:blip r:embed="rId14"/>
                    <a:stretch>
                      <a:fillRect/>
                    </a:stretch>
                  </pic:blipFill>
                  <pic:spPr bwMode="auto">
                    <a:xfrm>
                      <a:off x="0" y="0"/>
                      <a:ext cx="6120765" cy="3492500"/>
                    </a:xfrm>
                    <a:prstGeom prst="rect">
                      <a:avLst/>
                    </a:prstGeom>
                  </pic:spPr>
                </pic:pic>
              </a:graphicData>
            </a:graphic>
          </wp:inline>
        </w:drawing>
      </w:r>
    </w:p>
    <w:p>
      <w:pPr>
        <w:pStyle w:val="LOnormal"/>
        <w:spacing w:lineRule="auto" w:line="360"/>
        <w:ind w:right="-330" w:hanging="0"/>
        <w:rPr/>
      </w:pPr>
      <w:r>
        <w:rPr>
          <w:b/>
        </w:rPr>
        <w:t xml:space="preserve">SI Figure 8: A </w:t>
      </w:r>
      <w:r>
        <w:rPr/>
        <w:t xml:space="preserve">Peak hospitalisations as a function of binned </w:t>
      </w:r>
      <w:r>
        <w:rPr/>
      </w:r>
      <m:oMath xmlns:m="http://schemas.openxmlformats.org/officeDocument/2006/math">
        <m:sSub>
          <m:e>
            <m:r>
              <w:rPr>
                <w:rFonts w:ascii="Cambria Math" w:hAnsi="Cambria Math"/>
              </w:rPr>
              <m:t xml:space="preserve">κ</m:t>
            </m:r>
          </m:e>
          <m:sub>
            <m:r>
              <w:rPr>
                <w:rFonts w:ascii="Cambria Math" w:hAnsi="Cambria Math"/>
              </w:rPr>
              <m:t xml:space="preserve">age</m:t>
            </m:r>
          </m:sub>
        </m:sSub>
      </m:oMath>
      <w:r>
        <w:rPr/>
        <w:t>/</w:t>
      </w:r>
      <w:r>
        <w:rPr/>
      </w:r>
      <m:oMath xmlns:m="http://schemas.openxmlformats.org/officeDocument/2006/math">
        <m:sSub>
          <m:e>
            <m:r>
              <w:rPr>
                <w:rFonts w:ascii="Cambria Math" w:hAnsi="Cambria Math"/>
              </w:rPr>
              <m:t xml:space="preserve">κ</m:t>
            </m:r>
          </m:e>
          <m:sub>
            <m:r>
              <w:rPr>
                <w:rFonts w:ascii="Cambria Math" w:hAnsi="Cambria Math"/>
              </w:rPr>
              <m:t xml:space="preserve">exp</m:t>
            </m:r>
          </m:sub>
        </m:sSub>
      </m:oMath>
      <w:r>
        <w:rPr/>
        <w:t xml:space="preserve"> values for accepted simulations, normalised to pre-pandemic peak values. </w:t>
      </w:r>
      <w:r>
        <w:rPr>
          <w:b/>
        </w:rPr>
        <w:t xml:space="preserve">B </w:t>
      </w:r>
      <w:r>
        <w:rPr/>
        <w:t xml:space="preserve">Change in the average age of under-5 hospitalisations as a function of binned </w:t>
      </w:r>
      <w:r>
        <w:rPr/>
      </w:r>
      <m:oMath xmlns:m="http://schemas.openxmlformats.org/officeDocument/2006/math">
        <m:sSub>
          <m:e>
            <m:r>
              <w:rPr>
                <w:rFonts w:ascii="Cambria Math" w:hAnsi="Cambria Math"/>
              </w:rPr>
              <m:t xml:space="preserve">κ</m:t>
            </m:r>
          </m:e>
          <m:sub>
            <m:r>
              <w:rPr>
                <w:rFonts w:ascii="Cambria Math" w:hAnsi="Cambria Math"/>
              </w:rPr>
              <m:t xml:space="preserve">age</m:t>
            </m:r>
          </m:sub>
        </m:sSub>
      </m:oMath>
      <w:r>
        <w:rPr/>
        <w:t>/</w:t>
      </w:r>
      <w:r>
        <w:rPr/>
      </w:r>
      <m:oMath xmlns:m="http://schemas.openxmlformats.org/officeDocument/2006/math">
        <m:sSub>
          <m:e>
            <m:r>
              <w:rPr>
                <w:rFonts w:ascii="Cambria Math" w:hAnsi="Cambria Math"/>
              </w:rPr>
              <m:t xml:space="preserve">κ</m:t>
            </m:r>
          </m:e>
          <m:sub>
            <m:r>
              <w:rPr>
                <w:rFonts w:ascii="Cambria Math" w:hAnsi="Cambria Math"/>
              </w:rPr>
              <m:t xml:space="preserve">exp</m:t>
            </m:r>
          </m:sub>
        </m:sSub>
      </m:oMath>
      <w:r>
        <w:rPr/>
        <w:t xml:space="preserve"> values for accepted simulations, normalised to pre-pandemic peak values.</w:t>
      </w:r>
    </w:p>
    <w:p>
      <w:pPr>
        <w:pStyle w:val="LOnormal"/>
        <w:spacing w:lineRule="auto" w:line="360"/>
        <w:ind w:right="-330" w:hanging="0"/>
        <w:rPr/>
      </w:pPr>
      <w:r>
        <w:rPr/>
      </w:r>
    </w:p>
    <w:p>
      <w:pPr>
        <w:pStyle w:val="LOnormal"/>
        <w:spacing w:lineRule="auto" w:line="360"/>
        <w:ind w:right="-330" w:hanging="0"/>
        <w:jc w:val="center"/>
        <w:rPr/>
      </w:pPr>
      <w:r>
        <w:rPr/>
        <w:drawing>
          <wp:inline distT="0" distB="0" distL="0" distR="0">
            <wp:extent cx="5274945" cy="3158490"/>
            <wp:effectExtent l="0" t="0" r="0" b="0"/>
            <wp:docPr id="14"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8.png" descr=""/>
                    <pic:cNvPicPr>
                      <a:picLocks noChangeAspect="1" noChangeArrowheads="1"/>
                    </pic:cNvPicPr>
                  </pic:nvPicPr>
                  <pic:blipFill>
                    <a:blip r:embed="rId15"/>
                    <a:stretch>
                      <a:fillRect/>
                    </a:stretch>
                  </pic:blipFill>
                  <pic:spPr bwMode="auto">
                    <a:xfrm>
                      <a:off x="0" y="0"/>
                      <a:ext cx="5274945" cy="3158490"/>
                    </a:xfrm>
                    <a:prstGeom prst="rect">
                      <a:avLst/>
                    </a:prstGeom>
                  </pic:spPr>
                </pic:pic>
              </a:graphicData>
            </a:graphic>
          </wp:inline>
        </w:drawing>
      </w:r>
    </w:p>
    <w:p>
      <w:pPr>
        <w:pStyle w:val="LOnormal"/>
        <w:spacing w:lineRule="auto" w:line="360"/>
        <w:ind w:right="-330" w:hanging="0"/>
        <w:rPr/>
      </w:pPr>
      <w:r>
        <w:rPr>
          <w:b/>
        </w:rPr>
        <w:t xml:space="preserve">SI Figure 9 </w:t>
      </w:r>
      <w:r>
        <w:rPr/>
        <w:t xml:space="preserve">Dynamics of resurgence seasons as a function of binned </w:t>
      </w:r>
      <w:r>
        <w:rPr/>
      </w:r>
      <m:oMath xmlns:m="http://schemas.openxmlformats.org/officeDocument/2006/math">
        <m:sSub>
          <m:e>
            <m:r>
              <w:rPr>
                <w:rFonts w:ascii="Cambria Math" w:hAnsi="Cambria Math"/>
              </w:rPr>
              <m:t xml:space="preserve">κ</m:t>
            </m:r>
          </m:e>
          <m:sub>
            <m:r>
              <w:rPr>
                <w:rFonts w:ascii="Cambria Math" w:hAnsi="Cambria Math"/>
              </w:rPr>
              <m:t xml:space="preserve">age</m:t>
            </m:r>
          </m:sub>
        </m:sSub>
      </m:oMath>
      <w:r>
        <w:rPr/>
        <w:t>/</w:t>
      </w:r>
      <w:r>
        <w:rPr/>
      </w:r>
      <m:oMath xmlns:m="http://schemas.openxmlformats.org/officeDocument/2006/math">
        <m:sSub>
          <m:e>
            <m:r>
              <w:rPr>
                <w:rFonts w:ascii="Cambria Math" w:hAnsi="Cambria Math"/>
              </w:rPr>
              <m:t xml:space="preserve">κ</m:t>
            </m:r>
          </m:e>
          <m:sub>
            <m:r>
              <w:rPr>
                <w:rFonts w:ascii="Cambria Math" w:hAnsi="Cambria Math"/>
              </w:rPr>
              <m:t xml:space="preserve">exp</m:t>
            </m:r>
          </m:sub>
        </m:sSub>
      </m:oMath>
      <w:r>
        <w:rPr/>
        <w:t xml:space="preserve"> values for accepted simulations, assuming a gradual recovery of contact rates from March 2021 and showing the 10% of the simulations with the lowest error (mean squared deviation) with respect to SARI-Watch hospitalisation rates in 2022-22.</w:t>
      </w:r>
    </w:p>
    <w:p>
      <w:pPr>
        <w:pStyle w:val="LOnormal"/>
        <w:spacing w:lineRule="auto" w:line="360"/>
        <w:ind w:right="-330" w:hanging="0"/>
        <w:rPr>
          <w:rFonts w:ascii="Source Sans Pro SemiBold" w:hAnsi="Source Sans Pro SemiBold" w:eastAsia="Source Sans Pro SemiBold" w:cs="Source Sans Pro SemiBold"/>
          <w:b/>
          <w:b/>
          <w:color w:val="222668"/>
          <w:sz w:val="32"/>
          <w:szCs w:val="32"/>
        </w:rPr>
      </w:pPr>
      <w:r>
        <w:rPr>
          <w:rFonts w:eastAsia="Source Sans Pro SemiBold" w:cs="Source Sans Pro SemiBold" w:ascii="Source Sans Pro SemiBold" w:hAnsi="Source Sans Pro SemiBold"/>
          <w:b/>
          <w:color w:val="222668"/>
          <w:sz w:val="32"/>
          <w:szCs w:val="32"/>
        </w:rPr>
      </w:r>
    </w:p>
    <w:p>
      <w:pPr>
        <w:pStyle w:val="LOnormal"/>
        <w:spacing w:lineRule="auto" w:line="360"/>
        <w:ind w:right="-330" w:hanging="0"/>
        <w:rPr/>
      </w:pPr>
      <w:r>
        <w:rPr/>
        <w:drawing>
          <wp:inline distT="0" distB="0" distL="0" distR="0">
            <wp:extent cx="6120765" cy="3492500"/>
            <wp:effectExtent l="0" t="0" r="0" b="0"/>
            <wp:docPr id="15"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png" descr=""/>
                    <pic:cNvPicPr>
                      <a:picLocks noChangeAspect="1" noChangeArrowheads="1"/>
                    </pic:cNvPicPr>
                  </pic:nvPicPr>
                  <pic:blipFill>
                    <a:blip r:embed="rId16"/>
                    <a:stretch>
                      <a:fillRect/>
                    </a:stretch>
                  </pic:blipFill>
                  <pic:spPr bwMode="auto">
                    <a:xfrm>
                      <a:off x="0" y="0"/>
                      <a:ext cx="6120765" cy="3492500"/>
                    </a:xfrm>
                    <a:prstGeom prst="rect">
                      <a:avLst/>
                    </a:prstGeom>
                  </pic:spPr>
                </pic:pic>
              </a:graphicData>
            </a:graphic>
          </wp:inline>
        </w:drawing>
      </w:r>
    </w:p>
    <w:p>
      <w:pPr>
        <w:pStyle w:val="LOnormal"/>
        <w:spacing w:lineRule="auto" w:line="360"/>
        <w:ind w:right="-330" w:hanging="0"/>
        <w:rPr/>
      </w:pPr>
      <w:r>
        <w:rPr>
          <w:b/>
        </w:rPr>
        <w:t xml:space="preserve">SI Figure 10 </w:t>
      </w:r>
      <w:r>
        <w:rPr/>
        <w:t>Simulations with the best likelihoods calculated from pre-pandemic data only (SARI-Watch count of hospitalisations 2018-19 and 2019-200, using a stepwise recovery of contact rates in May 2021</w:t>
      </w:r>
    </w:p>
    <w:p>
      <w:pPr>
        <w:pStyle w:val="LOnormal"/>
        <w:spacing w:lineRule="auto" w:line="360"/>
        <w:ind w:right="-330" w:hanging="0"/>
        <w:rPr/>
      </w:pPr>
      <w:r>
        <w:rPr/>
      </w:r>
    </w:p>
    <w:p>
      <w:pPr>
        <w:pStyle w:val="LOnormal"/>
        <w:spacing w:lineRule="auto" w:line="360"/>
        <w:ind w:right="-330" w:hanging="0"/>
        <w:rPr>
          <w:rFonts w:ascii="Source Sans Pro SemiBold" w:hAnsi="Source Sans Pro SemiBold" w:eastAsia="Source Sans Pro SemiBold" w:cs="Source Sans Pro SemiBold"/>
          <w:b/>
          <w:b/>
          <w:color w:val="222668"/>
          <w:sz w:val="32"/>
          <w:szCs w:val="32"/>
        </w:rPr>
      </w:pPr>
      <w:r>
        <w:rPr>
          <w:rFonts w:eastAsia="Source Sans Pro SemiBold" w:cs="Source Sans Pro SemiBold" w:ascii="Source Sans Pro SemiBold" w:hAnsi="Source Sans Pro SemiBold"/>
          <w:b/>
          <w:color w:val="222668"/>
          <w:sz w:val="32"/>
          <w:szCs w:val="32"/>
        </w:rPr>
      </w:r>
      <w:r>
        <w:br w:type="page"/>
      </w:r>
    </w:p>
    <w:p>
      <w:pPr>
        <w:pStyle w:val="LOnormal"/>
        <w:spacing w:lineRule="auto" w:line="360"/>
        <w:ind w:right="-330" w:hanging="0"/>
        <w:rPr/>
      </w:pPr>
      <w:r>
        <w:rPr>
          <w:rFonts w:eastAsia="Source Sans Pro SemiBold" w:cs="Source Sans Pro SemiBold" w:ascii="Source Sans Pro SemiBold" w:hAnsi="Source Sans Pro SemiBold"/>
          <w:b/>
          <w:color w:val="222668"/>
          <w:sz w:val="32"/>
          <w:szCs w:val="32"/>
        </w:rPr>
        <w:t>SI Methods</w:t>
      </w:r>
    </w:p>
    <w:p>
      <w:pPr>
        <w:pStyle w:val="LOnormal"/>
        <w:spacing w:lineRule="auto" w:line="360"/>
        <w:rPr>
          <w:b/>
          <w:b/>
        </w:rPr>
      </w:pPr>
      <w:r>
        <w:rPr>
          <w:b/>
        </w:rPr>
      </w:r>
    </w:p>
    <w:p>
      <w:pPr>
        <w:pStyle w:val="LOnormal"/>
        <w:numPr>
          <w:ilvl w:val="0"/>
          <w:numId w:val="1"/>
        </w:numPr>
        <w:spacing w:lineRule="auto" w:line="360"/>
        <w:rPr/>
      </w:pPr>
      <w:r>
        <w:rPr>
          <w:b/>
        </w:rPr>
        <w:t>Model structure and assumptions</w:t>
      </w:r>
    </w:p>
    <w:p>
      <w:pPr>
        <w:pStyle w:val="LOnormal"/>
        <w:numPr>
          <w:ilvl w:val="1"/>
          <w:numId w:val="1"/>
        </w:numPr>
        <w:spacing w:lineRule="auto" w:line="360"/>
        <w:rPr/>
      </w:pPr>
      <w:r>
        <w:rPr>
          <w:i/>
        </w:rPr>
        <w:t>Model structure</w:t>
      </w:r>
    </w:p>
    <w:p>
      <w:pPr>
        <w:pStyle w:val="LOnormal"/>
        <w:numPr>
          <w:ilvl w:val="1"/>
          <w:numId w:val="1"/>
        </w:numPr>
        <w:spacing w:lineRule="auto" w:line="360"/>
        <w:rPr/>
      </w:pPr>
      <w:r>
        <w:rPr>
          <w:i/>
        </w:rPr>
        <w:t>Model initialisation and external introductions</w:t>
      </w:r>
    </w:p>
    <w:p>
      <w:pPr>
        <w:pStyle w:val="LOnormal"/>
        <w:numPr>
          <w:ilvl w:val="1"/>
          <w:numId w:val="1"/>
        </w:numPr>
        <w:spacing w:lineRule="auto" w:line="360"/>
        <w:rPr/>
      </w:pPr>
      <w:r>
        <w:rPr>
          <w:i/>
        </w:rPr>
        <w:t>Susceptibility and disease severity</w:t>
      </w:r>
    </w:p>
    <w:p>
      <w:pPr>
        <w:pStyle w:val="LOnormal"/>
        <w:numPr>
          <w:ilvl w:val="0"/>
          <w:numId w:val="1"/>
        </w:numPr>
        <w:spacing w:lineRule="auto" w:line="360"/>
        <w:rPr/>
      </w:pPr>
      <w:r>
        <w:rPr>
          <w:b/>
        </w:rPr>
        <w:t>Processing simulation results</w:t>
      </w:r>
    </w:p>
    <w:p>
      <w:pPr>
        <w:pStyle w:val="LOnormal"/>
        <w:numPr>
          <w:ilvl w:val="1"/>
          <w:numId w:val="1"/>
        </w:numPr>
        <w:spacing w:lineRule="auto" w:line="360"/>
        <w:rPr/>
      </w:pPr>
      <w:r>
        <w:rPr>
          <w:i/>
        </w:rPr>
        <w:t>Parameter selection by regularity of annual seasons</w:t>
      </w:r>
    </w:p>
    <w:p>
      <w:pPr>
        <w:pStyle w:val="LOnormal"/>
        <w:numPr>
          <w:ilvl w:val="1"/>
          <w:numId w:val="1"/>
        </w:numPr>
        <w:spacing w:lineRule="auto" w:line="360"/>
        <w:rPr/>
      </w:pPr>
      <w:r>
        <w:rPr>
          <w:i/>
        </w:rPr>
        <w:t>Accounting for under-ascertainment of hospitalisation data</w:t>
      </w:r>
    </w:p>
    <w:p>
      <w:pPr>
        <w:pStyle w:val="LOnormal"/>
        <w:numPr>
          <w:ilvl w:val="1"/>
          <w:numId w:val="1"/>
        </w:numPr>
        <w:spacing w:lineRule="auto" w:line="360"/>
        <w:rPr/>
      </w:pPr>
      <w:r>
        <w:rPr>
          <w:i/>
        </w:rPr>
        <w:t>Likelihood calculations</w:t>
      </w:r>
    </w:p>
    <w:p>
      <w:pPr>
        <w:pStyle w:val="LOnormal"/>
        <w:spacing w:lineRule="auto" w:line="360"/>
        <w:rPr>
          <w:b/>
          <w:b/>
        </w:rPr>
      </w:pPr>
      <w:r>
        <w:rPr>
          <w:b/>
        </w:rPr>
      </w:r>
    </w:p>
    <w:p>
      <w:pPr>
        <w:pStyle w:val="Heading3"/>
        <w:spacing w:lineRule="auto" w:line="360"/>
        <w:rPr/>
      </w:pPr>
      <w:bookmarkStart w:id="3" w:name="_frnio1994fet"/>
      <w:bookmarkEnd w:id="3"/>
      <w:r>
        <w:rPr>
          <w:b/>
          <w:color w:val="000000"/>
        </w:rPr>
        <w:t>1. Model structure and assumptions</w:t>
      </w:r>
    </w:p>
    <w:p>
      <w:pPr>
        <w:pStyle w:val="LOnormal"/>
        <w:spacing w:lineRule="auto" w:line="360"/>
        <w:rPr/>
      </w:pPr>
      <w:r>
        <w:rPr>
          <w:b/>
        </w:rPr>
        <w:t>1.1 Model structure</w:t>
      </w:r>
    </w:p>
    <w:p>
      <w:pPr>
        <w:pStyle w:val="LOnormal"/>
        <w:spacing w:lineRule="auto" w:line="360"/>
        <w:rPr/>
      </w:pPr>
      <w:r>
        <w:rPr/>
        <w:t xml:space="preserve">We constructed an age-structured deterministic SIRS  (susceptible - infectious - recovered - susceptible) model of RSV transmission. The model has 11 age groups with finer age strata in early childhood (Table 1 in main text) and with first, second and third infections as separate compartments. A compartment is defined by its type (S, I, R), age index and infection index: </w:t>
      </w:r>
      <w:r>
        <w:rPr/>
      </w:r>
      <m:oMath xmlns:m="http://schemas.openxmlformats.org/officeDocument/2006/math">
        <m:sSubSup>
          <m:e>
            <m:sSubSup>
              <m:e>
                <m:r>
                  <w:rPr>
                    <w:rFonts w:ascii="Cambria Math" w:hAnsi="Cambria Math"/>
                  </w:rPr>
                  <m:t xml:space="preserve">S</m:t>
                </m:r>
              </m:e>
              <m:sub>
                <m:r>
                  <w:rPr>
                    <w:rFonts w:ascii="Cambria Math" w:hAnsi="Cambria Math"/>
                  </w:rPr>
                  <m:t xml:space="preserve">i</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2</m:t>
                </m:r>
              </m:sup>
            </m:sSubSup>
          </m:e>
          <m:sub/>
          <m:sup/>
        </m:sSubSup>
      </m:oMath>
      <w:r>
        <w:rPr/>
        <w:t xml:space="preserve">refers to susceptibles that have not been infected yet (i=1) and are in the second (2) age group. For susceptibles the infection index is the infection they </w:t>
      </w:r>
      <w:r>
        <w:rPr>
          <w:i/>
        </w:rPr>
        <w:t>will</w:t>
      </w:r>
      <w:r>
        <w:rPr/>
        <w:t xml:space="preserve"> be exposed to, whereas for I and R it is the infection they are currently undergoing or have already recovered from, eg. </w:t>
      </w:r>
      <w:r>
        <w:rPr/>
      </w:r>
      <m:oMath xmlns:m="http://schemas.openxmlformats.org/officeDocument/2006/math">
        <m:sSubSup>
          <m:e>
            <m:sSubSup>
              <m:e>
                <m:r>
                  <w:rPr>
                    <w:rFonts w:ascii="Cambria Math" w:hAnsi="Cambria Math"/>
                  </w:rPr>
                  <m:t xml:space="preserve">R</m:t>
                </m:r>
              </m:e>
              <m:sub>
                <m:r>
                  <w:rPr>
                    <w:rFonts w:ascii="Cambria Math" w:hAnsi="Cambria Math"/>
                  </w:rPr>
                  <m:t xml:space="preserve">1</m:t>
                </m:r>
              </m:sub>
              <m:sup>
                <m:r>
                  <w:rPr>
                    <w:rFonts w:ascii="Cambria Math" w:hAnsi="Cambria Math"/>
                  </w:rPr>
                  <m:t xml:space="preserve">2</m:t>
                </m:r>
              </m:sup>
            </m:sSubSup>
          </m:e>
          <m:sub/>
          <m:sup/>
        </m:sSubSup>
      </m:oMath>
      <w:r>
        <w:rPr/>
        <w:t>refers to recovered individuals who have been infected once and are in the second age group  (0.5-1 year olds).</w:t>
      </w:r>
    </w:p>
    <w:p>
      <w:pPr>
        <w:pStyle w:val="LOnormal"/>
        <w:spacing w:lineRule="auto" w:line="360"/>
        <w:rPr/>
      </w:pPr>
      <w:r>
        <w:rPr/>
        <w:t xml:space="preserve">Estimates of default parameter values and their source are shown in Table 1 of the main text. We used age demographics and the contact matrix [38] from the United Kingdom, as an example of a northern hemisphere country with strong seasonality of RSV (Figure 1B, SI Figure 1). The entries of the contact matrix were changed proportionately to the size of age groups relative to the original ones in [17], while also enforcing the contact matrix to be reciprocal. </w:t>
      </w:r>
    </w:p>
    <w:p>
      <w:pPr>
        <w:pStyle w:val="LOnormal"/>
        <w:spacing w:lineRule="auto" w:line="360"/>
        <w:rPr/>
      </w:pPr>
      <w:r>
        <w:rPr/>
        <w:t>Death rates from ONS data were slightly modified so that each age group has a stationary size close to the age structure in 2019 (SI Table 1). The proportions of the age groups as a percentage of the total population in the model and in ONS data have a deviation smaller than 0.3% for 9 out of 11 age groups and between 0.33% for the 45-65y group and 0.97% for the 65+ age group.</w:t>
      </w:r>
    </w:p>
    <w:p>
      <w:pPr>
        <w:pStyle w:val="LOnormal"/>
        <w:spacing w:lineRule="auto" w:line="360"/>
        <w:rPr/>
      </w:pPr>
      <w:r>
        <w:rPr/>
      </w:r>
    </w:p>
    <w:p>
      <w:pPr>
        <w:pStyle w:val="LOnormal"/>
        <w:spacing w:lineRule="auto" w:line="360"/>
        <w:rPr/>
      </w:pPr>
      <w:r>
        <w:rPr/>
        <w:t xml:space="preserve">The model has 99 state variables in total, generated by the 3 types of compartment (S, I, R), 3 levels of infection and 11 age groups (3*3*11=99). We ordered variables by infection level, compartment type and age group, so the first 9 variables are </w:t>
      </w:r>
      <w:r>
        <w:rPr/>
      </w:r>
      <m:oMath xmlns:m="http://schemas.openxmlformats.org/officeDocument/2006/math">
        <m:d>
          <m:dPr>
            <m:begChr m:val="{"/>
            <m:endChr m:val="}"/>
          </m:dPr>
          <m:e>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3</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I</m:t>
                </m:r>
              </m:e>
              <m:sub>
                <m:r>
                  <w:rPr>
                    <w:rFonts w:ascii="Cambria Math" w:hAnsi="Cambria Math"/>
                  </w:rPr>
                  <m:t xml:space="preserve">1</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I</m:t>
                </m:r>
              </m:e>
              <m:sub>
                <m:r>
                  <w:rPr>
                    <w:rFonts w:ascii="Cambria Math" w:hAnsi="Cambria Math"/>
                  </w:rPr>
                  <m:t xml:space="preserve">2</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I</m:t>
                </m:r>
              </m:e>
              <m:sub>
                <m:r>
                  <w:rPr>
                    <w:rFonts w:ascii="Cambria Math" w:hAnsi="Cambria Math"/>
                  </w:rPr>
                  <m:t xml:space="preserve">3</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1</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2</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3</m:t>
                </m:r>
              </m:sub>
              <m:sup>
                <m:d>
                  <m:dPr>
                    <m:begChr m:val="("/>
                    <m:endChr m:val=")"/>
                  </m:dPr>
                  <m:e>
                    <m:r>
                      <w:rPr>
                        <w:rFonts w:ascii="Cambria Math" w:hAnsi="Cambria Math"/>
                      </w:rPr>
                      <m:t xml:space="preserve">1</m:t>
                    </m:r>
                  </m:e>
                </m:d>
              </m:sup>
            </m:sSubSup>
          </m:e>
        </m:d>
      </m:oMath>
      <w:r>
        <w:rPr/>
        <w:t xml:space="preserve">. </w:t>
      </w:r>
    </w:p>
    <w:p>
      <w:pPr>
        <w:pStyle w:val="LOnormal"/>
        <w:spacing w:lineRule="auto" w:line="360"/>
        <w:rPr/>
      </w:pPr>
      <w:r>
        <w:rPr/>
        <w:t xml:space="preserve">The system of 99 coupled ordinary differential equations (ODE) for the state variables consists of constant, linear and nonlinear terms, respectively. </w:t>
      </w:r>
    </w:p>
    <w:p>
      <w:pPr>
        <w:pStyle w:val="LOnormal"/>
        <w:spacing w:lineRule="auto" w:line="360"/>
        <w:rPr/>
      </w:pPr>
      <w:r>
        <w:rPr/>
        <w:t xml:space="preserve">The </w:t>
      </w:r>
      <w:r>
        <w:rPr>
          <w:i/>
        </w:rPr>
        <w:t>constant</w:t>
      </w:r>
      <w:r>
        <w:rPr>
          <w:rFonts w:eastAsia="Arial" w:cs="Arial" w:ascii="Arial" w:hAnsi="Arial"/>
        </w:rPr>
        <w:t xml:space="preserve"> terms are births (μ), which is modelled as a constant inflow of new individuals into compartments </w:t>
      </w:r>
      <w:r>
        <w:rPr/>
      </w:r>
      <m:oMath xmlns:m="http://schemas.openxmlformats.org/officeDocument/2006/math">
        <m:sSubSup>
          <m:e>
            <m:r>
              <w:rPr>
                <w:rFonts w:ascii="Cambria Math" w:hAnsi="Cambria Math"/>
              </w:rPr>
              <m:t xml:space="preserve">S</m:t>
            </m:r>
          </m:e>
          <m:sub>
            <m:r>
              <w:rPr>
                <w:rFonts w:ascii="Cambria Math" w:hAnsi="Cambria Math"/>
              </w:rPr>
              <m:t xml:space="preserve">1</m:t>
            </m:r>
          </m:sub>
          <m:sup>
            <m:r>
              <w:rPr>
                <w:rFonts w:ascii="Cambria Math" w:hAnsi="Cambria Math"/>
              </w:rPr>
              <m:t xml:space="preserve">1</m:t>
            </m:r>
          </m:sup>
        </m:sSubSup>
      </m:oMath>
      <w:r>
        <w:rPr/>
        <w:t xml:space="preserve"> and </w:t>
      </w:r>
      <w:r>
        <w:rPr/>
      </w:r>
      <m:oMath xmlns:m="http://schemas.openxmlformats.org/officeDocument/2006/math">
        <m:sSubSup>
          <m:e>
            <m:r>
              <w:rPr>
                <w:rFonts w:ascii="Cambria Math" w:hAnsi="Cambria Math"/>
              </w:rPr>
              <m:t xml:space="preserve">R</m:t>
            </m:r>
          </m:e>
          <m:sub>
            <m:r>
              <w:rPr>
                <w:rFonts w:ascii="Cambria Math" w:hAnsi="Cambria Math"/>
              </w:rPr>
              <m:t xml:space="preserve">1</m:t>
            </m:r>
          </m:sub>
          <m:sup>
            <m:r>
              <w:rPr>
                <w:rFonts w:ascii="Cambria Math" w:hAnsi="Cambria Math"/>
              </w:rPr>
              <m:t xml:space="preserve">1</m:t>
            </m:r>
          </m:sup>
        </m:sSubSup>
      </m:oMath>
      <w:r>
        <w:rPr/>
        <w:t xml:space="preserve">. </w:t>
      </w:r>
    </w:p>
    <w:p>
      <w:pPr>
        <w:pStyle w:val="LOnormal"/>
        <w:spacing w:lineRule="auto" w:line="360"/>
        <w:rPr/>
      </w:pPr>
      <w:r>
        <w:rPr/>
        <w:t xml:space="preserve">To take into account maternal immunity we split the number of daily births between the compartments </w:t>
      </w:r>
      <w:r>
        <w:rPr/>
      </w:r>
      <m:oMath xmlns:m="http://schemas.openxmlformats.org/officeDocument/2006/math">
        <m:sSubSup>
          <m:e>
            <m:r>
              <w:rPr>
                <w:rFonts w:ascii="Cambria Math" w:hAnsi="Cambria Math"/>
              </w:rPr>
              <m:t xml:space="preserve">S</m:t>
            </m:r>
          </m:e>
          <m:sub>
            <m:r>
              <w:rPr>
                <w:rFonts w:ascii="Cambria Math" w:hAnsi="Cambria Math"/>
              </w:rPr>
              <m:t xml:space="preserve">1</m:t>
            </m:r>
          </m:sub>
          <m:sup>
            <m:r>
              <w:rPr>
                <w:rFonts w:ascii="Cambria Math" w:hAnsi="Cambria Math"/>
              </w:rPr>
              <m:t xml:space="preserve">1</m:t>
            </m:r>
          </m:sup>
        </m:sSubSup>
      </m:oMath>
      <w:r>
        <w:rPr/>
        <w:t xml:space="preserve"> and </w:t>
      </w:r>
      <w:r>
        <w:rPr/>
      </w:r>
      <m:oMath xmlns:m="http://schemas.openxmlformats.org/officeDocument/2006/math">
        <m:sSubSup>
          <m:e>
            <m:r>
              <w:rPr>
                <w:rFonts w:ascii="Cambria Math" w:hAnsi="Cambria Math"/>
              </w:rPr>
              <m:t xml:space="preserve">R</m:t>
            </m:r>
          </m:e>
          <m:sub>
            <m:r>
              <w:rPr>
                <w:rFonts w:ascii="Cambria Math" w:hAnsi="Cambria Math"/>
              </w:rPr>
              <m:t xml:space="preserve">1</m:t>
            </m:r>
          </m:sub>
          <m:sup>
            <m:r>
              <w:rPr>
                <w:rFonts w:ascii="Cambria Math" w:hAnsi="Cambria Math"/>
              </w:rPr>
              <m:t xml:space="preserve">1</m:t>
            </m:r>
          </m:sup>
        </m:sSubSup>
      </m:oMath>
      <w:r>
        <w:rPr/>
        <w:t xml:space="preserve"> as a function of the proportion of individuals in either the S (susceptible) or I (currently infected) compartments or in the R (recovered) compartments in the age group that is of childbearing age (15-45 years, 9th age group). </w:t>
      </w:r>
    </w:p>
    <w:p>
      <w:pPr>
        <w:pStyle w:val="LOnormal"/>
        <w:spacing w:lineRule="auto" w:line="360"/>
        <w:rPr/>
      </w:pPr>
      <w:r>
        <w:rPr/>
        <w:t xml:space="preserve">The proportion of births with maternal immunity, ie births into the compartment </w:t>
      </w:r>
      <w:r>
        <w:rPr/>
      </w:r>
      <m:oMath xmlns:m="http://schemas.openxmlformats.org/officeDocument/2006/math">
        <m:sSubSup>
          <m:e>
            <m:r>
              <w:rPr>
                <w:rFonts w:ascii="Cambria Math" w:hAnsi="Cambria Math"/>
              </w:rPr>
              <m:t xml:space="preserve">R</m:t>
            </m:r>
          </m:e>
          <m:sub>
            <m:r>
              <w:rPr>
                <w:rFonts w:ascii="Cambria Math" w:hAnsi="Cambria Math"/>
              </w:rPr>
              <m:t xml:space="preserve">1</m:t>
            </m:r>
          </m:sub>
          <m:sup>
            <m:r>
              <w:rPr>
                <w:rFonts w:ascii="Cambria Math" w:hAnsi="Cambria Math"/>
              </w:rPr>
              <m:t xml:space="preserve">1</m:t>
            </m:r>
          </m:sup>
        </m:sSubSup>
      </m:oMath>
      <w:r>
        <w:rPr/>
        <w:t xml:space="preserve"> is</w:t>
      </w:r>
    </w:p>
    <w:p>
      <w:pPr>
        <w:pStyle w:val="LOnormal"/>
        <w:spacing w:lineRule="auto" w:line="360"/>
        <w:rPr/>
      </w:pPr>
      <w:r>
        <w:rPr/>
        <w:t xml:space="preserve">  </w:t>
      </w:r>
      <w:r>
        <w:rPr/>
      </w:r>
      <m:oMath xmlns:m="http://schemas.openxmlformats.org/officeDocument/2006/math">
        <m:r>
          <w:rPr>
            <w:rFonts w:ascii="Cambria Math" w:hAnsi="Cambria Math"/>
          </w:rPr>
          <m:t xml:space="preserve">μ</m:t>
        </m:r>
        <m:sSub>
          <m:e>
            <m:r>
              <w:rPr>
                <w:rFonts w:ascii="Cambria Math" w:hAnsi="Cambria Math"/>
              </w:rPr>
              <m:t xml:space="preserve">p</m:t>
            </m:r>
          </m:e>
          <m:sub>
            <m:r>
              <w:rPr>
                <w:rFonts w:ascii="Cambria Math" w:hAnsi="Cambria Math"/>
              </w:rPr>
              <m:t xml:space="preserve">immune</m:t>
            </m:r>
          </m:sub>
        </m:sSub>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μ</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w:rPr>
                    <w:rFonts w:ascii="Cambria Math" w:hAnsi="Cambria Math"/>
                  </w:rPr>
                  <m:t xml:space="preserve">3</m:t>
                </m:r>
              </m:sup>
              <m:e>
                <m:sSubSup>
                  <m:e>
                    <m:r>
                      <w:rPr>
                        <w:rFonts w:ascii="Cambria Math" w:hAnsi="Cambria Math"/>
                      </w:rPr>
                      <m:t xml:space="preserve">R</m:t>
                    </m:r>
                  </m:e>
                  <m:sub>
                    <m:r>
                      <w:rPr>
                        <w:rFonts w:ascii="Cambria Math" w:hAnsi="Cambria Math"/>
                      </w:rPr>
                      <m:t xml:space="preserve">i</m:t>
                    </m:r>
                  </m:sub>
                  <m:sup>
                    <m:r>
                      <w:rPr>
                        <w:rFonts w:ascii="Cambria Math" w:hAnsi="Cambria Math"/>
                      </w:rPr>
                      <m:t xml:space="preserve">9</m:t>
                    </m:r>
                  </m:sup>
                </m:sSubSup>
                <m:d>
                  <m:dPr>
                    <m:begChr m:val="("/>
                    <m:endChr m:val=")"/>
                  </m:dPr>
                  <m:e>
                    <m:r>
                      <w:rPr>
                        <w:rFonts w:ascii="Cambria Math" w:hAnsi="Cambria Math"/>
                      </w:rPr>
                      <m:t xml:space="preserve">t</m:t>
                    </m:r>
                  </m:e>
                </m:d>
              </m:e>
            </m:nary>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w:rPr>
                    <w:rFonts w:ascii="Cambria Math" w:hAnsi="Cambria Math"/>
                  </w:rPr>
                  <m:t xml:space="preserve">3</m:t>
                </m:r>
              </m:sup>
              <m:e>
                <m:sSubSup>
                  <m:e>
                    <m:r>
                      <w:rPr>
                        <w:rFonts w:ascii="Cambria Math" w:hAnsi="Cambria Math"/>
                      </w:rPr>
                      <m:t xml:space="preserve">R</m:t>
                    </m:r>
                  </m:e>
                  <m:sub>
                    <m:r>
                      <w:rPr>
                        <w:rFonts w:ascii="Cambria Math" w:hAnsi="Cambria Math"/>
                      </w:rPr>
                      <m:t xml:space="preserve">i</m:t>
                    </m:r>
                  </m:sub>
                  <m:sup>
                    <m:r>
                      <w:rPr>
                        <w:rFonts w:ascii="Cambria Math" w:hAnsi="Cambria Math"/>
                      </w:rPr>
                      <m:t xml:space="preserve">9</m:t>
                    </m:r>
                  </m:sup>
                </m:sSubSup>
                <m:d>
                  <m:dPr>
                    <m:begChr m:val="("/>
                    <m:endChr m:val=")"/>
                  </m:dPr>
                  <m:e>
                    <m:r>
                      <w:rPr>
                        <w:rFonts w:ascii="Cambria Math" w:hAnsi="Cambria Math"/>
                      </w:rPr>
                      <m:t xml:space="preserve">t</m:t>
                    </m:r>
                  </m:e>
                </m:d>
              </m:e>
            </m:nary>
            <m:r>
              <w:rPr>
                <w:rFonts w:ascii="Cambria Math" w:hAnsi="Cambria Math"/>
              </w:rPr>
              <m:t xml:space="preserve">+</m:t>
            </m:r>
            <m:sSubSup>
              <m:e>
                <m:r>
                  <w:rPr>
                    <w:rFonts w:ascii="Cambria Math" w:hAnsi="Cambria Math"/>
                  </w:rPr>
                  <m:t xml:space="preserve">I</m:t>
                </m:r>
              </m:e>
              <m:sub>
                <m:r>
                  <w:rPr>
                    <w:rFonts w:ascii="Cambria Math" w:hAnsi="Cambria Math"/>
                  </w:rPr>
                  <m:t xml:space="preserve">i</m:t>
                </m:r>
              </m:sub>
              <m:sup>
                <m:r>
                  <w:rPr>
                    <w:rFonts w:ascii="Cambria Math" w:hAnsi="Cambria Math"/>
                  </w:rPr>
                  <m:t xml:space="preserve">9</m:t>
                </m:r>
              </m:sup>
            </m:sSubSup>
            <m:d>
              <m:dPr>
                <m:begChr m:val="("/>
                <m:endChr m:val=")"/>
              </m:dPr>
              <m:e>
                <m:r>
                  <w:rPr>
                    <w:rFonts w:ascii="Cambria Math" w:hAnsi="Cambria Math"/>
                  </w:rPr>
                  <m:t xml:space="preserve">t</m:t>
                </m:r>
              </m:e>
            </m:d>
            <m:r>
              <w:rPr>
                <w:rFonts w:ascii="Cambria Math" w:hAnsi="Cambria Math"/>
              </w:rPr>
              <m:t xml:space="preserve">+</m:t>
            </m:r>
            <m:sSubSup>
              <m:e>
                <m:r>
                  <w:rPr>
                    <w:rFonts w:ascii="Cambria Math" w:hAnsi="Cambria Math"/>
                  </w:rPr>
                  <m:t xml:space="preserve">S</m:t>
                </m:r>
              </m:e>
              <m:sub>
                <m:r>
                  <w:rPr>
                    <w:rFonts w:ascii="Cambria Math" w:hAnsi="Cambria Math"/>
                  </w:rPr>
                  <m:t xml:space="preserve">i</m:t>
                </m:r>
              </m:sub>
              <m:sup>
                <m:r>
                  <w:rPr>
                    <w:rFonts w:ascii="Cambria Math" w:hAnsi="Cambria Math"/>
                  </w:rPr>
                  <m:t xml:space="preserve">9</m:t>
                </m:r>
              </m:sup>
            </m:sSubSup>
            <m:d>
              <m:dPr>
                <m:begChr m:val="("/>
                <m:endChr m:val=")"/>
              </m:dPr>
              <m:e>
                <m:r>
                  <w:rPr>
                    <w:rFonts w:ascii="Cambria Math" w:hAnsi="Cambria Math"/>
                  </w:rPr>
                  <m:t xml:space="preserve">t</m:t>
                </m:r>
              </m:e>
            </m:d>
          </m:den>
        </m:f>
      </m:oMath>
      <w:r>
        <w:rPr/>
        <w:t xml:space="preserve"> </w:t>
      </w:r>
      <w:r>
        <w:rPr/>
        <w:tab/>
        <w:tab/>
        <w:tab/>
        <w:tab/>
        <w:tab/>
        <w:tab/>
        <w:t>(SI Eq 1)</w:t>
      </w:r>
    </w:p>
    <w:p>
      <w:pPr>
        <w:pStyle w:val="LOnormal"/>
        <w:spacing w:lineRule="auto" w:line="360"/>
        <w:rPr/>
      </w:pPr>
      <w:r>
        <w:rPr/>
        <w:t xml:space="preserve">and births without maternal immunity are </w:t>
      </w:r>
      <w:r>
        <w:rPr/>
      </w:r>
      <m:oMath xmlns:m="http://schemas.openxmlformats.org/officeDocument/2006/math">
        <m:r>
          <w:rPr>
            <w:rFonts w:ascii="Cambria Math" w:hAnsi="Cambria Math"/>
          </w:rPr>
          <m:t xml:space="preserve">μ</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immune</m:t>
                </m:r>
              </m:sub>
            </m:sSub>
            <m:d>
              <m:dPr>
                <m:begChr m:val="("/>
                <m:endChr m:val=")"/>
              </m:dPr>
              <m:e>
                <m:r>
                  <w:rPr>
                    <w:rFonts w:ascii="Cambria Math" w:hAnsi="Cambria Math"/>
                  </w:rPr>
                  <m:t xml:space="preserve">t</m:t>
                </m:r>
              </m:e>
            </m:d>
          </m:e>
        </m:d>
      </m:oMath>
      <w:r>
        <w:rPr/>
        <w:t>.</w:t>
      </w:r>
    </w:p>
    <w:p>
      <w:pPr>
        <w:pStyle w:val="LOnormal"/>
        <w:spacing w:lineRule="auto" w:line="360"/>
        <w:rPr/>
      </w:pPr>
      <w:r>
        <w:rPr/>
      </w:r>
    </w:p>
    <w:p>
      <w:pPr>
        <w:pStyle w:val="LOnormal"/>
        <w:spacing w:lineRule="auto" w:line="360"/>
        <w:rPr/>
      </w:pPr>
      <w:r>
        <w:rPr/>
        <w:t xml:space="preserve">The </w:t>
      </w:r>
      <w:r>
        <w:rPr>
          <w:i/>
        </w:rPr>
        <w:t>linear</w:t>
      </w:r>
      <w:r>
        <w:rPr/>
        <w:t xml:space="preserve"> terms in the ODEs are:</w:t>
      </w:r>
    </w:p>
    <w:p>
      <w:pPr>
        <w:pStyle w:val="LOnormal"/>
        <w:numPr>
          <w:ilvl w:val="0"/>
          <w:numId w:val="2"/>
        </w:numPr>
        <w:spacing w:lineRule="auto" w:line="360"/>
        <w:rPr/>
      </w:pPr>
      <w:r>
        <w:rPr/>
        <w:t xml:space="preserve">waning, for R: </w:t>
      </w:r>
      <w:r>
        <w:rPr/>
      </w:r>
      <m:oMath xmlns:m="http://schemas.openxmlformats.org/officeDocument/2006/math">
        <m:r>
          <w:rPr>
            <w:rFonts w:ascii="Cambria Math" w:hAnsi="Cambria Math"/>
          </w:rPr>
          <m:t xml:space="preserve">ω</m:t>
        </m:r>
        <m:sSubSup>
          <m:e>
            <m:r>
              <w:rPr>
                <w:rFonts w:ascii="Cambria Math" w:hAnsi="Cambria Math"/>
              </w:rPr>
              <m:t xml:space="preserve">R</m:t>
            </m:r>
          </m:e>
          <m:sub>
            <m:r>
              <w:rPr>
                <w:rFonts w:ascii="Cambria Math" w:hAnsi="Cambria Math"/>
              </w:rPr>
              <m:t xml:space="preserve">i</m:t>
            </m:r>
          </m:sub>
          <m:sup>
            <m:r>
              <w:rPr>
                <w:rFonts w:ascii="Cambria Math" w:hAnsi="Cambria Math"/>
              </w:rPr>
              <m:t xml:space="preserve">j</m:t>
            </m:r>
          </m:sup>
        </m:sSubSup>
        <m:d>
          <m:dPr>
            <m:begChr m:val="("/>
            <m:endChr m:val=")"/>
          </m:dPr>
          <m:e>
            <m:r>
              <w:rPr>
                <w:rFonts w:ascii="Cambria Math" w:hAnsi="Cambria Math"/>
              </w:rPr>
              <m:t xml:space="preserve">t</m:t>
            </m:r>
          </m:e>
        </m:d>
      </m:oMath>
    </w:p>
    <w:p>
      <w:pPr>
        <w:pStyle w:val="LOnormal"/>
        <w:numPr>
          <w:ilvl w:val="0"/>
          <w:numId w:val="2"/>
        </w:numPr>
        <w:spacing w:lineRule="auto" w:line="360"/>
        <w:rPr/>
      </w:pPr>
      <w:r>
        <w:rPr/>
        <w:t xml:space="preserve">ageing, for any compartment X:  </w:t>
      </w:r>
      <w:r>
        <w:rPr/>
      </w:r>
      <m:oMath xmlns:m="http://schemas.openxmlformats.org/officeDocument/2006/math">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j</m:t>
                </m:r>
              </m:sup>
            </m:sSup>
          </m:den>
        </m:f>
        <m:sSubSup>
          <m:e>
            <m:r>
              <w:rPr>
                <w:rFonts w:ascii="Cambria Math" w:hAnsi="Cambria Math"/>
              </w:rPr>
              <m:t xml:space="preserve">X</m:t>
            </m:r>
          </m:e>
          <m:sub>
            <m:r>
              <w:rPr>
                <w:rFonts w:ascii="Cambria Math" w:hAnsi="Cambria Math"/>
              </w:rPr>
              <m:t xml:space="preserve">i</m:t>
            </m:r>
          </m:sub>
          <m:sup>
            <m:r>
              <w:rPr>
                <w:rFonts w:ascii="Cambria Math" w:hAnsi="Cambria Math"/>
              </w:rPr>
              <m:t xml:space="preserve">j</m:t>
            </m:r>
          </m:sup>
        </m:sSubSup>
        <m:d>
          <m:dPr>
            <m:begChr m:val="("/>
            <m:endChr m:val=")"/>
          </m:dPr>
          <m:e>
            <m:r>
              <w:rPr>
                <w:rFonts w:ascii="Cambria Math" w:hAnsi="Cambria Math"/>
              </w:rPr>
              <m:t xml:space="preserve">t</m:t>
            </m:r>
          </m:e>
        </m:d>
      </m:oMath>
      <w:r>
        <w:rPr/>
        <w:t xml:space="preserve">, where </w:t>
      </w:r>
      <w:r>
        <w:rPr/>
      </w:r>
      <m:oMath xmlns:m="http://schemas.openxmlformats.org/officeDocument/2006/math">
        <m:sSup>
          <m:e>
            <m:r>
              <w:rPr>
                <w:rFonts w:ascii="Cambria Math" w:hAnsi="Cambria Math"/>
              </w:rPr>
              <m:t xml:space="preserve">d</m:t>
            </m:r>
          </m:e>
          <m:sup>
            <m:r>
              <w:rPr>
                <w:rFonts w:ascii="Cambria Math" w:hAnsi="Cambria Math"/>
              </w:rPr>
              <m:t xml:space="preserve">j</m:t>
            </m:r>
          </m:sup>
        </m:sSup>
      </m:oMath>
      <w:r>
        <w:rPr/>
        <w:t xml:space="preserve"> is the time spent in age group </w:t>
      </w:r>
      <w:r>
        <w:rPr>
          <w:i/>
        </w:rPr>
        <w:t>j</w:t>
      </w:r>
    </w:p>
    <w:p>
      <w:pPr>
        <w:pStyle w:val="LOnormal"/>
        <w:numPr>
          <w:ilvl w:val="0"/>
          <w:numId w:val="2"/>
        </w:numPr>
        <w:spacing w:lineRule="auto" w:line="360"/>
        <w:rPr/>
      </w:pPr>
      <w:r>
        <w:rPr/>
        <w:t xml:space="preserve">deaths, for all compartments, in age group </w:t>
      </w:r>
      <w:r>
        <w:rPr>
          <w:i/>
        </w:rPr>
        <w:t>j</w:t>
      </w:r>
      <w:r>
        <w:rPr/>
        <w:t xml:space="preserve">: </w:t>
      </w:r>
      <w:r>
        <w:rPr/>
      </w:r>
      <m:oMath xmlns:m="http://schemas.openxmlformats.org/officeDocument/2006/math">
        <m:sSubSup>
          <m:e>
            <m:sSub>
              <m:e>
                <m:r>
                  <w:rPr>
                    <w:rFonts w:ascii="Cambria Math" w:hAnsi="Cambria Math"/>
                  </w:rPr>
                  <m:t xml:space="preserve">θ</m:t>
                </m:r>
              </m:e>
              <m:sub>
                <m:r>
                  <w:rPr>
                    <w:rFonts w:ascii="Cambria Math" w:hAnsi="Cambria Math"/>
                  </w:rPr>
                  <m:t xml:space="preserve">j</m:t>
                </m:r>
              </m:sub>
            </m:sSub>
            <m:r>
              <w:rPr>
                <w:rFonts w:ascii="Cambria Math" w:hAnsi="Cambria Math"/>
              </w:rPr>
              <m:t xml:space="preserve">X</m:t>
            </m:r>
          </m:e>
          <m:sub>
            <m:r>
              <w:rPr>
                <w:rFonts w:ascii="Cambria Math" w:hAnsi="Cambria Math"/>
              </w:rPr>
              <m:t xml:space="preserve">i</m:t>
            </m:r>
          </m:sub>
          <m:sup>
            <m:r>
              <w:rPr>
                <w:rFonts w:ascii="Cambria Math" w:hAnsi="Cambria Math"/>
              </w:rPr>
              <m:t xml:space="preserve">j</m:t>
            </m:r>
          </m:sup>
        </m:sSubSup>
        <m:d>
          <m:dPr>
            <m:begChr m:val="("/>
            <m:endChr m:val=")"/>
          </m:dPr>
          <m:e>
            <m:r>
              <w:rPr>
                <w:rFonts w:ascii="Cambria Math" w:hAnsi="Cambria Math"/>
              </w:rPr>
              <m:t xml:space="preserve">t</m:t>
            </m:r>
          </m:e>
        </m:d>
      </m:oMath>
    </w:p>
    <w:p>
      <w:pPr>
        <w:pStyle w:val="LOnormal"/>
        <w:numPr>
          <w:ilvl w:val="0"/>
          <w:numId w:val="2"/>
        </w:numPr>
        <w:spacing w:lineRule="auto" w:line="360"/>
        <w:rPr/>
      </w:pPr>
      <w:r>
        <w:rPr/>
        <w:t xml:space="preserve">recovery from infection, for I: </w:t>
      </w:r>
      <w:r>
        <w:rPr/>
      </w:r>
      <m:oMath xmlns:m="http://schemas.openxmlformats.org/officeDocument/2006/math">
        <m:r>
          <w:rPr>
            <w:rFonts w:ascii="Cambria Math" w:hAnsi="Cambria Math"/>
          </w:rPr>
          <m:t xml:space="preserve">γ</m:t>
        </m:r>
        <m:sSubSup>
          <m:e>
            <m:r>
              <w:rPr>
                <w:rFonts w:ascii="Cambria Math" w:hAnsi="Cambria Math"/>
              </w:rPr>
              <m:t xml:space="preserve">I</m:t>
            </m:r>
          </m:e>
          <m:sub>
            <m:r>
              <w:rPr>
                <w:rFonts w:ascii="Cambria Math" w:hAnsi="Cambria Math"/>
              </w:rPr>
              <m:t xml:space="preserve">i</m:t>
            </m:r>
          </m:sub>
          <m:sup>
            <m:r>
              <w:rPr>
                <w:rFonts w:ascii="Cambria Math" w:hAnsi="Cambria Math"/>
              </w:rPr>
              <m:t xml:space="preserve">j</m:t>
            </m:r>
          </m:sup>
        </m:sSubSup>
        <m:d>
          <m:dPr>
            <m:begChr m:val="("/>
            <m:endChr m:val=")"/>
          </m:dPr>
          <m:e>
            <m:r>
              <w:rPr>
                <w:rFonts w:ascii="Cambria Math" w:hAnsi="Cambria Math"/>
              </w:rPr>
              <m:t xml:space="preserve">t</m:t>
            </m:r>
          </m:e>
        </m:d>
      </m:oMath>
    </w:p>
    <w:p>
      <w:pPr>
        <w:pStyle w:val="LOnormal"/>
        <w:spacing w:lineRule="auto" w:line="360"/>
        <w:rPr/>
      </w:pPr>
      <w:r>
        <w:rPr/>
        <w:t xml:space="preserve">The </w:t>
      </w:r>
      <w:r>
        <w:rPr>
          <w:i/>
        </w:rPr>
        <w:t>nonlinear</w:t>
      </w:r>
      <w:r>
        <w:rPr/>
        <w:t xml:space="preserve"> terms are the infection terms, a product of three terms: the force of infection (</w:t>
      </w:r>
      <w:r>
        <w:rPr/>
      </w:r>
      <m:oMath xmlns:m="http://schemas.openxmlformats.org/officeDocument/2006/math">
        <m:sSubSup>
          <m:e>
            <m:r>
              <w:rPr>
                <w:rFonts w:ascii="Cambria Math" w:hAnsi="Cambria Math"/>
              </w:rPr>
              <m:t xml:space="preserve">λ</m:t>
            </m:r>
          </m:e>
          <m:sub>
            <m:r>
              <w:rPr>
                <w:rFonts w:ascii="Cambria Math" w:hAnsi="Cambria Math"/>
              </w:rPr>
              <m:t xml:space="preserve">i</m:t>
            </m:r>
          </m:sub>
          <m:sup>
            <m:r>
              <w:rPr>
                <w:rFonts w:ascii="Cambria Math" w:hAnsi="Cambria Math"/>
              </w:rPr>
              <m:t xml:space="preserve">j</m:t>
            </m:r>
          </m:sup>
        </m:sSubSup>
      </m:oMath>
      <w:r>
        <w:rPr/>
        <w:t xml:space="preserve">), the susceptibles getting infected, and the seasonal forcing, </w:t>
      </w:r>
      <w:r>
        <w:rPr/>
      </w:r>
      <m:oMath xmlns:m="http://schemas.openxmlformats.org/officeDocument/2006/math">
        <m:r>
          <w:rPr>
            <w:rFonts w:ascii="Cambria Math" w:hAnsi="Cambria Math"/>
          </w:rPr>
          <m:t xml:space="preserve">β</m:t>
        </m:r>
        <m:d>
          <m:dPr>
            <m:begChr m:val="("/>
            <m:endChr m:val=")"/>
          </m:dPr>
          <m:e>
            <m:r>
              <w:rPr>
                <w:rFonts w:ascii="Cambria Math" w:hAnsi="Cambria Math"/>
              </w:rPr>
              <m:t xml:space="preserve">t</m:t>
            </m:r>
          </m:e>
        </m:d>
      </m:oMath>
      <w:r>
        <w:rPr/>
        <w:t>.</w:t>
      </w:r>
    </w:p>
    <w:p>
      <w:pPr>
        <w:pStyle w:val="LOnormal"/>
        <w:spacing w:lineRule="auto" w:line="360"/>
        <w:rPr/>
      </w:pPr>
      <w:r>
        <w:rPr/>
        <w:t xml:space="preserve">Dependence of the susceptibility to infection on age and exposure is a key control parameter in our modelling, therefore the force of infection is specific to the age group and/or the level of infection. For the </w:t>
      </w:r>
      <w:r>
        <w:rPr>
          <w:i/>
        </w:rPr>
        <w:t>i</w:t>
      </w:r>
      <w:r>
        <w:rPr/>
        <w:t xml:space="preserve">th infection of individuals in the </w:t>
      </w:r>
      <w:r>
        <w:rPr>
          <w:i/>
        </w:rPr>
        <w:t>j</w:t>
      </w:r>
      <w:r>
        <w:rPr/>
        <w:t>th age group, the force of infection is:</w:t>
      </w:r>
    </w:p>
    <w:p>
      <w:pPr>
        <w:pStyle w:val="LOnormal"/>
        <w:spacing w:lineRule="auto" w:line="360"/>
        <w:rPr/>
      </w:pPr>
      <w:r>
        <w:rPr/>
      </w:r>
      <m:oMath xmlns:m="http://schemas.openxmlformats.org/officeDocument/2006/math">
        <m:sSubSup>
          <m:e>
            <m:r>
              <w:rPr>
                <w:rFonts w:ascii="Cambria Math" w:hAnsi="Cambria Math"/>
              </w:rPr>
              <m:t xml:space="preserve">λ</m:t>
            </m:r>
          </m:e>
          <m:sub>
            <m:r>
              <w:rPr>
                <w:rFonts w:ascii="Cambria Math" w:hAnsi="Cambria Math"/>
              </w:rPr>
              <m:t xml:space="preserve">i</m:t>
            </m:r>
          </m:sub>
          <m:sup>
            <m:r>
              <w:rPr>
                <w:rFonts w:ascii="Cambria Math" w:hAnsi="Cambria Math"/>
              </w:rPr>
              <m:t xml:space="preserve">j</m:t>
            </m:r>
          </m:sup>
        </m:sSubSup>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t</m:t>
            </m:r>
          </m:e>
        </m:d>
        <m:sSubSup>
          <m:e>
            <m:r>
              <w:rPr>
                <w:rFonts w:ascii="Cambria Math" w:hAnsi="Cambria Math"/>
              </w:rPr>
              <m:t xml:space="preserve">δ</m:t>
            </m:r>
          </m:e>
          <m:sub>
            <m:r>
              <w:rPr>
                <w:rFonts w:ascii="Cambria Math" w:hAnsi="Cambria Math"/>
              </w:rPr>
              <m:t xml:space="preserve">i</m:t>
            </m:r>
          </m:sub>
          <m:sup>
            <m:d>
              <m:dPr>
                <m:begChr m:val="("/>
                <m:endChr m:val=")"/>
              </m:dPr>
              <m:e>
                <m:r>
                  <w:rPr>
                    <w:rFonts w:ascii="Cambria Math" w:hAnsi="Cambria Math"/>
                  </w:rPr>
                  <m:t xml:space="preserve">j</m:t>
                </m:r>
              </m:e>
            </m:d>
          </m:sup>
        </m:sSubSup>
        <m:f>
          <m:num>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w:rPr>
                    <w:rFonts w:ascii="Cambria Math" w:hAnsi="Cambria Math"/>
                  </w:rPr>
                  <m:t xml:space="preserve">11</m:t>
                </m:r>
              </m:sup>
              <m:e>
                <m:nary>
                  <m:naryPr>
                    <m:chr m:val="∑"/>
                  </m:naryPr>
                  <m:sub>
                    <m:r>
                      <w:rPr>
                        <w:rFonts w:ascii="Cambria Math" w:hAnsi="Cambria Math"/>
                      </w:rPr>
                      <m:t xml:space="preserve">l</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w:rPr>
                        <w:rFonts w:ascii="Cambria Math" w:hAnsi="Cambria Math"/>
                      </w:rPr>
                      <m:t xml:space="preserve">3</m:t>
                    </m:r>
                  </m:sup>
                  <m:e>
                    <m:sSubSup>
                      <m:e>
                        <m:sSub>
                          <m:e>
                            <m:r>
                              <w:rPr>
                                <w:rFonts w:ascii="Cambria Math" w:hAnsi="Cambria Math"/>
                              </w:rPr>
                              <m:t xml:space="preserve">C</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r>
                          <w:rPr>
                            <w:rFonts w:ascii="Cambria Math" w:hAnsi="Cambria Math"/>
                          </w:rPr>
                          <m:t xml:space="preserve">I</m:t>
                        </m:r>
                      </m:e>
                      <m:sub>
                        <m:r>
                          <w:rPr>
                            <w:rFonts w:ascii="Cambria Math" w:hAnsi="Cambria Math"/>
                          </w:rPr>
                          <m:t xml:space="preserve">l</m:t>
                        </m:r>
                      </m:sub>
                      <m:sup>
                        <m:d>
                          <m:dPr>
                            <m:begChr m:val="("/>
                            <m:endChr m:val=")"/>
                          </m:dPr>
                          <m:e>
                            <m:r>
                              <w:rPr>
                                <w:rFonts w:ascii="Cambria Math" w:hAnsi="Cambria Math"/>
                              </w:rPr>
                              <m:t xml:space="preserve">k</m:t>
                            </m:r>
                          </m:e>
                        </m:d>
                      </m:sup>
                    </m:sSubSup>
                    <m:d>
                      <m:dPr>
                        <m:begChr m:val="("/>
                        <m:endChr m:val=")"/>
                      </m:dPr>
                      <m:e>
                        <m:r>
                          <w:rPr>
                            <w:rFonts w:ascii="Cambria Math" w:hAnsi="Cambria Math"/>
                          </w:rPr>
                          <m:t xml:space="preserve">t</m:t>
                        </m:r>
                      </m:e>
                    </m:d>
                  </m:e>
                </m:nary>
              </m:e>
            </m:nary>
          </m:num>
          <m:den>
            <m:sSub>
              <m:e>
                <m:r>
                  <w:rPr>
                    <w:rFonts w:ascii="Cambria Math" w:hAnsi="Cambria Math"/>
                  </w:rPr>
                  <m:t xml:space="preserve">N</m:t>
                </m:r>
              </m:e>
              <m:sub>
                <m:r>
                  <w:rPr>
                    <w:rFonts w:ascii="Cambria Math" w:hAnsi="Cambria Math"/>
                  </w:rPr>
                  <m:t xml:space="preserve">k</m:t>
                </m:r>
              </m:sub>
            </m:sSub>
          </m:den>
        </m:f>
      </m:oMath>
      <w:r>
        <w:rPr/>
        <w:tab/>
        <w:tab/>
        <w:tab/>
        <w:tab/>
        <w:tab/>
        <w:tab/>
        <w:tab/>
        <w:t>(SI Eq 2)</w:t>
      </w:r>
    </w:p>
    <w:p>
      <w:pPr>
        <w:pStyle w:val="LOnormal"/>
        <w:spacing w:lineRule="auto" w:line="360"/>
        <w:rPr/>
      </w:pPr>
      <w:r>
        <w:rPr/>
        <w:t xml:space="preserve">Where </w:t>
      </w:r>
      <w:r>
        <w:rPr/>
      </w:r>
      <m:oMath xmlns:m="http://schemas.openxmlformats.org/officeDocument/2006/math">
        <m:sSubSup>
          <m:e>
            <m:r>
              <w:rPr>
                <w:rFonts w:ascii="Cambria Math" w:hAnsi="Cambria Math"/>
              </w:rPr>
              <m:t xml:space="preserve">δ</m:t>
            </m:r>
          </m:e>
          <m:sub>
            <m:r>
              <w:rPr>
                <w:rFonts w:ascii="Cambria Math" w:hAnsi="Cambria Math"/>
              </w:rPr>
              <m:t xml:space="preserve">i</m:t>
            </m:r>
          </m:sub>
          <m:sup>
            <m:d>
              <m:dPr>
                <m:begChr m:val="("/>
                <m:endChr m:val=")"/>
              </m:dPr>
              <m:e>
                <m:r>
                  <w:rPr>
                    <w:rFonts w:ascii="Cambria Math" w:hAnsi="Cambria Math"/>
                  </w:rPr>
                  <m:t xml:space="preserve">j</m:t>
                </m:r>
              </m:e>
            </m:d>
          </m:sup>
        </m:sSubSup>
      </m:oMath>
      <w:r>
        <w:rPr/>
        <w:t xml:space="preserve"> is susceptibility to the </w:t>
      </w:r>
      <w:r>
        <w:rPr>
          <w:i/>
        </w:rPr>
        <w:t>i</w:t>
      </w:r>
      <w:r>
        <w:rPr/>
        <w:t xml:space="preserve">th infection for individuals in the </w:t>
      </w:r>
      <w:r>
        <w:rPr>
          <w:i/>
        </w:rPr>
        <w:t>j</w:t>
      </w:r>
      <w:r>
        <w:rPr/>
        <w:t xml:space="preserve">th age group. </w:t>
      </w:r>
    </w:p>
    <w:p>
      <w:pPr>
        <w:pStyle w:val="LOnormal"/>
        <w:spacing w:lineRule="auto" w:line="360"/>
        <w:rPr/>
      </w:pPr>
      <w:r>
        <w:rPr/>
      </w:r>
      <m:oMath xmlns:m="http://schemas.openxmlformats.org/officeDocument/2006/math">
        <m:sSub>
          <m:e>
            <m:r>
              <w:rPr>
                <w:rFonts w:ascii="Cambria Math" w:hAnsi="Cambria Math"/>
              </w:rPr>
              <m:t xml:space="preserve">N</m:t>
            </m:r>
          </m:e>
          <m:sub>
            <m:r>
              <w:rPr>
                <w:rFonts w:ascii="Cambria Math" w:hAnsi="Cambria Math"/>
              </w:rPr>
              <m:t xml:space="preserve">k</m:t>
            </m:r>
          </m:sub>
        </m:sSub>
      </m:oMath>
      <w:r>
        <w:rPr/>
        <w:t xml:space="preserve"> </w:t>
      </w:r>
      <w:r>
        <w:rPr/>
        <w:t xml:space="preserve">is the population of the </w:t>
      </w:r>
      <w:r>
        <w:rPr>
          <w:i/>
        </w:rPr>
        <w:t>k</w:t>
      </w:r>
      <w:r>
        <w:rPr/>
        <w:t xml:space="preserve">th age group and </w:t>
      </w:r>
      <w:r>
        <w:rPr/>
      </w:r>
      <m:oMath xmlns:m="http://schemas.openxmlformats.org/officeDocument/2006/math">
        <m:r>
          <w:rPr>
            <w:rFonts w:ascii="Cambria Math" w:hAnsi="Cambria Math"/>
          </w:rPr>
          <m:t xml:space="preserve">β</m:t>
        </m:r>
        <m:d>
          <m:dPr>
            <m:begChr m:val="("/>
            <m:endChr m:val=")"/>
          </m:dPr>
          <m:e>
            <m:r>
              <w:rPr>
                <w:rFonts w:ascii="Cambria Math" w:hAnsi="Cambria Math"/>
              </w:rPr>
              <m:t xml:space="preserve">t</m:t>
            </m:r>
          </m:e>
        </m:d>
      </m:oMath>
      <w:r>
        <w:rPr/>
        <w:t xml:space="preserve"> is the seasonal forcing term. </w:t>
      </w:r>
      <w:r>
        <w:rPr/>
      </w:r>
      <m:oMath xmlns:m="http://schemas.openxmlformats.org/officeDocument/2006/math">
        <m:sSub>
          <m:e>
            <m:r>
              <w:rPr>
                <w:rFonts w:ascii="Cambria Math" w:hAnsi="Cambria Math"/>
              </w:rPr>
              <m:t xml:space="preserve">C</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oMath>
      <w:r>
        <w:rPr/>
        <w:t xml:space="preserve"> is the contact matrix from [38], rescaled proportionally for the age groups where the size (duration) of the age group was changed.</w:t>
      </w:r>
    </w:p>
    <w:p>
      <w:pPr>
        <w:pStyle w:val="LOnormal"/>
        <w:spacing w:lineRule="auto" w:line="360"/>
        <w:rPr/>
      </w:pPr>
      <w:r>
        <w:rPr/>
        <w:t xml:space="preserve">The entire infection term </w:t>
      </w:r>
      <w:r>
        <w:rPr>
          <w:i/>
        </w:rPr>
        <w:t>F(t)</w:t>
      </w:r>
      <w:r>
        <w:rPr/>
        <w:t xml:space="preserve"> is then</w:t>
      </w:r>
    </w:p>
    <w:p>
      <w:pPr>
        <w:pStyle w:val="LOnormal"/>
        <w:spacing w:lineRule="auto" w:line="360"/>
        <w:rPr/>
      </w:pPr>
      <w:r>
        <w:rPr/>
      </w:r>
      <m:oMath xmlns:m="http://schemas.openxmlformats.org/officeDocument/2006/math">
        <m:sSubSup>
          <m:e>
            <m:r>
              <w:rPr>
                <w:rFonts w:ascii="Cambria Math" w:hAnsi="Cambria Math"/>
              </w:rPr>
              <m:t xml:space="preserve">F</m:t>
            </m:r>
            <m:d>
              <m:dPr>
                <m:begChr m:val="("/>
                <m:endChr m:val=")"/>
              </m:dPr>
              <m:e>
                <m:r>
                  <w:rPr>
                    <w:rFonts w:ascii="Cambria Math" w:hAnsi="Cambria Math"/>
                  </w:rPr>
                  <m:t xml:space="preserve">t</m:t>
                </m:r>
              </m:e>
            </m:d>
          </m:e>
          <m:sub>
            <m:r>
              <w:rPr>
                <w:rFonts w:ascii="Cambria Math" w:hAnsi="Cambria Math"/>
              </w:rPr>
              <m:t xml:space="preserve">i</m:t>
            </m:r>
          </m:sub>
          <m:sup>
            <m:d>
              <m:dPr>
                <m:begChr m:val="("/>
                <m:endChr m:val=")"/>
              </m:dPr>
              <m:e>
                <m:r>
                  <w:rPr>
                    <w:rFonts w:ascii="Cambria Math" w:hAnsi="Cambria Math"/>
                  </w:rPr>
                  <m:t xml:space="preserve">j</m:t>
                </m:r>
              </m:e>
            </m:d>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i</m:t>
            </m:r>
          </m:sub>
          <m:sup>
            <m:d>
              <m:dPr>
                <m:begChr m:val="("/>
                <m:endChr m:val=")"/>
              </m:dPr>
              <m:e>
                <m:r>
                  <w:rPr>
                    <w:rFonts w:ascii="Cambria Math" w:hAnsi="Cambria Math"/>
                  </w:rPr>
                  <m:t xml:space="preserve">j</m:t>
                </m:r>
              </m:e>
            </m:d>
          </m:sup>
        </m:sSubSup>
        <m:r>
          <w:rPr>
            <w:rFonts w:ascii="Cambria Math" w:hAnsi="Cambria Math"/>
          </w:rPr>
          <m:t xml:space="preserve">β</m:t>
        </m:r>
        <m:sSubSup>
          <m:e>
            <m:d>
              <m:dPr>
                <m:begChr m:val="("/>
                <m:endChr m:val=")"/>
              </m:dPr>
              <m:e>
                <m:r>
                  <w:rPr>
                    <w:rFonts w:ascii="Cambria Math" w:hAnsi="Cambria Math"/>
                  </w:rPr>
                  <m:t xml:space="preserve">t</m:t>
                </m:r>
              </m:e>
            </m:d>
            <m:r>
              <w:rPr>
                <w:rFonts w:ascii="Cambria Math" w:hAnsi="Cambria Math"/>
              </w:rPr>
              <m:t xml:space="preserve">δ</m:t>
            </m:r>
          </m:e>
          <m:sub>
            <m:r>
              <w:rPr>
                <w:rFonts w:ascii="Cambria Math" w:hAnsi="Cambria Math"/>
              </w:rPr>
              <m:t xml:space="preserve">i</m:t>
            </m:r>
          </m:sub>
          <m:sup>
            <m:d>
              <m:dPr>
                <m:begChr m:val="("/>
                <m:endChr m:val=")"/>
              </m:dPr>
              <m:e>
                <m:r>
                  <w:rPr>
                    <w:rFonts w:ascii="Cambria Math" w:hAnsi="Cambria Math"/>
                  </w:rPr>
                  <m:t xml:space="preserve">j</m:t>
                </m:r>
              </m:e>
            </m:d>
          </m:sup>
        </m:sSubSup>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w:rPr>
                <w:rFonts w:ascii="Cambria Math" w:hAnsi="Cambria Math"/>
              </w:rPr>
              <m:t xml:space="preserve">11</m:t>
            </m:r>
          </m:sup>
          <m:e>
            <m:f>
              <m:num>
                <m:nary>
                  <m:naryPr>
                    <m:chr m:val="∑"/>
                  </m:naryPr>
                  <m:sub>
                    <m:r>
                      <w:rPr>
                        <w:rFonts w:ascii="Cambria Math" w:hAnsi="Cambria Math"/>
                      </w:rPr>
                      <m:t xml:space="preserve">l</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w:rPr>
                        <w:rFonts w:ascii="Cambria Math" w:hAnsi="Cambria Math"/>
                      </w:rPr>
                      <m:t xml:space="preserve">3</m:t>
                    </m:r>
                  </m:sup>
                  <m:e>
                    <m:sSub>
                      <m:e>
                        <m:r>
                          <w:rPr>
                            <w:rFonts w:ascii="Cambria Math" w:hAnsi="Cambria Math"/>
                          </w:rPr>
                          <m:t xml:space="preserve">C</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sSubSup>
                      <m:e>
                        <m:r>
                          <w:rPr>
                            <w:rFonts w:ascii="Cambria Math" w:hAnsi="Cambria Math"/>
                          </w:rPr>
                          <m:t xml:space="preserve">I</m:t>
                        </m:r>
                      </m:e>
                      <m:sub>
                        <m:r>
                          <w:rPr>
                            <w:rFonts w:ascii="Cambria Math" w:hAnsi="Cambria Math"/>
                          </w:rPr>
                          <m:t xml:space="preserve">l</m:t>
                        </m:r>
                      </m:sub>
                      <m:sup>
                        <m:d>
                          <m:dPr>
                            <m:begChr m:val="("/>
                            <m:endChr m:val=")"/>
                          </m:dPr>
                          <m:e>
                            <m:r>
                              <w:rPr>
                                <w:rFonts w:ascii="Cambria Math" w:hAnsi="Cambria Math"/>
                              </w:rPr>
                              <m:t xml:space="preserve">k</m:t>
                            </m:r>
                          </m:e>
                        </m:d>
                      </m:sup>
                    </m:sSubSup>
                    <m:d>
                      <m:dPr>
                        <m:begChr m:val="("/>
                        <m:endChr m:val=")"/>
                      </m:dPr>
                      <m:e>
                        <m:r>
                          <w:rPr>
                            <w:rFonts w:ascii="Cambria Math" w:hAnsi="Cambria Math"/>
                          </w:rPr>
                          <m:t xml:space="preserve">t</m:t>
                        </m:r>
                      </m:e>
                    </m:d>
                  </m:e>
                </m:nary>
              </m:num>
              <m:den>
                <m:sSub>
                  <m:e>
                    <m:r>
                      <w:rPr>
                        <w:rFonts w:ascii="Cambria Math" w:hAnsi="Cambria Math"/>
                      </w:rPr>
                      <m:t xml:space="preserve">N</m:t>
                    </m:r>
                  </m:e>
                  <m:sub>
                    <m:r>
                      <w:rPr>
                        <w:rFonts w:ascii="Cambria Math" w:hAnsi="Cambria Math"/>
                      </w:rPr>
                      <m:t xml:space="preserve">k</m:t>
                    </m:r>
                  </m:sub>
                </m:sSub>
              </m:den>
            </m:f>
          </m:e>
        </m:nary>
      </m:oMath>
      <w:r>
        <w:rPr/>
        <w:tab/>
        <w:tab/>
        <w:tab/>
        <w:tab/>
        <w:tab/>
        <w:tab/>
        <w:tab/>
        <w:t>(SI Eq 3)</w:t>
      </w:r>
    </w:p>
    <w:p>
      <w:pPr>
        <w:pStyle w:val="LOnormal"/>
        <w:spacing w:lineRule="auto" w:line="360"/>
        <w:rPr/>
      </w:pPr>
      <w:r>
        <w:rPr/>
        <w:t>The seasonal forcing term is, similarly to [15], a periodic equation with an annual peak similar to a normal distribution:</w:t>
      </w:r>
    </w:p>
    <w:p>
      <w:pPr>
        <w:pStyle w:val="LOnormal"/>
        <w:spacing w:lineRule="auto" w:line="360"/>
        <w:rPr/>
      </w:pPr>
      <w:r>
        <w:rPr/>
      </w:r>
      <m:oMath xmlns:m="http://schemas.openxmlformats.org/officeDocument/2006/math">
        <m:r>
          <w:rPr>
            <w:rFonts w:ascii="Cambria Math" w:hAnsi="Cambria Math"/>
          </w:rPr>
          <m:t xml:space="preserve">β</m:t>
        </m:r>
        <m:sSub>
          <m:e>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β</m:t>
            </m:r>
          </m:e>
          <m:sub>
            <m:r>
              <w:rPr>
                <w:rFonts w:ascii="Cambria Math" w:hAnsi="Cambria Math"/>
              </w:rPr>
              <m:t xml:space="preserve">0</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ρexp</m:t>
            </m:r>
            <m:d>
              <m:dPr>
                <m:begChr m:val="("/>
                <m:endChr m:val=")"/>
              </m:dPr>
              <m:e>
                <m:r>
                  <w:rPr>
                    <w:rFonts w:ascii="Cambria Math" w:hAnsi="Cambria Math"/>
                  </w:rPr>
                  <m:t xml:space="preserve">−</m:t>
                </m:r>
                <m:sSup>
                  <m:e>
                    <m:r>
                      <w:rPr>
                        <w:rFonts w:ascii="Cambria Math" w:hAnsi="Cambria Math"/>
                      </w:rPr>
                      <m:t xml:space="preserve">0.5</m:t>
                    </m:r>
                    <m:d>
                      <m:dPr>
                        <m:begChr m:val="("/>
                        <m:endChr m:val=")"/>
                      </m:dPr>
                      <m:e>
                        <m:f>
                          <m:num>
                            <m:d>
                              <m:dPr>
                                <m:begChr m:val="|"/>
                                <m:endChr m:val="|"/>
                              </m:dPr>
                              <m:e>
                                <m:d>
                                  <m:dPr>
                                    <m:begChr m:val="("/>
                                    <m:endChr m:val=")"/>
                                  </m:dPr>
                                  <m:e>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peak</m:t>
                                        </m:r>
                                      </m:sub>
                                    </m:sSub>
                                  </m:e>
                                </m:d>
                              </m:e>
                            </m:d>
                          </m:num>
                          <m:den>
                            <m:r>
                              <w:rPr>
                                <w:rFonts w:ascii="Cambria Math" w:hAnsi="Cambria Math"/>
                              </w:rPr>
                              <m:t xml:space="preserve">7</m:t>
                            </m:r>
                            <m:r>
                              <w:rPr>
                                <w:rFonts w:ascii="Cambria Math" w:hAnsi="Cambria Math"/>
                              </w:rPr>
                              <m:t xml:space="preserve">σ</m:t>
                            </m:r>
                          </m:den>
                        </m:f>
                      </m:e>
                    </m:d>
                  </m:e>
                  <m:sup>
                    <m:r>
                      <w:rPr>
                        <w:rFonts w:ascii="Cambria Math" w:hAnsi="Cambria Math"/>
                      </w:rPr>
                      <m:t xml:space="preserve">2</m:t>
                    </m:r>
                  </m:sup>
                </m:sSup>
              </m:e>
            </m:d>
          </m:e>
        </m:d>
      </m:oMath>
      <w:r>
        <w:rPr/>
        <w:tab/>
        <w:tab/>
        <w:tab/>
        <w:tab/>
        <w:tab/>
        <w:tab/>
        <w:t>(SI Eq 4)</w:t>
      </w:r>
    </w:p>
    <w:p>
      <w:pPr>
        <w:pStyle w:val="LOnormal"/>
        <w:spacing w:lineRule="auto" w:line="360"/>
        <w:rPr/>
      </w:pPr>
      <w:r>
        <w:rPr/>
        <w:t xml:space="preserve">where </w:t>
      </w:r>
      <w:r>
        <w:rPr/>
      </w:r>
      <m:oMath xmlns:m="http://schemas.openxmlformats.org/officeDocument/2006/math">
        <m:r>
          <w:rPr>
            <w:rFonts w:ascii="Cambria Math" w:hAnsi="Cambria Math"/>
          </w:rPr>
          <m:t xml:space="preserve">σ</m:t>
        </m:r>
      </m:oMath>
      <w:r>
        <w:rPr/>
        <w:t xml:space="preserve"> is the season width in weeks (time </w:t>
      </w:r>
      <w:r>
        <w:rPr>
          <w:i/>
        </w:rPr>
        <w:t>t</w:t>
      </w:r>
      <w:r>
        <w:rPr>
          <w:rFonts w:eastAsia="Arial" w:cs="Arial" w:ascii="Arial" w:hAnsi="Arial"/>
        </w:rPr>
        <w:t xml:space="preserve"> is in days) and ρ is the peak strength of seasonal forcing.</w:t>
      </w:r>
    </w:p>
    <w:p>
      <w:pPr>
        <w:pStyle w:val="LOnormal"/>
        <w:spacing w:lineRule="auto" w:line="360"/>
        <w:rPr/>
      </w:pPr>
      <w:r>
        <w:rPr/>
      </w:r>
    </w:p>
    <w:p>
      <w:pPr>
        <w:pStyle w:val="LOnormal"/>
        <w:spacing w:lineRule="auto" w:line="360"/>
        <w:rPr/>
      </w:pPr>
      <w:r>
        <w:rPr/>
        <w:t>The full equations for the first age group are:</w:t>
      </w:r>
    </w:p>
    <w:p>
      <w:pPr>
        <w:pStyle w:val="LOnormal"/>
        <w:spacing w:lineRule="auto" w:line="360"/>
        <w:rPr/>
      </w:pPr>
      <w:r>
        <w:rPr/>
      </w:r>
      <m:oMath xmlns:m="http://schemas.openxmlformats.org/officeDocument/2006/math">
        <m:sSubSup>
          <m:e>
            <m:acc>
              <m:accPr>
                <m:chr m:val="˙"/>
              </m:accPr>
              <m:e>
                <m:r>
                  <w:rPr>
                    <w:rFonts w:ascii="Cambria Math" w:hAnsi="Cambria Math"/>
                  </w:rPr>
                  <m:t xml:space="preserve">S</m:t>
                </m:r>
              </m:e>
            </m:acc>
          </m:e>
          <m:sub>
            <m:r>
              <w:rPr>
                <w:rFonts w:ascii="Cambria Math" w:hAnsi="Cambria Math"/>
              </w:rPr>
              <m:t xml:space="preserve">1</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μ</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immune</m:t>
                </m:r>
              </m:sub>
            </m:sSub>
            <m:d>
              <m:dPr>
                <m:begChr m:val="("/>
                <m:endChr m:val=")"/>
              </m:dPr>
              <m:e>
                <m:r>
                  <w:rPr>
                    <w:rFonts w:ascii="Cambria Math" w:hAnsi="Cambria Math"/>
                  </w:rPr>
                  <m:t xml:space="preserve">t</m:t>
                </m:r>
              </m:e>
            </m:d>
          </m:e>
        </m:d>
        <m:r>
          <w:rPr>
            <w:rFonts w:ascii="Cambria Math" w:hAnsi="Cambria Math"/>
          </w:rPr>
          <m:t xml:space="preserve">−</m:t>
        </m:r>
        <m:sSubSup>
          <m:e>
            <m:r>
              <w:rPr>
                <w:rFonts w:ascii="Cambria Math" w:hAnsi="Cambria Math"/>
              </w:rPr>
              <m:t xml:space="preserve">F</m:t>
            </m:r>
            <m:d>
              <m:dPr>
                <m:begChr m:val="("/>
                <m:endChr m:val=")"/>
              </m:dPr>
              <m:e>
                <m:r>
                  <w:rPr>
                    <w:rFonts w:ascii="Cambria Math" w:hAnsi="Cambria Math"/>
                  </w:rPr>
                  <m:t xml:space="preserve">t</m:t>
                </m:r>
              </m:e>
            </m:d>
          </m:e>
          <m:sub>
            <m:r>
              <w:rPr>
                <w:rFonts w:ascii="Cambria Math" w:hAnsi="Cambria Math"/>
              </w:rPr>
              <m:t xml:space="preserve">1</m:t>
            </m:r>
          </m:sub>
          <m:sup>
            <m:d>
              <m:dPr>
                <m:begChr m:val="("/>
                <m:endChr m:val=")"/>
              </m:dPr>
              <m:e>
                <m:r>
                  <w:rPr>
                    <w:rFonts w:ascii="Cambria Math" w:hAnsi="Cambria Math"/>
                  </w:rPr>
                  <m:t xml:space="preserve">1</m:t>
                </m:r>
              </m:e>
            </m:d>
          </m:sup>
        </m:sSubSup>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1</m:t>
                    </m:r>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1</m:t>
                    </m:r>
                  </m:e>
                </m:d>
              </m:sup>
            </m:sSup>
          </m:e>
        </m:d>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oMath>
      <w:r>
        <w:rPr/>
        <w:tab/>
        <w:tab/>
        <w:tab/>
        <w:tab/>
        <w:t>(SI Eq 5.1)</w:t>
      </w:r>
    </w:p>
    <w:p>
      <w:pPr>
        <w:pStyle w:val="LOnormal"/>
        <w:spacing w:lineRule="auto" w:line="360"/>
        <w:rPr/>
      </w:pPr>
      <w:r>
        <w:rPr/>
      </w:r>
      <m:oMath xmlns:m="http://schemas.openxmlformats.org/officeDocument/2006/math">
        <m:sSubSup>
          <m:e>
            <m:acc>
              <m:accPr>
                <m:chr m:val="˙"/>
              </m:accPr>
              <m:e>
                <m:r>
                  <w:rPr>
                    <w:rFonts w:ascii="Cambria Math" w:hAnsi="Cambria Math"/>
                  </w:rPr>
                  <m:t xml:space="preserve">S</m:t>
                </m:r>
              </m:e>
            </m:acc>
          </m:e>
          <m:sub>
            <m:r>
              <w:rPr>
                <w:rFonts w:ascii="Cambria Math" w:hAnsi="Cambria Math"/>
              </w:rPr>
              <m:t xml:space="preserve">2</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m:t>
        </m:r>
        <m:sSubSup>
          <m:e>
            <m:r>
              <w:rPr>
                <w:rFonts w:ascii="Cambria Math" w:hAnsi="Cambria Math"/>
              </w:rPr>
              <m:t xml:space="preserve">F</m:t>
            </m:r>
            <m:d>
              <m:dPr>
                <m:begChr m:val="("/>
                <m:endChr m:val=")"/>
              </m:dPr>
              <m:e>
                <m:r>
                  <w:rPr>
                    <w:rFonts w:ascii="Cambria Math" w:hAnsi="Cambria Math"/>
                  </w:rPr>
                  <m:t xml:space="preserve">t</m:t>
                </m:r>
              </m:e>
            </m:d>
          </m:e>
          <m:sub>
            <m:r>
              <w:rPr>
                <w:rFonts w:ascii="Cambria Math" w:hAnsi="Cambria Math"/>
              </w:rPr>
              <m:t xml:space="preserve">2</m:t>
            </m:r>
          </m:sub>
          <m:sup>
            <m:d>
              <m:dPr>
                <m:begChr m:val="("/>
                <m:endChr m:val=")"/>
              </m:dPr>
              <m:e>
                <m:r>
                  <w:rPr>
                    <w:rFonts w:ascii="Cambria Math" w:hAnsi="Cambria Math"/>
                  </w:rPr>
                  <m:t xml:space="preserve">1</m:t>
                </m:r>
              </m:e>
            </m:d>
          </m:sup>
        </m:sSubSup>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1</m:t>
                    </m:r>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1</m:t>
                    </m:r>
                  </m:e>
                </m:d>
              </m:sup>
            </m:sSup>
          </m:e>
        </m:d>
        <m:sSubSup>
          <m:e>
            <m:r>
              <w:rPr>
                <w:rFonts w:ascii="Cambria Math" w:hAnsi="Cambria Math"/>
              </w:rPr>
              <m:t xml:space="preserve">S</m:t>
            </m:r>
          </m:e>
          <m:sub>
            <m:r>
              <w:rPr>
                <w:rFonts w:ascii="Cambria Math" w:hAnsi="Cambria Math"/>
              </w:rPr>
              <m:t xml:space="preserve">2</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ω</m:t>
        </m:r>
        <m:sSubSup>
          <m:e>
            <m:r>
              <w:rPr>
                <w:rFonts w:ascii="Cambria Math" w:hAnsi="Cambria Math"/>
              </w:rPr>
              <m:t xml:space="preserve">R</m:t>
            </m:r>
          </m:e>
          <m:sub>
            <m:r>
              <w:rPr>
                <w:rFonts w:ascii="Cambria Math" w:hAnsi="Cambria Math"/>
              </w:rPr>
              <m:t xml:space="preserve">1</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oMath>
    </w:p>
    <w:p>
      <w:pPr>
        <w:pStyle w:val="LOnormal"/>
        <w:spacing w:lineRule="auto" w:line="360"/>
        <w:rPr/>
      </w:pPr>
      <w:r>
        <w:rPr/>
      </w:r>
      <m:oMath xmlns:m="http://schemas.openxmlformats.org/officeDocument/2006/math">
        <m:sSubSup>
          <m:e>
            <m:acc>
              <m:accPr>
                <m:chr m:val="˙"/>
              </m:accPr>
              <m:e>
                <m:r>
                  <w:rPr>
                    <w:rFonts w:ascii="Cambria Math" w:hAnsi="Cambria Math"/>
                  </w:rPr>
                  <m:t xml:space="preserve">S</m:t>
                </m:r>
              </m:e>
            </m:acc>
          </m:e>
          <m:sub>
            <m:r>
              <w:rPr>
                <w:rFonts w:ascii="Cambria Math" w:hAnsi="Cambria Math"/>
              </w:rPr>
              <m:t xml:space="preserve">3</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m:t>
        </m:r>
        <m:sSubSup>
          <m:e>
            <m:r>
              <w:rPr>
                <w:rFonts w:ascii="Cambria Math" w:hAnsi="Cambria Math"/>
              </w:rPr>
              <m:t xml:space="preserve">F</m:t>
            </m:r>
            <m:d>
              <m:dPr>
                <m:begChr m:val="("/>
                <m:endChr m:val=")"/>
              </m:dPr>
              <m:e>
                <m:r>
                  <w:rPr>
                    <w:rFonts w:ascii="Cambria Math" w:hAnsi="Cambria Math"/>
                  </w:rPr>
                  <m:t xml:space="preserve">t</m:t>
                </m:r>
              </m:e>
            </m:d>
          </m:e>
          <m:sub>
            <m:r>
              <w:rPr>
                <w:rFonts w:ascii="Cambria Math" w:hAnsi="Cambria Math"/>
              </w:rPr>
              <m:t xml:space="preserve">3</m:t>
            </m:r>
          </m:sub>
          <m:sup>
            <m:d>
              <m:dPr>
                <m:begChr m:val="("/>
                <m:endChr m:val=")"/>
              </m:dPr>
              <m:e>
                <m:r>
                  <w:rPr>
                    <w:rFonts w:ascii="Cambria Math" w:hAnsi="Cambria Math"/>
                  </w:rPr>
                  <m:t xml:space="preserve">1</m:t>
                </m:r>
              </m:e>
            </m:d>
          </m:sup>
        </m:sSubSup>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1</m:t>
                    </m:r>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1</m:t>
                    </m:r>
                  </m:e>
                </m:d>
              </m:sup>
            </m:sSup>
          </m:e>
        </m:d>
        <m:sSubSup>
          <m:e>
            <m:r>
              <w:rPr>
                <w:rFonts w:ascii="Cambria Math" w:hAnsi="Cambria Math"/>
              </w:rPr>
              <m:t xml:space="preserve">S</m:t>
            </m:r>
          </m:e>
          <m:sub>
            <m:r>
              <w:rPr>
                <w:rFonts w:ascii="Cambria Math" w:hAnsi="Cambria Math"/>
              </w:rPr>
              <m:t xml:space="preserve">3</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ω</m:t>
        </m:r>
        <m:d>
          <m:dPr>
            <m:begChr m:val="("/>
            <m:endChr m:val=")"/>
          </m:dPr>
          <m:e>
            <m:sSubSup>
              <m:e>
                <m:r>
                  <w:rPr>
                    <w:rFonts w:ascii="Cambria Math" w:hAnsi="Cambria Math"/>
                  </w:rPr>
                  <m:t xml:space="preserve">R</m:t>
                </m:r>
              </m:e>
              <m:sub>
                <m:r>
                  <w:rPr>
                    <w:rFonts w:ascii="Cambria Math" w:hAnsi="Cambria Math"/>
                  </w:rPr>
                  <m:t xml:space="preserve">2</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sSubSup>
              <m:e>
                <m:r>
                  <w:rPr>
                    <w:rFonts w:ascii="Cambria Math" w:hAnsi="Cambria Math"/>
                  </w:rPr>
                  <m:t xml:space="preserve">R</m:t>
                </m:r>
              </m:e>
              <m:sub>
                <m:r>
                  <w:rPr>
                    <w:rFonts w:ascii="Cambria Math" w:hAnsi="Cambria Math"/>
                  </w:rPr>
                  <m:t xml:space="preserve">3</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e>
        </m:d>
      </m:oMath>
    </w:p>
    <w:p>
      <w:pPr>
        <w:pStyle w:val="LOnormal"/>
        <w:spacing w:lineRule="auto" w:line="360"/>
        <w:rPr/>
      </w:pPr>
      <w:r>
        <w:rPr/>
      </w:r>
      <m:oMath xmlns:m="http://schemas.openxmlformats.org/officeDocument/2006/math">
        <m:sSubSup>
          <m:e>
            <m:acc>
              <m:accPr>
                <m:chr m:val="˙"/>
              </m:accPr>
              <m:e>
                <m:r>
                  <w:rPr>
                    <w:rFonts w:ascii="Cambria Math" w:hAnsi="Cambria Math"/>
                  </w:rPr>
                  <m:t xml:space="preserve">I</m:t>
                </m:r>
              </m:e>
            </m:acc>
          </m:e>
          <m:sub>
            <m:r>
              <w:rPr>
                <w:rFonts w:ascii="Cambria Math" w:hAnsi="Cambria Math"/>
              </w:rPr>
              <m:t xml:space="preserve">1</m:t>
            </m:r>
          </m:sub>
          <m:sup>
            <m:r>
              <w:rPr>
                <w:rFonts w:ascii="Cambria Math" w:hAnsi="Cambria Math"/>
              </w:rPr>
              <m:t xml:space="preserve">1</m:t>
            </m:r>
          </m:sup>
        </m:sSubSup>
        <m:d>
          <m:dPr>
            <m:begChr m:val="("/>
            <m:endChr m:val=")"/>
          </m:dPr>
          <m:e>
            <m:r>
              <w:rPr>
                <w:rFonts w:ascii="Cambria Math" w:hAnsi="Cambria Math"/>
              </w:rPr>
              <m:t xml:space="preserve">t</m:t>
            </m:r>
          </m:e>
        </m:d>
        <m:r>
          <w:rPr>
            <w:rFonts w:ascii="Cambria Math" w:hAnsi="Cambria Math"/>
          </w:rPr>
          <m:t xml:space="preserve">=</m:t>
        </m:r>
        <m:sSubSup>
          <m:e>
            <m:r>
              <w:rPr>
                <w:rFonts w:ascii="Cambria Math" w:hAnsi="Cambria Math"/>
              </w:rPr>
              <m:t xml:space="preserve">F</m:t>
            </m:r>
            <m:d>
              <m:dPr>
                <m:begChr m:val="("/>
                <m:endChr m:val=")"/>
              </m:dPr>
              <m:e>
                <m:r>
                  <w:rPr>
                    <w:rFonts w:ascii="Cambria Math" w:hAnsi="Cambria Math"/>
                  </w:rPr>
                  <m:t xml:space="preserve">t</m:t>
                </m:r>
              </m:e>
            </m:d>
          </m:e>
          <m:sub>
            <m:r>
              <w:rPr>
                <w:rFonts w:ascii="Cambria Math" w:hAnsi="Cambria Math"/>
              </w:rPr>
              <m:t xml:space="preserve">1</m:t>
            </m:r>
          </m:sub>
          <m:sup>
            <m:d>
              <m:dPr>
                <m:begChr m:val="("/>
                <m:endChr m:val=")"/>
              </m:dPr>
              <m:e>
                <m:r>
                  <w:rPr>
                    <w:rFonts w:ascii="Cambria Math" w:hAnsi="Cambria Math"/>
                  </w:rPr>
                  <m:t xml:space="preserve">1</m:t>
                </m:r>
              </m:e>
            </m:d>
          </m:sup>
        </m:sSubSup>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1</m:t>
                    </m:r>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1</m:t>
                    </m:r>
                  </m:e>
                </m:d>
              </m:sup>
            </m:sSup>
            <m:r>
              <w:rPr>
                <w:rFonts w:ascii="Cambria Math" w:hAnsi="Cambria Math"/>
              </w:rPr>
              <m:t xml:space="preserve">+</m:t>
            </m:r>
            <m:r>
              <w:rPr>
                <w:rFonts w:ascii="Cambria Math" w:hAnsi="Cambria Math"/>
              </w:rPr>
              <m:t xml:space="preserve">γ</m:t>
            </m:r>
          </m:e>
        </m:d>
        <m:sSubSup>
          <m:e>
            <m:r>
              <w:rPr>
                <w:rFonts w:ascii="Cambria Math" w:hAnsi="Cambria Math"/>
              </w:rPr>
              <m:t xml:space="preserve">I</m:t>
            </m:r>
          </m:e>
          <m:sub>
            <m:r>
              <w:rPr>
                <w:rFonts w:ascii="Cambria Math" w:hAnsi="Cambria Math"/>
              </w:rPr>
              <m:t xml:space="preserve">1</m:t>
            </m:r>
          </m:sub>
          <m:sup>
            <m:r>
              <w:rPr>
                <w:rFonts w:ascii="Cambria Math" w:hAnsi="Cambria Math"/>
              </w:rPr>
              <m:t xml:space="preserve">1</m:t>
            </m:r>
          </m:sup>
        </m:sSubSup>
        <m:d>
          <m:dPr>
            <m:begChr m:val="("/>
            <m:endChr m:val=")"/>
          </m:dPr>
          <m:e>
            <m:r>
              <w:rPr>
                <w:rFonts w:ascii="Cambria Math" w:hAnsi="Cambria Math"/>
              </w:rPr>
              <m:t xml:space="preserve">t</m:t>
            </m:r>
          </m:e>
        </m:d>
      </m:oMath>
    </w:p>
    <w:p>
      <w:pPr>
        <w:pStyle w:val="LOnormal"/>
        <w:spacing w:lineRule="auto" w:line="360"/>
        <w:rPr/>
      </w:pPr>
      <w:r>
        <w:rPr/>
      </w:r>
      <m:oMath xmlns:m="http://schemas.openxmlformats.org/officeDocument/2006/math">
        <m:sSubSup>
          <m:e>
            <m:acc>
              <m:accPr>
                <m:chr m:val="˙"/>
              </m:accPr>
              <m:e>
                <m:r>
                  <w:rPr>
                    <w:rFonts w:ascii="Cambria Math" w:hAnsi="Cambria Math"/>
                  </w:rPr>
                  <m:t xml:space="preserve">I</m:t>
                </m:r>
              </m:e>
            </m:acc>
          </m:e>
          <m:sub>
            <m:r>
              <w:rPr>
                <w:rFonts w:ascii="Cambria Math" w:hAnsi="Cambria Math"/>
              </w:rPr>
              <m:t xml:space="preserve">2</m:t>
            </m:r>
          </m:sub>
          <m:sup>
            <m:r>
              <w:rPr>
                <w:rFonts w:ascii="Cambria Math" w:hAnsi="Cambria Math"/>
              </w:rPr>
              <m:t xml:space="preserve">1</m:t>
            </m:r>
          </m:sup>
        </m:sSubSup>
        <m:d>
          <m:dPr>
            <m:begChr m:val="("/>
            <m:endChr m:val=")"/>
          </m:dPr>
          <m:e>
            <m:r>
              <w:rPr>
                <w:rFonts w:ascii="Cambria Math" w:hAnsi="Cambria Math"/>
              </w:rPr>
              <m:t xml:space="preserve">t</m:t>
            </m:r>
          </m:e>
        </m:d>
        <m:r>
          <w:rPr>
            <w:rFonts w:ascii="Cambria Math" w:hAnsi="Cambria Math"/>
          </w:rPr>
          <m:t xml:space="preserve">=</m:t>
        </m:r>
        <m:sSubSup>
          <m:e>
            <m:r>
              <w:rPr>
                <w:rFonts w:ascii="Cambria Math" w:hAnsi="Cambria Math"/>
              </w:rPr>
              <m:t xml:space="preserve">F</m:t>
            </m:r>
            <m:d>
              <m:dPr>
                <m:begChr m:val="("/>
                <m:endChr m:val=")"/>
              </m:dPr>
              <m:e>
                <m:r>
                  <w:rPr>
                    <w:rFonts w:ascii="Cambria Math" w:hAnsi="Cambria Math"/>
                  </w:rPr>
                  <m:t xml:space="preserve">t</m:t>
                </m:r>
              </m:e>
            </m:d>
          </m:e>
          <m:sub>
            <m:r>
              <w:rPr>
                <w:rFonts w:ascii="Cambria Math" w:hAnsi="Cambria Math"/>
              </w:rPr>
              <m:t xml:space="preserve">2</m:t>
            </m:r>
          </m:sub>
          <m:sup>
            <m:d>
              <m:dPr>
                <m:begChr m:val="("/>
                <m:endChr m:val=")"/>
              </m:dPr>
              <m:e>
                <m:r>
                  <w:rPr>
                    <w:rFonts w:ascii="Cambria Math" w:hAnsi="Cambria Math"/>
                  </w:rPr>
                  <m:t xml:space="preserve">1</m:t>
                </m:r>
              </m:e>
            </m:d>
          </m:sup>
        </m:sSubSup>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1</m:t>
                    </m:r>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1</m:t>
                    </m:r>
                  </m:e>
                </m:d>
              </m:sup>
            </m:sSup>
            <m:r>
              <w:rPr>
                <w:rFonts w:ascii="Cambria Math" w:hAnsi="Cambria Math"/>
              </w:rPr>
              <m:t xml:space="preserve">+</m:t>
            </m:r>
            <m:r>
              <w:rPr>
                <w:rFonts w:ascii="Cambria Math" w:hAnsi="Cambria Math"/>
              </w:rPr>
              <m:t xml:space="preserve">γ</m:t>
            </m:r>
          </m:e>
        </m:d>
        <m:sSubSup>
          <m:e>
            <m:r>
              <w:rPr>
                <w:rFonts w:ascii="Cambria Math" w:hAnsi="Cambria Math"/>
              </w:rPr>
              <m:t xml:space="preserve">I</m:t>
            </m:r>
          </m:e>
          <m:sub>
            <m:r>
              <w:rPr>
                <w:rFonts w:ascii="Cambria Math" w:hAnsi="Cambria Math"/>
              </w:rPr>
              <m:t xml:space="preserve">2</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oMath>
    </w:p>
    <w:p>
      <w:pPr>
        <w:pStyle w:val="LOnormal"/>
        <w:spacing w:lineRule="auto" w:line="360"/>
        <w:rPr/>
      </w:pPr>
      <w:r>
        <w:rPr/>
      </w:r>
      <m:oMath xmlns:m="http://schemas.openxmlformats.org/officeDocument/2006/math">
        <m:sSubSup>
          <m:e>
            <m:acc>
              <m:accPr>
                <m:chr m:val="˙"/>
              </m:accPr>
              <m:e>
                <m:r>
                  <w:rPr>
                    <w:rFonts w:ascii="Cambria Math" w:hAnsi="Cambria Math"/>
                  </w:rPr>
                  <m:t xml:space="preserve">I</m:t>
                </m:r>
              </m:e>
            </m:acc>
            <m:d>
              <m:dPr>
                <m:begChr m:val="("/>
                <m:endChr m:val=")"/>
              </m:dPr>
              <m:e>
                <m:r>
                  <w:rPr>
                    <w:rFonts w:ascii="Cambria Math" w:hAnsi="Cambria Math"/>
                  </w:rPr>
                  <m:t xml:space="preserve">t</m:t>
                </m:r>
              </m:e>
            </m:d>
          </m:e>
          <m:sub>
            <m:r>
              <w:rPr>
                <w:rFonts w:ascii="Cambria Math" w:hAnsi="Cambria Math"/>
              </w:rPr>
              <m:t xml:space="preserve">3</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F</m:t>
            </m:r>
            <m:d>
              <m:dPr>
                <m:begChr m:val="("/>
                <m:endChr m:val=")"/>
              </m:dPr>
              <m:e>
                <m:r>
                  <w:rPr>
                    <w:rFonts w:ascii="Cambria Math" w:hAnsi="Cambria Math"/>
                  </w:rPr>
                  <m:t xml:space="preserve">t</m:t>
                </m:r>
              </m:e>
            </m:d>
          </m:e>
          <m:sub>
            <m:r>
              <w:rPr>
                <w:rFonts w:ascii="Cambria Math" w:hAnsi="Cambria Math"/>
              </w:rPr>
              <m:t xml:space="preserve">3</m:t>
            </m:r>
          </m:sub>
          <m:sup>
            <m:d>
              <m:dPr>
                <m:begChr m:val="("/>
                <m:endChr m:val=")"/>
              </m:dPr>
              <m:e>
                <m:r>
                  <w:rPr>
                    <w:rFonts w:ascii="Cambria Math" w:hAnsi="Cambria Math"/>
                  </w:rPr>
                  <m:t xml:space="preserve">1</m:t>
                </m:r>
              </m:e>
            </m:d>
          </m:sup>
        </m:sSubSup>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1</m:t>
                    </m:r>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1</m:t>
                    </m:r>
                  </m:e>
                </m:d>
              </m:sup>
            </m:sSup>
            <m:r>
              <w:rPr>
                <w:rFonts w:ascii="Cambria Math" w:hAnsi="Cambria Math"/>
              </w:rPr>
              <m:t xml:space="preserve">+</m:t>
            </m:r>
            <m:r>
              <w:rPr>
                <w:rFonts w:ascii="Cambria Math" w:hAnsi="Cambria Math"/>
              </w:rPr>
              <m:t xml:space="preserve">γ</m:t>
            </m:r>
          </m:e>
        </m:d>
        <m:sSubSup>
          <m:e>
            <m:r>
              <w:rPr>
                <w:rFonts w:ascii="Cambria Math" w:hAnsi="Cambria Math"/>
              </w:rPr>
              <m:t xml:space="preserve">I</m:t>
            </m:r>
          </m:e>
          <m:sub>
            <m:r>
              <w:rPr>
                <w:rFonts w:ascii="Cambria Math" w:hAnsi="Cambria Math"/>
              </w:rPr>
              <m:t xml:space="preserve">3</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oMath>
    </w:p>
    <w:p>
      <w:pPr>
        <w:pStyle w:val="LOnormal"/>
        <w:spacing w:lineRule="auto" w:line="360"/>
        <w:rPr/>
      </w:pPr>
      <w:r>
        <w:rPr/>
      </w:r>
      <m:oMath xmlns:m="http://schemas.openxmlformats.org/officeDocument/2006/math">
        <m:sSubSup>
          <m:e>
            <m:acc>
              <m:accPr>
                <m:chr m:val="˙"/>
              </m:accPr>
              <m:e>
                <m:r>
                  <w:rPr>
                    <w:rFonts w:ascii="Cambria Math" w:hAnsi="Cambria Math"/>
                  </w:rPr>
                  <m:t xml:space="preserve">R</m:t>
                </m:r>
              </m:e>
            </m:acc>
          </m:e>
          <m:sub>
            <m:r>
              <w:rPr>
                <w:rFonts w:ascii="Cambria Math" w:hAnsi="Cambria Math"/>
              </w:rPr>
              <m:t xml:space="preserve">1</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μ</m:t>
        </m:r>
        <m:sSub>
          <m:e>
            <m:r>
              <w:rPr>
                <w:rFonts w:ascii="Cambria Math" w:hAnsi="Cambria Math"/>
              </w:rPr>
              <m:t xml:space="preserve">p</m:t>
            </m:r>
          </m:e>
          <m:sub>
            <m:r>
              <w:rPr>
                <w:rFonts w:ascii="Cambria Math" w:hAnsi="Cambria Math"/>
              </w:rPr>
              <m:t xml:space="preserve">immune</m:t>
            </m:r>
          </m:sub>
        </m:sSub>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γ</m:t>
        </m:r>
        <m:sSubSup>
          <m:e>
            <m:r>
              <w:rPr>
                <w:rFonts w:ascii="Cambria Math" w:hAnsi="Cambria Math"/>
              </w:rPr>
              <m:t xml:space="preserve">I</m:t>
            </m:r>
          </m:e>
          <m:sub>
            <m:r>
              <w:rPr>
                <w:rFonts w:ascii="Cambria Math" w:hAnsi="Cambria Math"/>
              </w:rPr>
              <m:t xml:space="preserve">1</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1</m:t>
                    </m:r>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1</m:t>
                    </m:r>
                  </m:e>
                </m:d>
              </m:sup>
            </m:sSup>
            <m:r>
              <w:rPr>
                <w:rFonts w:ascii="Cambria Math" w:hAnsi="Cambria Math"/>
              </w:rPr>
              <m:t xml:space="preserve">+</m:t>
            </m:r>
            <m:r>
              <w:rPr>
                <w:rFonts w:ascii="Cambria Math" w:hAnsi="Cambria Math"/>
              </w:rPr>
              <m:t xml:space="preserve">ω</m:t>
            </m:r>
          </m:e>
        </m:d>
        <m:sSubSup>
          <m:e>
            <m:r>
              <w:rPr>
                <w:rFonts w:ascii="Cambria Math" w:hAnsi="Cambria Math"/>
              </w:rPr>
              <m:t xml:space="preserve">R</m:t>
            </m:r>
          </m:e>
          <m:sub>
            <m:r>
              <w:rPr>
                <w:rFonts w:ascii="Cambria Math" w:hAnsi="Cambria Math"/>
              </w:rPr>
              <m:t xml:space="preserve">1</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oMath>
    </w:p>
    <w:p>
      <w:pPr>
        <w:pStyle w:val="LOnormal"/>
        <w:spacing w:lineRule="auto" w:line="360"/>
        <w:rPr/>
      </w:pPr>
      <w:r>
        <w:rPr/>
      </w:r>
      <m:oMath xmlns:m="http://schemas.openxmlformats.org/officeDocument/2006/math">
        <m:sSubSup>
          <m:e>
            <m:acc>
              <m:accPr>
                <m:chr m:val="˙"/>
              </m:accPr>
              <m:e>
                <m:r>
                  <w:rPr>
                    <w:rFonts w:ascii="Cambria Math" w:hAnsi="Cambria Math"/>
                  </w:rPr>
                  <m:t xml:space="preserve">R</m:t>
                </m:r>
              </m:e>
            </m:acc>
          </m:e>
          <m:sub>
            <m:r>
              <w:rPr>
                <w:rFonts w:ascii="Cambria Math" w:hAnsi="Cambria Math"/>
              </w:rPr>
              <m:t xml:space="preserve">2</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γ</m:t>
        </m:r>
        <m:sSubSup>
          <m:e>
            <m:r>
              <w:rPr>
                <w:rFonts w:ascii="Cambria Math" w:hAnsi="Cambria Math"/>
              </w:rPr>
              <m:t xml:space="preserve">I</m:t>
            </m:r>
          </m:e>
          <m:sub>
            <m:r>
              <w:rPr>
                <w:rFonts w:ascii="Cambria Math" w:hAnsi="Cambria Math"/>
              </w:rPr>
              <m:t xml:space="preserve">2</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1</m:t>
                    </m:r>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1</m:t>
                    </m:r>
                  </m:e>
                </m:d>
              </m:sup>
            </m:sSup>
            <m:r>
              <w:rPr>
                <w:rFonts w:ascii="Cambria Math" w:hAnsi="Cambria Math"/>
              </w:rPr>
              <m:t xml:space="preserve">+</m:t>
            </m:r>
            <m:r>
              <w:rPr>
                <w:rFonts w:ascii="Cambria Math" w:hAnsi="Cambria Math"/>
              </w:rPr>
              <m:t xml:space="preserve">ω</m:t>
            </m:r>
          </m:e>
        </m:d>
        <m:sSubSup>
          <m:e>
            <m:r>
              <w:rPr>
                <w:rFonts w:ascii="Cambria Math" w:hAnsi="Cambria Math"/>
              </w:rPr>
              <m:t xml:space="preserve">R</m:t>
            </m:r>
          </m:e>
          <m:sub>
            <m:r>
              <w:rPr>
                <w:rFonts w:ascii="Cambria Math" w:hAnsi="Cambria Math"/>
              </w:rPr>
              <m:t xml:space="preserve">2</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oMath>
    </w:p>
    <w:p>
      <w:pPr>
        <w:pStyle w:val="LOnormal"/>
        <w:spacing w:lineRule="auto" w:line="360"/>
        <w:rPr/>
      </w:pPr>
      <w:r>
        <w:rPr/>
      </w:r>
      <m:oMath xmlns:m="http://schemas.openxmlformats.org/officeDocument/2006/math">
        <m:sSubSup>
          <m:e>
            <m:acc>
              <m:accPr>
                <m:chr m:val="˙"/>
              </m:accPr>
              <m:e>
                <m:r>
                  <w:rPr>
                    <w:rFonts w:ascii="Cambria Math" w:hAnsi="Cambria Math"/>
                  </w:rPr>
                  <m:t xml:space="preserve">R</m:t>
                </m:r>
              </m:e>
            </m:acc>
          </m:e>
          <m:sub>
            <m:r>
              <w:rPr>
                <w:rFonts w:ascii="Cambria Math" w:hAnsi="Cambria Math"/>
              </w:rPr>
              <m:t xml:space="preserve">3</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γ</m:t>
        </m:r>
        <m:sSubSup>
          <m:e>
            <m:r>
              <w:rPr>
                <w:rFonts w:ascii="Cambria Math" w:hAnsi="Cambria Math"/>
              </w:rPr>
              <m:t xml:space="preserve">I</m:t>
            </m:r>
          </m:e>
          <m:sub>
            <m:r>
              <w:rPr>
                <w:rFonts w:ascii="Cambria Math" w:hAnsi="Cambria Math"/>
              </w:rPr>
              <m:t xml:space="preserve">2</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r>
                      <w:rPr>
                        <w:rFonts w:ascii="Cambria Math" w:hAnsi="Cambria Math"/>
                      </w:rPr>
                      <m:t xml:space="preserve">1</m:t>
                    </m:r>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1</m:t>
                    </m:r>
                  </m:e>
                </m:d>
              </m:sup>
            </m:sSup>
            <m:r>
              <w:rPr>
                <w:rFonts w:ascii="Cambria Math" w:hAnsi="Cambria Math"/>
              </w:rPr>
              <m:t xml:space="preserve">+</m:t>
            </m:r>
            <m:r>
              <w:rPr>
                <w:rFonts w:ascii="Cambria Math" w:hAnsi="Cambria Math"/>
              </w:rPr>
              <m:t xml:space="preserve">ω</m:t>
            </m:r>
          </m:e>
        </m:d>
        <m:sSubSup>
          <m:e>
            <m:r>
              <w:rPr>
                <w:rFonts w:ascii="Cambria Math" w:hAnsi="Cambria Math"/>
              </w:rPr>
              <m:t xml:space="preserve">R</m:t>
            </m:r>
          </m:e>
          <m:sub>
            <m:r>
              <w:rPr>
                <w:rFonts w:ascii="Cambria Math" w:hAnsi="Cambria Math"/>
              </w:rPr>
              <m:t xml:space="preserve">3</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oMath>
      <w:r>
        <w:rPr/>
        <w:tab/>
        <w:tab/>
        <w:tab/>
        <w:tab/>
        <w:tab/>
        <w:t>(SI Eq 5.9)</w:t>
      </w:r>
    </w:p>
    <w:p>
      <w:pPr>
        <w:pStyle w:val="LOnormal"/>
        <w:spacing w:lineRule="auto" w:line="360"/>
        <w:rPr/>
      </w:pPr>
      <w:r>
        <w:rPr/>
        <w:t xml:space="preserve">For the age groups j&gt;1, the equations have the same corresponding terms, except that there are no births, while there is an ageing term from the preceding age group. For example for </w:t>
      </w:r>
      <w:r>
        <w:rPr/>
      </w:r>
      <m:oMath xmlns:m="http://schemas.openxmlformats.org/officeDocument/2006/math">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2</m:t>
                </m:r>
              </m:e>
            </m:d>
          </m:sup>
        </m:sSubSup>
        <m:d>
          <m:dPr>
            <m:begChr m:val="("/>
            <m:endChr m:val=")"/>
          </m:dPr>
          <m:e>
            <m:r>
              <w:rPr>
                <w:rFonts w:ascii="Cambria Math" w:hAnsi="Cambria Math"/>
              </w:rPr>
              <m:t xml:space="preserve">t</m:t>
            </m:r>
          </m:e>
        </m:d>
      </m:oMath>
      <w:r>
        <w:rPr/>
        <w:t>:</w:t>
      </w:r>
    </w:p>
    <w:p>
      <w:pPr>
        <w:pStyle w:val="LOnormal"/>
        <w:spacing w:lineRule="auto" w:line="360"/>
        <w:rPr/>
      </w:pPr>
      <w:r>
        <w:rPr/>
      </w:r>
      <m:oMath xmlns:m="http://schemas.openxmlformats.org/officeDocument/2006/math">
        <m:sSubSup>
          <m:e>
            <m:acc>
              <m:accPr>
                <m:chr m:val="˙"/>
              </m:accPr>
              <m:e>
                <m:r>
                  <w:rPr>
                    <w:rFonts w:ascii="Cambria Math" w:hAnsi="Cambria Math"/>
                  </w:rPr>
                  <m:t xml:space="preserve">S</m:t>
                </m:r>
              </m:e>
            </m:acc>
            <m:d>
              <m:dPr>
                <m:begChr m:val="("/>
                <m:endChr m:val=")"/>
              </m:dPr>
              <m:e>
                <m:r>
                  <w:rPr>
                    <w:rFonts w:ascii="Cambria Math" w:hAnsi="Cambria Math"/>
                  </w:rPr>
                  <m:t xml:space="preserve">t</m:t>
                </m:r>
              </m:e>
            </m:d>
          </m:e>
          <m:sub>
            <m:r>
              <w:rPr>
                <w:rFonts w:ascii="Cambria Math" w:hAnsi="Cambria Math"/>
              </w:rPr>
              <m:t xml:space="preserve">1</m:t>
            </m:r>
          </m:sub>
          <m:sup>
            <m:d>
              <m:dPr>
                <m:begChr m:val="("/>
                <m:endChr m:val=")"/>
              </m:dPr>
              <m:e>
                <m:r>
                  <w:rPr>
                    <w:rFonts w:ascii="Cambria Math" w:hAnsi="Cambria Math"/>
                  </w:rPr>
                  <m:t xml:space="preserve">2</m:t>
                </m:r>
              </m:e>
            </m:d>
          </m:sup>
        </m:sSubSup>
        <m:r>
          <w:rPr>
            <w:rFonts w:ascii="Cambria Math" w:hAnsi="Cambria Math"/>
          </w:rPr>
          <m:t xml:space="preserve">=</m:t>
        </m:r>
        <m:r>
          <w:rPr>
            <w:rFonts w:ascii="Cambria Math" w:hAnsi="Cambria Math"/>
          </w:rPr>
          <m:t xml:space="preserve">−</m:t>
        </m:r>
        <m:sSubSup>
          <m:e>
            <m:r>
              <w:rPr>
                <w:rFonts w:ascii="Cambria Math" w:hAnsi="Cambria Math"/>
              </w:rPr>
              <m:t xml:space="preserve">F</m:t>
            </m:r>
            <m:d>
              <m:dPr>
                <m:begChr m:val="("/>
                <m:endChr m:val=")"/>
              </m:dPr>
              <m:e>
                <m:r>
                  <w:rPr>
                    <w:rFonts w:ascii="Cambria Math" w:hAnsi="Cambria Math"/>
                  </w:rPr>
                  <m:t xml:space="preserve">t</m:t>
                </m:r>
              </m:e>
            </m:d>
          </m:e>
          <m:sub>
            <m:r>
              <w:rPr>
                <w:rFonts w:ascii="Cambria Math" w:hAnsi="Cambria Math"/>
              </w:rPr>
              <m:t xml:space="preserve">1</m:t>
            </m:r>
          </m:sub>
          <m:sup>
            <m:d>
              <m:dPr>
                <m:begChr m:val="("/>
                <m:endChr m:val=")"/>
              </m:dPr>
              <m:e>
                <m:r>
                  <w:rPr>
                    <w:rFonts w:ascii="Cambria Math" w:hAnsi="Cambria Math"/>
                  </w:rPr>
                  <m:t xml:space="preserve">2</m:t>
                </m:r>
              </m:e>
            </m:d>
          </m:sup>
        </m:sSubSup>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d>
                      <m:dPr>
                        <m:begChr m:val="("/>
                        <m:endChr m:val=")"/>
                      </m:dPr>
                      <m:e>
                        <m:r>
                          <w:rPr>
                            <w:rFonts w:ascii="Cambria Math" w:hAnsi="Cambria Math"/>
                          </w:rPr>
                          <m:t xml:space="preserve">2</m:t>
                        </m:r>
                      </m:e>
                    </m:d>
                  </m:sup>
                </m:sSup>
              </m:den>
            </m:f>
            <m:r>
              <w:rPr>
                <w:rFonts w:ascii="Cambria Math" w:hAnsi="Cambria Math"/>
              </w:rPr>
              <m:t xml:space="preserve">+</m:t>
            </m:r>
            <m:sSup>
              <m:e>
                <m:r>
                  <w:rPr>
                    <w:rFonts w:ascii="Cambria Math" w:hAnsi="Cambria Math"/>
                  </w:rPr>
                  <m:t xml:space="preserve">θ</m:t>
                </m:r>
              </m:e>
              <m:sup>
                <m:d>
                  <m:dPr>
                    <m:begChr m:val="("/>
                    <m:endChr m:val=")"/>
                  </m:dPr>
                  <m:e>
                    <m:r>
                      <w:rPr>
                        <w:rFonts w:ascii="Cambria Math" w:hAnsi="Cambria Math"/>
                      </w:rPr>
                      <m:t xml:space="preserve">2</m:t>
                    </m:r>
                  </m:e>
                </m:d>
              </m:sup>
            </m:sSup>
          </m:e>
        </m:d>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2</m:t>
                </m:r>
              </m:e>
            </m:d>
          </m:sup>
        </m:sSubSup>
        <m:d>
          <m:dPr>
            <m:begChr m:val="("/>
            <m:endChr m:val=")"/>
          </m:dPr>
          <m:e>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365</m:t>
            </m:r>
            <m:sSup>
              <m:e>
                <m:r>
                  <w:rPr>
                    <w:rFonts w:ascii="Cambria Math" w:hAnsi="Cambria Math"/>
                  </w:rPr>
                  <m:t xml:space="preserve">d</m:t>
                </m:r>
              </m:e>
              <m:sup>
                <m:d>
                  <m:dPr>
                    <m:begChr m:val="("/>
                    <m:endChr m:val=")"/>
                  </m:dPr>
                  <m:e>
                    <m:r>
                      <w:rPr>
                        <w:rFonts w:ascii="Cambria Math" w:hAnsi="Cambria Math"/>
                      </w:rPr>
                      <m:t xml:space="preserve">1</m:t>
                    </m:r>
                  </m:e>
                </m:d>
              </m:sup>
            </m:sSup>
          </m:den>
        </m:f>
        <m:sSubSup>
          <m:e>
            <m:r>
              <w:rPr>
                <w:rFonts w:ascii="Cambria Math" w:hAnsi="Cambria Math"/>
              </w:rPr>
              <m:t xml:space="preserve">S</m:t>
            </m:r>
          </m:e>
          <m:sub>
            <m:r>
              <w:rPr>
                <w:rFonts w:ascii="Cambria Math" w:hAnsi="Cambria Math"/>
              </w:rPr>
              <m:t xml:space="preserve">1</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oMath>
      <w:r>
        <w:rPr/>
        <w:tab/>
        <w:tab/>
        <w:tab/>
        <w:t>(SI Eq 6)</w:t>
      </w:r>
    </w:p>
    <w:p>
      <w:pPr>
        <w:pStyle w:val="LOnormal"/>
        <w:spacing w:lineRule="auto" w:line="360"/>
        <w:rPr/>
      </w:pPr>
      <w:r>
        <w:rPr/>
        <w:t xml:space="preserve">To calculate incidence, we add 3x11 additional equations for new infections; for infection </w:t>
      </w:r>
      <w:r>
        <w:rPr>
          <w:i/>
        </w:rPr>
        <w:t xml:space="preserve">i </w:t>
      </w:r>
      <w:r>
        <w:rPr/>
        <w:t xml:space="preserve">and age group </w:t>
      </w:r>
      <w:r>
        <w:rPr>
          <w:i/>
        </w:rPr>
        <w:t>j</w:t>
      </w:r>
      <w:r>
        <w:rPr/>
        <w:t xml:space="preserve"> the equation is:</w:t>
      </w:r>
    </w:p>
    <w:p>
      <w:pPr>
        <w:pStyle w:val="LOnormal"/>
        <w:spacing w:lineRule="auto" w:line="360"/>
        <w:rPr/>
      </w:pPr>
      <w:r>
        <w:rPr/>
      </w:r>
      <m:oMath xmlns:m="http://schemas.openxmlformats.org/officeDocument/2006/math">
        <m:sSubSup>
          <m:e>
            <m:acc>
              <m:accPr>
                <m:chr m:val="˙"/>
              </m:accPr>
              <m:e>
                <m:r>
                  <w:rPr>
                    <w:rFonts w:ascii="Cambria Math" w:hAnsi="Cambria Math"/>
                  </w:rPr>
                  <m:t xml:space="preserve">C</m:t>
                </m:r>
              </m:e>
            </m:acc>
            <m:d>
              <m:dPr>
                <m:begChr m:val="("/>
                <m:endChr m:val=")"/>
              </m:dPr>
              <m:e>
                <m:r>
                  <w:rPr>
                    <w:rFonts w:ascii="Cambria Math" w:hAnsi="Cambria Math"/>
                  </w:rPr>
                  <m:t xml:space="preserve">t</m:t>
                </m:r>
              </m:e>
            </m:d>
          </m:e>
          <m:sub>
            <m:r>
              <w:rPr>
                <w:rFonts w:ascii="Cambria Math" w:hAnsi="Cambria Math"/>
              </w:rPr>
              <m:t xml:space="preserve">i</m:t>
            </m:r>
          </m:sub>
          <m:sup>
            <m:d>
              <m:dPr>
                <m:begChr m:val="("/>
                <m:endChr m:val=")"/>
              </m:dPr>
              <m:e>
                <m:r>
                  <w:rPr>
                    <w:rFonts w:ascii="Cambria Math" w:hAnsi="Cambria Math"/>
                  </w:rPr>
                  <m:t xml:space="preserve">j</m:t>
                </m:r>
              </m:e>
            </m:d>
          </m:sup>
        </m:sSubSup>
        <m:r>
          <w:rPr>
            <w:rFonts w:ascii="Cambria Math" w:hAnsi="Cambria Math"/>
          </w:rPr>
          <m:t xml:space="preserve">=</m:t>
        </m:r>
        <m:sSubSup>
          <m:e>
            <m:r>
              <w:rPr>
                <w:rFonts w:ascii="Cambria Math" w:hAnsi="Cambria Math"/>
              </w:rPr>
              <m:t xml:space="preserve">F</m:t>
            </m:r>
            <m:d>
              <m:dPr>
                <m:begChr m:val="("/>
                <m:endChr m:val=")"/>
              </m:dPr>
              <m:e>
                <m:r>
                  <w:rPr>
                    <w:rFonts w:ascii="Cambria Math" w:hAnsi="Cambria Math"/>
                  </w:rPr>
                  <m:t xml:space="preserve">t</m:t>
                </m:r>
              </m:e>
            </m:d>
          </m:e>
          <m:sub>
            <m:r>
              <w:rPr>
                <w:rFonts w:ascii="Cambria Math" w:hAnsi="Cambria Math"/>
              </w:rPr>
              <m:t xml:space="preserve">i</m:t>
            </m:r>
          </m:sub>
          <m:sup>
            <m:d>
              <m:dPr>
                <m:begChr m:val="("/>
                <m:endChr m:val=")"/>
              </m:dPr>
              <m:e>
                <m:r>
                  <w:rPr>
                    <w:rFonts w:ascii="Cambria Math" w:hAnsi="Cambria Math"/>
                  </w:rPr>
                  <m:t xml:space="preserve">j</m:t>
                </m:r>
              </m:e>
            </m:d>
          </m:sup>
        </m:sSubSup>
      </m:oMath>
      <w:r>
        <w:rPr/>
        <w:tab/>
        <w:tab/>
        <w:tab/>
        <w:tab/>
        <w:tab/>
        <w:tab/>
        <w:tab/>
        <w:tab/>
        <w:tab/>
        <w:tab/>
        <w:t>(SI Eq 7)</w:t>
      </w:r>
    </w:p>
    <w:p>
      <w:pPr>
        <w:pStyle w:val="LOnormal"/>
        <w:spacing w:lineRule="auto" w:line="360"/>
        <w:rPr/>
      </w:pPr>
      <w:r>
        <w:rPr/>
        <w:t xml:space="preserve">Incidence at time </w:t>
      </w:r>
      <w:r>
        <w:rPr>
          <w:i/>
        </w:rPr>
        <w:t xml:space="preserve">t </w:t>
      </w:r>
      <w:r>
        <w:rPr/>
        <w:t xml:space="preserve">is then calculated by the change in the value of </w:t>
      </w:r>
      <w:r>
        <w:rPr/>
      </w:r>
      <m:oMath xmlns:m="http://schemas.openxmlformats.org/officeDocument/2006/math">
        <m:sSubSup>
          <m:e>
            <m:r>
              <w:rPr>
                <w:rFonts w:ascii="Cambria Math" w:hAnsi="Cambria Math"/>
              </w:rPr>
              <m:t xml:space="preserve">C</m:t>
            </m:r>
            <m:d>
              <m:dPr>
                <m:begChr m:val="("/>
                <m:endChr m:val=")"/>
              </m:dPr>
              <m:e>
                <m:r>
                  <w:rPr>
                    <w:rFonts w:ascii="Cambria Math" w:hAnsi="Cambria Math"/>
                  </w:rPr>
                  <m:t xml:space="preserve">t</m:t>
                </m:r>
              </m:e>
            </m:d>
          </m:e>
          <m:sub>
            <m:r>
              <w:rPr>
                <w:rFonts w:ascii="Cambria Math" w:hAnsi="Cambria Math"/>
              </w:rPr>
              <m:t xml:space="preserve">i</m:t>
            </m:r>
          </m:sub>
          <m:sup>
            <m:d>
              <m:dPr>
                <m:begChr m:val="("/>
                <m:endChr m:val=")"/>
              </m:dPr>
              <m:e>
                <m:r>
                  <w:rPr>
                    <w:rFonts w:ascii="Cambria Math" w:hAnsi="Cambria Math"/>
                  </w:rPr>
                  <m:t xml:space="preserve">j</m:t>
                </m:r>
              </m:e>
            </m:d>
          </m:sup>
        </m:sSubSup>
      </m:oMath>
      <w:r>
        <w:rPr/>
        <w:t xml:space="preserve"> from </w:t>
      </w:r>
      <w:r>
        <w:rPr>
          <w:i/>
        </w:rPr>
        <w:t>t-1</w:t>
      </w:r>
      <w:r>
        <w:rPr/>
        <w:t xml:space="preserve"> to </w:t>
      </w:r>
      <w:r>
        <w:rPr>
          <w:i/>
        </w:rPr>
        <w:t>t</w:t>
      </w:r>
      <w:r>
        <w:rPr/>
        <w:t>.</w:t>
      </w:r>
    </w:p>
    <w:p>
      <w:pPr>
        <w:pStyle w:val="LOnormal"/>
        <w:spacing w:lineRule="auto" w:line="360"/>
        <w:rPr/>
      </w:pPr>
      <w:r>
        <w:rPr/>
        <w:t xml:space="preserve">The equations are coded in R in vectorised format by the custom-made function </w:t>
      </w:r>
      <w:r>
        <w:rPr>
          <w:i/>
        </w:rPr>
        <w:t>sirs_seasonal_forc_mat_immun()</w:t>
      </w:r>
      <w:r>
        <w:rPr/>
        <w:t xml:space="preserve"> contained in the file </w:t>
      </w:r>
      <w:r>
        <w:rPr>
          <w:i/>
        </w:rPr>
        <w:t>essential_fcns.R</w:t>
      </w:r>
      <w:r>
        <w:rPr/>
        <w:t xml:space="preserve">, in the subfolder </w:t>
      </w:r>
      <w:r>
        <w:rPr>
          <w:i/>
        </w:rPr>
        <w:t>fcns/</w:t>
      </w:r>
      <w:r>
        <w:rPr/>
        <w:t xml:space="preserve"> at </w:t>
      </w:r>
      <w:hyperlink r:id="rId17">
        <w:r>
          <w:rPr>
            <w:color w:val="1155CC"/>
            <w:u w:val="single"/>
          </w:rPr>
          <w:t>https://github.com/mbkoltai/RSV-resurgence-model</w:t>
        </w:r>
      </w:hyperlink>
      <w:r>
        <w:rPr/>
        <w:t>.</w:t>
      </w:r>
    </w:p>
    <w:p>
      <w:pPr>
        <w:pStyle w:val="LOnormal"/>
        <w:spacing w:lineRule="auto" w:line="360"/>
        <w:rPr/>
      </w:pPr>
      <w:r>
        <w:rPr/>
      </w:r>
    </w:p>
    <w:p>
      <w:pPr>
        <w:pStyle w:val="LOnormal"/>
        <w:spacing w:lineRule="auto" w:line="360"/>
        <w:rPr/>
      </w:pPr>
      <w:r>
        <w:rPr>
          <w:b/>
        </w:rPr>
        <w:t>1.2 Model initialisation and external introductions</w:t>
      </w:r>
    </w:p>
    <w:p>
      <w:pPr>
        <w:pStyle w:val="LOnormal"/>
        <w:spacing w:lineRule="auto" w:line="360"/>
        <w:rPr/>
      </w:pPr>
      <w:r>
        <w:rPr/>
        <w:t xml:space="preserve">Simulations were started with the initial condition of the entire population in the susceptible compartments, except for 10 individuals per age group placed into the “first infection” compartment. We integrate the equations for 30 years before introducing the NPIs, and check whether the simulations have stabilised to an annual pattern. </w:t>
      </w:r>
    </w:p>
    <w:p>
      <w:pPr>
        <w:pStyle w:val="LOnormal"/>
        <w:spacing w:lineRule="auto" w:line="360"/>
        <w:rPr/>
      </w:pPr>
      <w:r>
        <w:rPr/>
        <w:t>Furthermore, to avoid RSV prevalence decaying to zero between seasons and to emulate the effect of external introductions, 10 new infections are introduced each month.</w:t>
      </w:r>
    </w:p>
    <w:p>
      <w:pPr>
        <w:pStyle w:val="LOnormal"/>
        <w:spacing w:lineRule="auto" w:line="360"/>
        <w:rPr/>
      </w:pPr>
      <w:r>
        <w:rPr/>
      </w:r>
    </w:p>
    <w:p>
      <w:pPr>
        <w:pStyle w:val="LOnormal"/>
        <w:spacing w:lineRule="auto" w:line="360"/>
        <w:rPr/>
      </w:pPr>
      <w:r>
        <w:rPr>
          <w:b/>
        </w:rPr>
        <w:t>1.3 Susceptibility and disease severity</w:t>
      </w:r>
    </w:p>
    <w:p>
      <w:pPr>
        <w:pStyle w:val="LOnormal"/>
        <w:spacing w:lineRule="auto" w:line="360"/>
        <w:rPr/>
      </w:pPr>
      <w:r>
        <w:rPr/>
        <w:t xml:space="preserve">We use susceptibility to (re)infection as a composite parameter to capture how age and immunity affect the susceptibility to RSV disease. In reality, the observed decreasing clinical severity with age is likely to be a result of both lower susceptibility of infection reflected by lower attack rates [15,37] and infections being less severe due to higher immunity and a more developed immune and respiratory system. We used susceptibility to infection as a composite parameter to reflect these two effects to minimise model complexity. </w:t>
      </w:r>
    </w:p>
    <w:p>
      <w:pPr>
        <w:pStyle w:val="LOnormal"/>
        <w:spacing w:lineRule="auto" w:line="360"/>
        <w:rPr/>
      </w:pPr>
      <w:r>
        <w:rPr/>
        <w:t>Similarly, when calculating hospitalisation rates from the simulated number of cases we applied age-specific hospitalisation rates, but applied the same per-infection-probability to 1st, 2nd and 3rd infections within age groups. Using differential rates of severity would amplify the observed trends in the results, but would not fundamentally change them.</w:t>
      </w:r>
    </w:p>
    <w:p>
      <w:pPr>
        <w:pStyle w:val="Heading3"/>
        <w:spacing w:lineRule="auto" w:line="360"/>
        <w:rPr/>
      </w:pPr>
      <w:bookmarkStart w:id="4" w:name="_qhuij8qhre03"/>
      <w:bookmarkEnd w:id="4"/>
      <w:r>
        <w:rPr>
          <w:b/>
          <w:color w:val="000000"/>
        </w:rPr>
        <w:t>2. Processing simulation results</w:t>
      </w:r>
    </w:p>
    <w:p>
      <w:pPr>
        <w:pStyle w:val="LOnormal"/>
        <w:spacing w:lineRule="auto" w:line="360"/>
        <w:rPr/>
      </w:pPr>
      <w:r>
        <w:rPr>
          <w:b/>
        </w:rPr>
        <w:t>2.1 Parameter selection by regularity of annual seasons</w:t>
      </w:r>
    </w:p>
    <w:p>
      <w:pPr>
        <w:pStyle w:val="LOnormal"/>
        <w:spacing w:lineRule="auto" w:line="360"/>
        <w:rPr/>
      </w:pPr>
      <w:r>
        <w:rPr/>
        <w:t>As described in the main text, we discarded parameter sets that resulted in biennial or irregular patterns of RSV incidence pre-pandemic, only keeping parameter sets with stable (annual) oscillations. To do this, the relative difference between the two pre-NPI seasons were calculated as:</w:t>
      </w:r>
    </w:p>
    <w:p>
      <w:pPr>
        <w:pStyle w:val="LOnormal"/>
        <w:spacing w:lineRule="auto" w:line="360"/>
        <w:rPr/>
      </w:pPr>
      <w:r>
        <w:rPr/>
        <w:t xml:space="preserve"> </w:t>
      </w:r>
      <w:r>
        <w:rPr/>
      </w:r>
      <m:oMath xmlns:m="http://schemas.openxmlformats.org/officeDocument/2006/math">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t</m:t>
            </m:r>
            <m:r>
              <w:rPr>
                <w:rFonts w:ascii="Cambria Math" w:hAnsi="Cambria Math"/>
              </w:rPr>
              <m:t xml:space="preserve">=</m:t>
            </m:r>
            <m:r>
              <w:rPr>
                <w:rFonts w:ascii="Cambria Math" w:hAnsi="Cambria Math"/>
              </w:rPr>
              <m:t xml:space="preserve">148</m:t>
            </m:r>
          </m:sup>
          <m:e>
            <m:d>
              <m:dPr>
                <m:begChr m:val="|"/>
                <m:endChr m:val="|"/>
              </m:dPr>
              <m:e>
                <m:sSub>
                  <m:e>
                    <m:r>
                      <w:rPr>
                        <w:rFonts w:ascii="Cambria Math" w:hAnsi="Cambria Math"/>
                      </w:rPr>
                      <m:t xml:space="preserve">incidence</m:t>
                    </m:r>
                  </m:e>
                  <m:sub>
                    <m:f>
                      <m:fPr>
                        <m:type m:val="lin"/>
                      </m:fPr>
                      <m:num>
                        <m:r>
                          <w:rPr>
                            <w:rFonts w:ascii="Cambria Math" w:hAnsi="Cambria Math"/>
                          </w:rPr>
                          <m:t xml:space="preserve">2018</m:t>
                        </m:r>
                      </m:num>
                      <m:den>
                        <m:r>
                          <w:rPr>
                            <w:rFonts w:ascii="Cambria Math" w:hAnsi="Cambria Math"/>
                          </w:rPr>
                          <m:t xml:space="preserve">19</m:t>
                        </m:r>
                      </m:den>
                    </m:f>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incidence</m:t>
                    </m:r>
                  </m:e>
                  <m:sub>
                    <m:f>
                      <m:fPr>
                        <m:type m:val="lin"/>
                      </m:fPr>
                      <m:num>
                        <m:r>
                          <w:rPr>
                            <w:rFonts w:ascii="Cambria Math" w:hAnsi="Cambria Math"/>
                          </w:rPr>
                          <m:t xml:space="preserve">2019</m:t>
                        </m:r>
                      </m:num>
                      <m:den>
                        <m:r>
                          <w:rPr>
                            <w:rFonts w:ascii="Cambria Math" w:hAnsi="Cambria Math"/>
                          </w:rPr>
                          <m:t xml:space="preserve">20</m:t>
                        </m:r>
                      </m:den>
                    </m:f>
                  </m:sub>
                </m:sSub>
                <m:d>
                  <m:dPr>
                    <m:begChr m:val="("/>
                    <m:endChr m:val=")"/>
                  </m:dPr>
                  <m:e>
                    <m:r>
                      <w:rPr>
                        <w:rFonts w:ascii="Cambria Math" w:hAnsi="Cambria Math"/>
                      </w:rPr>
                      <m:t xml:space="preserve">t</m:t>
                    </m:r>
                  </m:e>
                </m:d>
              </m:e>
            </m:d>
          </m:e>
        </m:nary>
      </m:oMath>
      <w:r>
        <w:rPr/>
        <w:t xml:space="preserve">/ </w:t>
      </w:r>
    </w:p>
    <w:p>
      <w:pPr>
        <w:pStyle w:val="LOnormal"/>
        <w:spacing w:lineRule="auto" w:line="360"/>
        <w:rPr/>
      </w:pPr>
      <w:r>
        <w:rPr/>
      </w:r>
      <m:oMath xmlns:m="http://schemas.openxmlformats.org/officeDocument/2006/math">
        <m:r>
          <w:rPr>
            <w:rFonts w:ascii="Cambria Math" w:hAnsi="Cambria Math"/>
          </w:rPr>
          <m:t xml:space="preserve">mean</m:t>
        </m:r>
        <m:d>
          <m:dPr>
            <m:begChr m:val="("/>
            <m:endChr m:val=")"/>
          </m:dPr>
          <m:e>
            <m:d>
              <m:dPr>
                <m:begChr m:val="["/>
                <m:endChr m:val="]"/>
              </m:dPr>
              <m:e>
                <m:r>
                  <w:rPr>
                    <w:rFonts w:ascii="Cambria Math" w:hAnsi="Cambria Math"/>
                  </w:rPr>
                  <m:t xml:space="preserve">mean</m:t>
                </m:r>
                <m:d>
                  <m:dPr>
                    <m:begChr m:val="("/>
                    <m:endChr m:val=")"/>
                  </m:dPr>
                  <m:e>
                    <m:sSub>
                      <m:e>
                        <m:r>
                          <w:rPr>
                            <w:rFonts w:ascii="Cambria Math" w:hAnsi="Cambria Math"/>
                          </w:rPr>
                          <m:t xml:space="preserve">incidence</m:t>
                        </m:r>
                      </m:e>
                      <m:sub>
                        <m:f>
                          <m:fPr>
                            <m:type m:val="lin"/>
                          </m:fPr>
                          <m:num>
                            <m:r>
                              <w:rPr>
                                <w:rFonts w:ascii="Cambria Math" w:hAnsi="Cambria Math"/>
                              </w:rPr>
                              <m:t xml:space="preserve">2018</m:t>
                            </m:r>
                          </m:num>
                          <m:den>
                            <m:r>
                              <w:rPr>
                                <w:rFonts w:ascii="Cambria Math" w:hAnsi="Cambria Math"/>
                              </w:rPr>
                              <m:t xml:space="preserve">19</m:t>
                            </m:r>
                          </m:den>
                        </m:f>
                      </m:sub>
                    </m:sSub>
                  </m:e>
                </m:d>
                <m:r>
                  <w:rPr>
                    <w:rFonts w:ascii="Cambria Math" w:hAnsi="Cambria Math"/>
                  </w:rPr>
                  <m:t xml:space="preserve">,</m:t>
                </m:r>
                <m:r>
                  <w:rPr>
                    <w:rFonts w:ascii="Cambria Math" w:hAnsi="Cambria Math"/>
                  </w:rPr>
                  <m:t xml:space="preserve">mean</m:t>
                </m:r>
                <m:d>
                  <m:dPr>
                    <m:begChr m:val="("/>
                    <m:endChr m:val=")"/>
                  </m:dPr>
                  <m:e>
                    <m:sSub>
                      <m:e>
                        <m:r>
                          <w:rPr>
                            <w:rFonts w:ascii="Cambria Math" w:hAnsi="Cambria Math"/>
                          </w:rPr>
                          <m:t xml:space="preserve">incidence</m:t>
                        </m:r>
                      </m:e>
                      <m:sub>
                        <m:f>
                          <m:fPr>
                            <m:type m:val="lin"/>
                          </m:fPr>
                          <m:num>
                            <m:r>
                              <w:rPr>
                                <w:rFonts w:ascii="Cambria Math" w:hAnsi="Cambria Math"/>
                              </w:rPr>
                              <m:t xml:space="preserve">2019</m:t>
                            </m:r>
                          </m:num>
                          <m:den>
                            <m:r>
                              <w:rPr>
                                <w:rFonts w:ascii="Cambria Math" w:hAnsi="Cambria Math"/>
                              </w:rPr>
                              <m:t xml:space="preserve">20</m:t>
                            </m:r>
                          </m:den>
                        </m:f>
                      </m:sub>
                    </m:sSub>
                  </m:e>
                </m:d>
              </m:e>
            </m:d>
          </m:e>
        </m:d>
      </m:oMath>
      <w:r>
        <w:rPr/>
        <w:tab/>
        <w:tab/>
        <w:tab/>
        <w:t>(SI Eq 7)</w:t>
      </w:r>
    </w:p>
    <w:p>
      <w:pPr>
        <w:pStyle w:val="LOnormal"/>
        <w:spacing w:lineRule="auto" w:line="360"/>
        <w:rPr/>
      </w:pPr>
      <w:r>
        <w:rPr/>
        <w:t xml:space="preserve">The time index </w:t>
      </w:r>
      <w:r>
        <w:rPr>
          <w:i/>
        </w:rPr>
        <w:t xml:space="preserve">t </w:t>
      </w:r>
      <w:r>
        <w:rPr/>
        <w:t xml:space="preserve">here refers to the day </w:t>
      </w:r>
      <w:r>
        <w:rPr>
          <w:i/>
        </w:rPr>
        <w:t>within</w:t>
      </w:r>
      <w:r>
        <w:rPr/>
        <w:t xml:space="preserve"> the RSV season, starting with week 40. The cumulative density function of this metric (by each age group) for the 7993 parameter sets is shown in SI Figure 7. We used a cut-off of 15% relative difference as an upper threshold for regular annual seasonality.</w:t>
      </w:r>
    </w:p>
    <w:p>
      <w:pPr>
        <w:pStyle w:val="LOnormal"/>
        <w:spacing w:lineRule="auto" w:line="360"/>
        <w:rPr/>
      </w:pPr>
      <w:r>
        <w:rPr/>
      </w:r>
    </w:p>
    <w:p>
      <w:pPr>
        <w:pStyle w:val="LOnormal"/>
        <w:spacing w:lineRule="auto" w:line="360"/>
        <w:jc w:val="left"/>
        <w:rPr/>
      </w:pPr>
      <w:r>
        <w:rPr>
          <w:b/>
        </w:rPr>
        <w:t>2.2 Accounting for under-ascertainment of hospitalisation data</w:t>
      </w:r>
    </w:p>
    <w:p>
      <w:pPr>
        <w:pStyle w:val="LOnormal"/>
        <w:spacing w:lineRule="auto" w:line="360"/>
        <w:jc w:val="left"/>
        <w:rPr/>
      </w:pPr>
      <w:r>
        <w:rPr/>
      </w:r>
    </w:p>
    <w:p>
      <w:pPr>
        <w:pStyle w:val="LOnormal"/>
        <w:spacing w:lineRule="auto" w:line="360"/>
        <w:jc w:val="left"/>
        <w:rPr/>
      </w:pPr>
      <w:r>
        <w:rPr/>
        <w:t>There is likely some level of under-ascertainment in the SARI-Watch hospitalisation data that we used for likelihood calculations. To estimate this, we took the annual sum of hospitalisations in SARI-Watch and compared it to estimates of the full burden in the literature (SI Table 4).</w:t>
      </w:r>
    </w:p>
    <w:p>
      <w:pPr>
        <w:pStyle w:val="LOnormal"/>
        <w:spacing w:lineRule="auto" w:line="360"/>
        <w:jc w:val="left"/>
        <w:rPr/>
      </w:pPr>
      <w:r>
        <w:rPr/>
        <w:t>Specifically, we took the ratio of the annual burden from SARi_Watch and the mean of the annual disease burden estimates from the literature.</w:t>
      </w:r>
    </w:p>
    <w:p>
      <w:pPr>
        <w:pStyle w:val="LOnormal"/>
        <w:spacing w:lineRule="auto" w:line="360"/>
        <w:jc w:val="left"/>
        <w:rPr/>
      </w:pPr>
      <w:r>
        <w:rPr/>
        <w:t>For the under-5 year old age group this resulted in an under-ascertainment rate of 52.1%, and for older adults (above 65 years) an under-ascertainment rate of 31%.</w:t>
      </w:r>
    </w:p>
    <w:p>
      <w:pPr>
        <w:pStyle w:val="LOnormal"/>
        <w:spacing w:lineRule="auto" w:line="360"/>
        <w:jc w:val="left"/>
        <w:rPr/>
      </w:pPr>
      <w:r>
        <w:rPr/>
        <w:t xml:space="preserve">This calculation can be found in the </w:t>
      </w:r>
      <w:r>
        <w:rPr>
          <w:i/>
        </w:rPr>
        <w:t>file fcns/load_SARI_data.R</w:t>
      </w:r>
      <w:r>
        <w:rPr/>
        <w:t>.</w:t>
      </w:r>
    </w:p>
    <w:p>
      <w:pPr>
        <w:pStyle w:val="LOnormal"/>
        <w:spacing w:lineRule="auto" w:line="360"/>
        <w:jc w:val="left"/>
        <w:rPr/>
      </w:pPr>
      <w:r>
        <w:rPr>
          <w:b/>
        </w:rPr>
        <w:t>2.3 Likelihood calculations</w:t>
      </w:r>
    </w:p>
    <w:p>
      <w:pPr>
        <w:pStyle w:val="LOnormal"/>
        <w:spacing w:lineRule="auto" w:line="360"/>
        <w:jc w:val="left"/>
        <w:rPr/>
      </w:pPr>
      <w:r>
        <w:rPr/>
        <w:t xml:space="preserve">Likelihood values for hospitalisations were calculated by assuming that reported hospitalisation counts (from the SARI-Watch series, counts requested from UKHSA, see </w:t>
      </w:r>
      <w:r>
        <w:rPr>
          <w:i/>
        </w:rPr>
        <w:t>Acknowledgements</w:t>
      </w:r>
      <w:r>
        <w:rPr/>
        <w:t xml:space="preserve"> in main text) at each timepoint </w:t>
      </w:r>
      <w:r>
        <w:rPr>
          <w:i/>
        </w:rPr>
        <w:t xml:space="preserve">t </w:t>
      </w:r>
      <w:r>
        <w:rPr/>
        <w:t xml:space="preserve">and age group </w:t>
      </w:r>
      <w:r>
        <w:rPr>
          <w:i/>
        </w:rPr>
        <w:t xml:space="preserve">j </w:t>
      </w:r>
      <w:r>
        <w:rPr/>
        <w:t>followed a Poisson distribution:</w:t>
      </w:r>
    </w:p>
    <w:p>
      <w:pPr>
        <w:pStyle w:val="LOnormal"/>
        <w:spacing w:lineRule="auto" w:line="360"/>
        <w:jc w:val="left"/>
        <w:rPr/>
      </w:pPr>
      <w:r>
        <w:rPr>
          <w:i/>
        </w:rPr>
        <w:t>hosp_data</w:t>
      </w:r>
      <w:r>
        <w:rPr>
          <w:i/>
          <w:vertAlign w:val="subscript"/>
        </w:rPr>
        <w:t>j,t</w:t>
      </w:r>
      <w:r>
        <w:rPr>
          <w:rFonts w:eastAsia="Arial" w:cs="Arial" w:ascii="Arial" w:hAnsi="Arial"/>
          <w:i/>
        </w:rPr>
        <w:t xml:space="preserve"> ~ Poisson(k,λ) </w:t>
        <w:tab/>
        <w:tab/>
        <w:tab/>
        <w:tab/>
        <w:tab/>
        <w:tab/>
        <w:tab/>
      </w:r>
      <w:r>
        <w:rPr/>
        <w:t>(SI Eq 8)</w:t>
      </w:r>
    </w:p>
    <w:p>
      <w:pPr>
        <w:pStyle w:val="LOnormal"/>
        <w:spacing w:lineRule="auto" w:line="360"/>
        <w:jc w:val="left"/>
        <w:rPr/>
      </w:pPr>
      <w:r>
        <w:rPr/>
        <w:t>Since in this data series the number and size of hospitals reporting varies from week to week, we needed to scale the simulations (</w:t>
      </w:r>
      <w:r>
        <w:rPr>
          <w:i/>
        </w:rPr>
        <w:t>hosp_simul</w:t>
      </w:r>
      <w:r>
        <w:rPr>
          <w:i/>
          <w:vertAlign w:val="subscript"/>
        </w:rPr>
        <w:t>j,t</w:t>
      </w:r>
      <w:r>
        <w:rPr/>
        <w:t xml:space="preserve">) with the catchment area of the reporting hospitals at time point </w:t>
      </w:r>
      <w:r>
        <w:rPr>
          <w:i/>
        </w:rPr>
        <w:t>t</w:t>
      </w:r>
      <w:r>
        <w:rPr/>
        <w:t>. Since simulations were for the entire UK population, this scaling factor (</w:t>
      </w:r>
      <w:r>
        <w:rPr>
          <w:i/>
        </w:rPr>
        <w:t>r</w:t>
      </w:r>
      <w:r>
        <w:rPr>
          <w:i/>
          <w:vertAlign w:val="subscript"/>
        </w:rPr>
        <w:t>pop</w:t>
      </w:r>
      <w:r>
        <w:rPr/>
        <w:t xml:space="preserve">) needs to be the ratio of the full population size of the relevant age group (under-5 and over-65 year olds) used in the model (4.18 million and 12.68 million, respectively). </w:t>
      </w:r>
    </w:p>
    <w:p>
      <w:pPr>
        <w:pStyle w:val="LOnormal"/>
        <w:spacing w:lineRule="auto" w:line="360"/>
        <w:jc w:val="left"/>
        <w:rPr/>
      </w:pPr>
      <w:r>
        <w:rPr/>
        <w:t>Additionally, there is likely under-reporting in the hospitalisation data which we approximate by taking the ratio of the annual hospitalisation rates from SARI-Watch to the estimated full burden. Simulated hospitalisations were also scaled by this ratio (</w:t>
      </w:r>
      <w:r>
        <w:rPr>
          <w:i/>
        </w:rPr>
        <w:t>r</w:t>
      </w:r>
      <w:r>
        <w:rPr>
          <w:i/>
          <w:vertAlign w:val="subscript"/>
        </w:rPr>
        <w:t>und_rep</w:t>
      </w:r>
      <w:r>
        <w:rPr/>
        <w:t>).</w:t>
      </w:r>
    </w:p>
    <w:p>
      <w:pPr>
        <w:pStyle w:val="LOnormal"/>
        <w:spacing w:lineRule="auto" w:line="360"/>
        <w:jc w:val="left"/>
        <w:rPr/>
      </w:pPr>
      <w:r>
        <w:rPr/>
        <w:t>Then, to calculate the Poisson likelihood we have:</w:t>
      </w:r>
    </w:p>
    <w:p>
      <w:pPr>
        <w:pStyle w:val="LOnormal"/>
        <w:spacing w:lineRule="auto" w:line="360"/>
        <w:rPr/>
      </w:pPr>
      <w:r>
        <w:rPr>
          <w:i/>
        </w:rPr>
        <w:t>p_hosp</w:t>
      </w:r>
      <w:r>
        <w:rPr>
          <w:i/>
          <w:vertAlign w:val="subscript"/>
        </w:rPr>
        <w:t xml:space="preserve">j,t  </w:t>
      </w:r>
      <w:r>
        <w:rPr/>
        <w:t xml:space="preserve">= </w:t>
      </w:r>
      <w:r>
        <w:rPr>
          <w:i/>
        </w:rPr>
        <w:t>Poisson(k=hosp_data</w:t>
      </w:r>
      <w:r>
        <w:rPr>
          <w:i/>
          <w:vertAlign w:val="subscript"/>
        </w:rPr>
        <w:t>j,t</w:t>
      </w:r>
      <w:r>
        <w:rPr>
          <w:rFonts w:eastAsia="Arial" w:cs="Arial" w:ascii="Arial" w:hAnsi="Arial"/>
          <w:i/>
        </w:rPr>
        <w:t>, λ=r</w:t>
      </w:r>
      <w:r>
        <w:rPr>
          <w:i/>
          <w:vertAlign w:val="subscript"/>
        </w:rPr>
        <w:t>pop</w:t>
      </w:r>
      <w:r>
        <w:rPr>
          <w:i/>
        </w:rPr>
        <w:t>*r</w:t>
      </w:r>
      <w:r>
        <w:rPr>
          <w:i/>
          <w:vertAlign w:val="subscript"/>
        </w:rPr>
        <w:t>und_rep</w:t>
      </w:r>
      <w:r>
        <w:rPr>
          <w:i/>
        </w:rPr>
        <w:t>*hosp_simul</w:t>
      </w:r>
      <w:r>
        <w:rPr>
          <w:i/>
          <w:vertAlign w:val="subscript"/>
        </w:rPr>
        <w:t>j,t</w:t>
      </w:r>
      <w:r>
        <w:rPr>
          <w:i/>
        </w:rPr>
        <w:t>)</w:t>
      </w:r>
      <w:r>
        <w:rPr/>
        <w:tab/>
        <w:t>(SI Eq 9)</w:t>
      </w:r>
    </w:p>
    <w:p>
      <w:pPr>
        <w:pStyle w:val="LOnormal"/>
        <w:spacing w:lineRule="auto" w:line="360"/>
        <w:rPr/>
      </w:pPr>
      <w:r>
        <w:rPr/>
        <w:t>The joint likelihood for all timepoints is then:</w:t>
      </w:r>
    </w:p>
    <w:p>
      <w:pPr>
        <w:pStyle w:val="LOnormal"/>
        <w:spacing w:lineRule="auto" w:line="360"/>
        <w:rPr/>
      </w:pPr>
      <w:r>
        <w:rPr/>
        <w:t xml:space="preserve"> </w:t>
      </w:r>
      <w:r>
        <w:rPr/>
      </w:r>
      <m:oMath xmlns:m="http://schemas.openxmlformats.org/officeDocument/2006/math">
        <m:r>
          <w:rPr>
            <w:rFonts w:ascii="Cambria Math" w:hAnsi="Cambria Math"/>
          </w:rPr>
          <m:t xml:space="preserve">P</m:t>
        </m:r>
        <m:r>
          <w:rPr>
            <w:rFonts w:ascii="Cambria Math" w:hAnsi="Cambria Math"/>
          </w:rPr>
          <m:t xml:space="preserve">r</m:t>
        </m:r>
        <m:d>
          <m:dPr>
            <m:begChr m:val="("/>
            <m:endChr m:val=")"/>
          </m:dPr>
          <m:e>
            <m:sSub>
              <m:e>
                <m:r>
                  <w:rPr>
                    <w:rFonts w:ascii="Cambria Math" w:hAnsi="Cambria Math"/>
                  </w:rPr>
                  <m:t xml:space="preserve">hosp</m:t>
                </m:r>
              </m:e>
              <m:sub>
                <m:r>
                  <w:rPr>
                    <w:rFonts w:ascii="Cambria Math" w:hAnsi="Cambria Math"/>
                  </w:rPr>
                  <m:t xml:space="preserve">data</m:t>
                </m:r>
              </m:sub>
            </m:sSub>
            <m:r>
              <w:rPr>
                <w:rFonts w:ascii="Cambria Math" w:hAnsi="Cambria Math"/>
              </w:rPr>
              <m:t xml:space="preserve">|</m:t>
            </m:r>
            <m:sSub>
              <m:e>
                <m:r>
                  <w:rPr>
                    <w:rFonts w:ascii="Cambria Math" w:hAnsi="Cambria Math"/>
                  </w:rPr>
                  <m:t xml:space="preserve">hosp</m:t>
                </m:r>
              </m:e>
              <m:sub>
                <m:r>
                  <w:rPr>
                    <w:rFonts w:ascii="Cambria Math" w:hAnsi="Cambria Math"/>
                  </w:rPr>
                  <m:t xml:space="preserve">simul</m:t>
                </m:r>
              </m:sub>
            </m:sSub>
          </m:e>
        </m:d>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65</m:t>
            </m:r>
          </m:sup>
          <m:e>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2</m:t>
                </m:r>
              </m:sup>
              <m:e>
                <m:sSub>
                  <m:e>
                    <m:r>
                      <w:rPr>
                        <w:rFonts w:ascii="Cambria Math" w:hAnsi="Cambria Math"/>
                      </w:rPr>
                      <m:t xml:space="preserve">p</m:t>
                    </m:r>
                  </m:e>
                  <m:sub>
                    <m:r>
                      <w:rPr>
                        <w:rFonts w:ascii="Cambria Math" w:hAnsi="Cambria Math"/>
                      </w:rPr>
                      <m:t xml:space="preserve">j</m:t>
                    </m:r>
                    <m:r>
                      <w:rPr>
                        <w:rFonts w:ascii="Cambria Math" w:hAnsi="Cambria Math"/>
                      </w:rPr>
                      <m:t xml:space="preserve">,</m:t>
                    </m:r>
                    <m:r>
                      <w:rPr>
                        <w:rFonts w:ascii="Cambria Math" w:hAnsi="Cambria Math"/>
                      </w:rPr>
                      <m:t xml:space="preserve">t</m:t>
                    </m:r>
                  </m:sub>
                </m:sSub>
              </m:e>
            </m:nary>
          </m:e>
        </m:nary>
      </m:oMath>
      <w:r>
        <w:rPr/>
        <w:tab/>
        <w:tab/>
        <w:tab/>
        <w:tab/>
        <w:tab/>
        <w:t>(SI Eq 10)</w:t>
      </w:r>
    </w:p>
    <w:p>
      <w:pPr>
        <w:pStyle w:val="LOnormal"/>
        <w:spacing w:lineRule="auto" w:line="360"/>
        <w:rPr/>
      </w:pPr>
      <w:r>
        <w:rPr/>
        <w:t xml:space="preserve">In case of the time notation </w:t>
      </w:r>
      <w:r>
        <w:rPr>
          <w:i/>
        </w:rPr>
        <w:t>t=1</w:t>
      </w:r>
      <w:r>
        <w:rPr/>
        <w:t xml:space="preserve"> means 01/10/2018 and </w:t>
      </w:r>
      <w:r>
        <w:rPr>
          <w:i/>
        </w:rPr>
        <w:t>t=65</w:t>
      </w:r>
      <w:r>
        <w:rPr/>
        <w:t xml:space="preserve"> 11/05/2020, with weekly timesteps, whereas for age groups j={1,2} corresponds to under-5-year and over-65-year age groups.</w:t>
      </w:r>
    </w:p>
    <w:p>
      <w:pPr>
        <w:pStyle w:val="LOnormal"/>
        <w:spacing w:lineRule="auto" w:line="360"/>
        <w:rPr/>
      </w:pPr>
      <w:r>
        <w:rPr/>
        <w:t>Similarly, for attack rates, we assumed that the observed number of infections (</w:t>
      </w:r>
      <w:r>
        <w:rPr>
          <w:i/>
        </w:rPr>
        <w:t>n</w:t>
      </w:r>
      <w:r>
        <w:rPr>
          <w:i/>
          <w:vertAlign w:val="subscript"/>
        </w:rPr>
        <w:t>inf</w:t>
      </w:r>
      <w:r>
        <w:rPr/>
        <w:t>) out of the sample size (</w:t>
      </w:r>
      <w:r>
        <w:rPr>
          <w:i/>
        </w:rPr>
        <w:t>n</w:t>
      </w:r>
      <w:r>
        <w:rPr>
          <w:i/>
          <w:vertAlign w:val="subscript"/>
        </w:rPr>
        <w:t>sample</w:t>
      </w:r>
      <w:r>
        <w:rPr/>
        <w:t>) per age group follows a binomial distribution.</w:t>
      </w:r>
    </w:p>
    <w:p>
      <w:pPr>
        <w:pStyle w:val="LOnormal"/>
        <w:spacing w:lineRule="auto" w:line="360"/>
        <w:rPr/>
      </w:pPr>
      <w:r>
        <w:rPr/>
        <w:t xml:space="preserve">Then, the probability for the attack rate in age group </w:t>
      </w:r>
      <w:r>
        <w:rPr>
          <w:i/>
        </w:rPr>
        <w:t>j</w:t>
      </w:r>
      <w:r>
        <w:rPr/>
        <w:t>:</w:t>
      </w:r>
    </w:p>
    <w:p>
      <w:pPr>
        <w:pStyle w:val="LOnormal"/>
        <w:spacing w:lineRule="auto" w:line="360"/>
        <w:rPr/>
      </w:pPr>
      <w:r>
        <w:rPr>
          <w:i/>
        </w:rPr>
        <w:t>p_AR</w:t>
      </w:r>
      <w:r>
        <w:rPr>
          <w:i/>
          <w:vertAlign w:val="subscript"/>
        </w:rPr>
        <w:t>j</w:t>
      </w:r>
      <w:r>
        <w:rPr>
          <w:i/>
        </w:rPr>
        <w:t>=Binom(k=n_inf</w:t>
      </w:r>
      <w:r>
        <w:rPr>
          <w:i/>
          <w:vertAlign w:val="subscript"/>
        </w:rPr>
        <w:t xml:space="preserve">j </w:t>
      </w:r>
      <w:r>
        <w:rPr>
          <w:i/>
        </w:rPr>
        <w:t>, n=n_sample</w:t>
      </w:r>
      <w:r>
        <w:rPr>
          <w:i/>
          <w:vertAlign w:val="subscript"/>
        </w:rPr>
        <w:t xml:space="preserve">j </w:t>
      </w:r>
      <w:r>
        <w:rPr>
          <w:i/>
        </w:rPr>
        <w:t>, p=AR_simul</w:t>
      </w:r>
      <w:r>
        <w:rPr>
          <w:i/>
          <w:vertAlign w:val="subscript"/>
        </w:rPr>
        <w:t>j</w:t>
      </w:r>
      <w:r>
        <w:rPr>
          <w:i/>
        </w:rPr>
        <w:t>)</w:t>
        <w:tab/>
        <w:tab/>
        <w:tab/>
      </w:r>
      <w:r>
        <w:rPr/>
        <w:t>(SI Eq 11)</w:t>
      </w:r>
    </w:p>
    <w:p>
      <w:pPr>
        <w:pStyle w:val="LOnormal"/>
        <w:spacing w:lineRule="auto" w:line="360"/>
        <w:rPr/>
      </w:pPr>
      <w:r>
        <w:rPr/>
        <w:t>and the joint probability is</w:t>
      </w:r>
    </w:p>
    <w:p>
      <w:pPr>
        <w:pStyle w:val="LOnormal"/>
        <w:spacing w:lineRule="auto" w:line="360"/>
        <w:rPr/>
      </w:pPr>
      <w:r>
        <w:rPr/>
        <w:t xml:space="preserve"> </w:t>
      </w:r>
      <w:r>
        <w:rPr/>
      </w:r>
      <m:oMath xmlns:m="http://schemas.openxmlformats.org/officeDocument/2006/math">
        <m:r>
          <w:rPr>
            <w:rFonts w:ascii="Cambria Math" w:hAnsi="Cambria Math"/>
          </w:rPr>
          <m:t xml:space="preserve">Pr</m:t>
        </m:r>
        <m:d>
          <m:dPr>
            <m:begChr m:val="("/>
            <m:endChr m:val=")"/>
          </m:dPr>
          <m:e>
            <m:sSub>
              <m:e>
                <m:r>
                  <w:rPr>
                    <w:rFonts w:ascii="Cambria Math" w:hAnsi="Cambria Math"/>
                  </w:rPr>
                  <m:t xml:space="preserve">AR</m:t>
                </m:r>
              </m:e>
              <m:sub>
                <m:r>
                  <w:rPr>
                    <w:rFonts w:ascii="Cambria Math" w:hAnsi="Cambria Math"/>
                  </w:rPr>
                  <m:t xml:space="preserve">data</m:t>
                </m:r>
              </m:sub>
            </m:sSub>
            <m:r>
              <w:rPr>
                <w:rFonts w:ascii="Cambria Math" w:hAnsi="Cambria Math"/>
              </w:rPr>
              <m:t xml:space="preserve">|</m:t>
            </m:r>
            <m:sSub>
              <m:e>
                <m:r>
                  <w:rPr>
                    <w:rFonts w:ascii="Cambria Math" w:hAnsi="Cambria Math"/>
                  </w:rPr>
                  <m:t xml:space="preserve">AR</m:t>
                </m:r>
              </m:e>
              <m:sub>
                <m:r>
                  <w:rPr>
                    <w:rFonts w:ascii="Cambria Math" w:hAnsi="Cambria Math"/>
                  </w:rPr>
                  <m:t xml:space="preserve">simul</m:t>
                </m:r>
              </m:sub>
            </m:sSub>
          </m:e>
        </m:d>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11</m:t>
            </m:r>
          </m:sup>
          <m:e>
            <m:sSub>
              <m:e>
                <m:r>
                  <w:rPr>
                    <w:rFonts w:ascii="Cambria Math" w:hAnsi="Cambria Math"/>
                  </w:rPr>
                  <m:t xml:space="preserve">p</m:t>
                </m:r>
              </m:e>
              <m:sub>
                <m:r>
                  <w:rPr>
                    <w:rFonts w:ascii="Cambria Math" w:hAnsi="Cambria Math"/>
                  </w:rPr>
                  <m:t xml:space="preserve">AR</m:t>
                </m:r>
                <m:r>
                  <w:rPr>
                    <w:rFonts w:ascii="Cambria Math" w:hAnsi="Cambria Math"/>
                  </w:rPr>
                  <m:t xml:space="preserve">,</m:t>
                </m:r>
                <m:r>
                  <w:rPr>
                    <w:rFonts w:ascii="Cambria Math" w:hAnsi="Cambria Math"/>
                  </w:rPr>
                  <m:t xml:space="preserve">j</m:t>
                </m:r>
              </m:sub>
            </m:sSub>
          </m:e>
        </m:nary>
      </m:oMath>
      <w:r>
        <w:rPr/>
        <w:tab/>
        <w:tab/>
        <w:tab/>
        <w:tab/>
        <w:tab/>
        <w:tab/>
        <w:t>(SI Eq 12)</w:t>
      </w:r>
    </w:p>
    <w:p>
      <w:pPr>
        <w:pStyle w:val="LOnormal"/>
        <w:spacing w:lineRule="auto" w:line="360"/>
        <w:rPr/>
      </w:pPr>
      <w:r>
        <w:rPr/>
        <w:t>We combine these probabilities by taking their negative log-likelihood, so the total likelihood is:</w:t>
      </w:r>
    </w:p>
    <w:p>
      <w:pPr>
        <w:pStyle w:val="LOnormal"/>
        <w:spacing w:lineRule="auto" w:line="360"/>
        <w:rPr/>
      </w:pPr>
      <w:r>
        <w:rPr/>
        <w:t xml:space="preserve"> </w:t>
      </w:r>
      <w:r>
        <w:rPr/>
      </w:r>
      <m:oMath xmlns:m="http://schemas.openxmlformats.org/officeDocument/2006/math">
        <m:r>
          <w:rPr>
            <w:rFonts w:ascii="Cambria Math" w:hAnsi="Cambria Math"/>
          </w:rPr>
          <m:t xml:space="preserve">NegLL</m:t>
        </m:r>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65</m:t>
                </m:r>
              </m:sup>
              <m:e>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2</m:t>
                    </m:r>
                  </m:sup>
                  <m:e>
                    <m:r>
                      <w:rPr>
                        <w:rFonts w:ascii="Cambria Math" w:hAnsi="Cambria Math"/>
                      </w:rPr>
                      <m:t xml:space="preserve">log</m:t>
                    </m:r>
                    <m:d>
                      <m:dPr>
                        <m:begChr m:val="("/>
                        <m:endChr m:val=")"/>
                      </m:dPr>
                      <m:e>
                        <m:sSub>
                          <m:e>
                            <m:r>
                              <w:rPr>
                                <w:rFonts w:ascii="Cambria Math" w:hAnsi="Cambria Math"/>
                              </w:rPr>
                              <m:t xml:space="preserve">p</m:t>
                            </m:r>
                          </m:e>
                          <m:sub>
                            <m:r>
                              <w:rPr>
                                <w:rFonts w:ascii="Cambria Math" w:hAnsi="Cambria Math"/>
                              </w:rPr>
                              <m:t xml:space="preserve">hosp</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j</m:t>
                            </m:r>
                          </m:sub>
                        </m:sSub>
                      </m:e>
                    </m:d>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11</m:t>
                        </m:r>
                      </m:sup>
                      <m:e>
                        <m:r>
                          <w:rPr>
                            <w:rFonts w:ascii="Cambria Math" w:hAnsi="Cambria Math"/>
                          </w:rPr>
                          <m:t xml:space="preserve">log</m:t>
                        </m:r>
                        <m:d>
                          <m:dPr>
                            <m:begChr m:val="("/>
                            <m:endChr m:val=")"/>
                          </m:dPr>
                          <m:e>
                            <m:sSub>
                              <m:e>
                                <m:r>
                                  <w:rPr>
                                    <w:rFonts w:ascii="Cambria Math" w:hAnsi="Cambria Math"/>
                                  </w:rPr>
                                  <m:t xml:space="preserve">p</m:t>
                                </m:r>
                              </m:e>
                              <m:sub>
                                <m:r>
                                  <w:rPr>
                                    <w:rFonts w:ascii="Cambria Math" w:hAnsi="Cambria Math"/>
                                  </w:rPr>
                                  <m:t xml:space="preserve">AR</m:t>
                                </m:r>
                                <m:r>
                                  <w:rPr>
                                    <w:rFonts w:ascii="Cambria Math" w:hAnsi="Cambria Math"/>
                                  </w:rPr>
                                  <m:t xml:space="preserve">,</m:t>
                                </m:r>
                                <m:r>
                                  <w:rPr>
                                    <w:rFonts w:ascii="Cambria Math" w:hAnsi="Cambria Math"/>
                                  </w:rPr>
                                  <m:t xml:space="preserve">j</m:t>
                                </m:r>
                              </m:sub>
                            </m:sSub>
                          </m:e>
                        </m:d>
                      </m:e>
                    </m:nary>
                  </m:e>
                </m:nary>
              </m:e>
            </m:nary>
          </m:e>
        </m:d>
      </m:oMath>
      <w:r>
        <w:rPr/>
        <w:tab/>
        <w:tab/>
        <w:tab/>
        <w:tab/>
        <w:t>(SI Eq 13)</w:t>
      </w:r>
    </w:p>
    <w:p>
      <w:pPr>
        <w:pStyle w:val="LOnormal"/>
        <w:spacing w:lineRule="auto" w:line="360"/>
        <w:rPr/>
      </w:pPr>
      <w:r>
        <w:rPr/>
        <w:t>Because of the negative sign, a lower value means a higher likelihood.</w:t>
      </w:r>
    </w:p>
    <w:p>
      <w:pPr>
        <w:pStyle w:val="Normal"/>
        <w:rPr/>
      </w:pPr>
      <w:r>
        <w:rPr/>
      </w:r>
    </w:p>
    <w:sectPr>
      <w:type w:val="nextPage"/>
      <w:pgSz w:w="11906" w:h="16838"/>
      <w:pgMar w:left="1134" w:right="1134" w:header="0" w:top="1134" w:footer="0" w:bottom="1134" w:gutter="0"/>
      <w:lnNumType w:countBy="2" w:restart="newPage" w:distance="28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ource Sans Pro">
    <w:charset w:val="01"/>
    <w:family w:val="roman"/>
    <w:pitch w:val="variable"/>
  </w:font>
  <w:font w:name="Tahoma">
    <w:charset w:val="01"/>
    <w:family w:val="roman"/>
    <w:pitch w:val="variable"/>
  </w:font>
  <w:font w:name="Liberation Sans">
    <w:altName w:val="Arial"/>
    <w:charset w:val="01"/>
    <w:family w:val="roman"/>
    <w:pitch w:val="variable"/>
  </w:font>
  <w:font w:name="Source Sans Pro SemiBold">
    <w:charset w:val="01"/>
    <w:family w:val="roman"/>
    <w:pitch w:val="variable"/>
  </w:font>
  <w:font w:name="Arial">
    <w:charset w:val="01"/>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List" w:uiPriority="0"/>
    <w:lsdException w:name="Title" w:uiPriority="0" w:semiHidden="0" w:unhideWhenUsed="0" w:qFormat="1"/>
    <w:lsdException w:name="Default Paragraph Font" w:uiPriority="1"/>
    <w:lsdException w:name="Body Text" w:uiPriority="0"/>
    <w:lsdException w:name="Subtitle" w:uiPriority="11" w:semiHidden="0" w:unhideWhenUsed="0" w:qFormat="1"/>
    <w:lsdException w:name="Hyperlink" w:uiPriority="0"/>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77ee9"/>
    <w:pPr>
      <w:widowControl/>
      <w:suppressAutoHyphens w:val="true"/>
      <w:bidi w:val="0"/>
      <w:spacing w:lineRule="auto" w:line="240"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LOnormal"/>
    <w:next w:val="LOnormal"/>
    <w:link w:val="Heading1Char"/>
    <w:qFormat/>
    <w:rsid w:val="00777ee9"/>
    <w:pPr>
      <w:keepNext w:val="true"/>
      <w:keepLines/>
      <w:spacing w:lineRule="auto" w:line="240" w:before="400" w:after="120"/>
      <w:outlineLvl w:val="0"/>
    </w:pPr>
    <w:rPr>
      <w:sz w:val="40"/>
      <w:szCs w:val="40"/>
    </w:rPr>
  </w:style>
  <w:style w:type="paragraph" w:styleId="Heading2">
    <w:name w:val="Heading 2"/>
    <w:basedOn w:val="LOnormal"/>
    <w:next w:val="LOnormal"/>
    <w:link w:val="Heading2Char"/>
    <w:qFormat/>
    <w:rsid w:val="00777ee9"/>
    <w:pPr>
      <w:keepNext w:val="true"/>
      <w:keepLines/>
      <w:spacing w:lineRule="auto" w:line="240" w:before="360" w:after="120"/>
      <w:outlineLvl w:val="1"/>
    </w:pPr>
    <w:rPr>
      <w:sz w:val="28"/>
      <w:szCs w:val="28"/>
    </w:rPr>
  </w:style>
  <w:style w:type="paragraph" w:styleId="Heading3">
    <w:name w:val="Heading 3"/>
    <w:basedOn w:val="LOnormal"/>
    <w:next w:val="LOnormal"/>
    <w:link w:val="Heading3Char"/>
    <w:qFormat/>
    <w:rsid w:val="00777ee9"/>
    <w:pPr>
      <w:keepNext w:val="true"/>
      <w:keepLines/>
      <w:spacing w:lineRule="auto" w:line="240" w:before="320" w:after="80"/>
      <w:outlineLvl w:val="2"/>
    </w:pPr>
    <w:rPr>
      <w:color w:val="434343"/>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777ee9"/>
    <w:rPr>
      <w:rFonts w:ascii="Source Sans Pro" w:hAnsi="Source Sans Pro" w:eastAsia="Source Sans Pro" w:cs="Source Sans Pro"/>
      <w:sz w:val="40"/>
      <w:szCs w:val="40"/>
      <w:lang w:val="en-US" w:eastAsia="zh-CN" w:bidi="hi-IN"/>
    </w:rPr>
  </w:style>
  <w:style w:type="character" w:styleId="Heading2Char" w:customStyle="1">
    <w:name w:val="Heading 2 Char"/>
    <w:basedOn w:val="DefaultParagraphFont"/>
    <w:link w:val="Heading2"/>
    <w:qFormat/>
    <w:rsid w:val="00777ee9"/>
    <w:rPr>
      <w:rFonts w:ascii="Source Sans Pro" w:hAnsi="Source Sans Pro" w:eastAsia="Source Sans Pro" w:cs="Source Sans Pro"/>
      <w:sz w:val="28"/>
      <w:szCs w:val="28"/>
      <w:lang w:val="en-US" w:eastAsia="zh-CN" w:bidi="hi-IN"/>
    </w:rPr>
  </w:style>
  <w:style w:type="character" w:styleId="Heading3Char" w:customStyle="1">
    <w:name w:val="Heading 3 Char"/>
    <w:basedOn w:val="DefaultParagraphFont"/>
    <w:link w:val="Heading3"/>
    <w:qFormat/>
    <w:rsid w:val="00777ee9"/>
    <w:rPr>
      <w:rFonts w:ascii="Source Sans Pro" w:hAnsi="Source Sans Pro" w:eastAsia="Source Sans Pro" w:cs="Source Sans Pro"/>
      <w:color w:val="434343"/>
      <w:sz w:val="28"/>
      <w:szCs w:val="28"/>
      <w:lang w:val="en-US" w:eastAsia="zh-CN" w:bidi="hi-IN"/>
    </w:rPr>
  </w:style>
  <w:style w:type="character" w:styleId="InternetLink">
    <w:name w:val="Hyperlink"/>
    <w:rsid w:val="00777ee9"/>
    <w:rPr>
      <w:color w:val="000080"/>
      <w:u w:val="single"/>
    </w:rPr>
  </w:style>
  <w:style w:type="character" w:styleId="LineNumbering" w:customStyle="1">
    <w:name w:val="Line Numbering"/>
    <w:rsid w:val="00777ee9"/>
    <w:rPr/>
  </w:style>
  <w:style w:type="character" w:styleId="BodyTextChar" w:customStyle="1">
    <w:name w:val="Body Text Char"/>
    <w:basedOn w:val="DefaultParagraphFont"/>
    <w:link w:val="BodyText"/>
    <w:qFormat/>
    <w:rsid w:val="00777ee9"/>
    <w:rPr>
      <w:rFonts w:ascii="Liberation Serif" w:hAnsi="Liberation Serif" w:eastAsia="Noto Serif CJK SC" w:cs="Lohit Devanagari"/>
      <w:kern w:val="2"/>
      <w:sz w:val="24"/>
      <w:szCs w:val="24"/>
      <w:lang w:val="en-GB" w:eastAsia="zh-CN" w:bidi="hi-IN"/>
    </w:rPr>
  </w:style>
  <w:style w:type="character" w:styleId="TitleChar" w:customStyle="1">
    <w:name w:val="Title Char"/>
    <w:basedOn w:val="DefaultParagraphFont"/>
    <w:link w:val="Title"/>
    <w:qFormat/>
    <w:rsid w:val="00777ee9"/>
    <w:rPr>
      <w:rFonts w:ascii="Source Sans Pro" w:hAnsi="Source Sans Pro" w:eastAsia="Source Sans Pro" w:cs="Source Sans Pro"/>
      <w:sz w:val="52"/>
      <w:szCs w:val="52"/>
      <w:lang w:val="en-US" w:eastAsia="zh-CN" w:bidi="hi-IN"/>
    </w:rPr>
  </w:style>
  <w:style w:type="character" w:styleId="FooterChar" w:customStyle="1">
    <w:name w:val="Footer Char"/>
    <w:basedOn w:val="DefaultParagraphFont"/>
    <w:link w:val="Footer"/>
    <w:qFormat/>
    <w:rsid w:val="00777ee9"/>
    <w:rPr>
      <w:rFonts w:ascii="Liberation Serif" w:hAnsi="Liberation Serif" w:eastAsia="Noto Serif CJK SC" w:cs="Lohit Devanagari"/>
      <w:kern w:val="2"/>
      <w:sz w:val="24"/>
      <w:szCs w:val="24"/>
      <w:lang w:val="en-GB" w:eastAsia="zh-CN" w:bidi="hi-IN"/>
    </w:rPr>
  </w:style>
  <w:style w:type="character" w:styleId="HeaderChar" w:customStyle="1">
    <w:name w:val="Header Char"/>
    <w:basedOn w:val="DefaultParagraphFont"/>
    <w:link w:val="Header"/>
    <w:qFormat/>
    <w:rsid w:val="00777ee9"/>
    <w:rPr>
      <w:rFonts w:ascii="Liberation Serif" w:hAnsi="Liberation Serif" w:eastAsia="Noto Serif CJK SC" w:cs="Lohit Devanagari"/>
      <w:kern w:val="2"/>
      <w:sz w:val="24"/>
      <w:szCs w:val="24"/>
      <w:lang w:val="en-GB" w:eastAsia="zh-CN" w:bidi="hi-IN"/>
    </w:rPr>
  </w:style>
  <w:style w:type="character" w:styleId="Linenumber">
    <w:name w:val="line number"/>
    <w:basedOn w:val="DefaultParagraphFont"/>
    <w:uiPriority w:val="99"/>
    <w:semiHidden/>
    <w:unhideWhenUsed/>
    <w:qFormat/>
    <w:rsid w:val="00777ee9"/>
    <w:rPr/>
  </w:style>
  <w:style w:type="character" w:styleId="BalloonTextChar" w:customStyle="1">
    <w:name w:val="Balloon Text Char"/>
    <w:basedOn w:val="DefaultParagraphFont"/>
    <w:link w:val="BalloonText"/>
    <w:uiPriority w:val="99"/>
    <w:semiHidden/>
    <w:qFormat/>
    <w:rsid w:val="00777ee9"/>
    <w:rPr>
      <w:rFonts w:ascii="Tahoma" w:hAnsi="Tahoma" w:eastAsia="Noto Serif CJK SC" w:cs="Mangal"/>
      <w:kern w:val="2"/>
      <w:sz w:val="16"/>
      <w:szCs w:val="14"/>
      <w:lang w:val="en-GB" w:eastAsia="zh-CN" w:bidi="hi-IN"/>
    </w:rPr>
  </w:style>
  <w:style w:type="paragraph" w:styleId="Heading" w:customStyle="1">
    <w:name w:val="Heading"/>
    <w:basedOn w:val="Normal"/>
    <w:next w:val="TextBody"/>
    <w:qFormat/>
    <w:rsid w:val="00777ee9"/>
    <w:pPr>
      <w:keepNext w:val="true"/>
      <w:spacing w:before="240" w:after="120"/>
    </w:pPr>
    <w:rPr>
      <w:rFonts w:ascii="Liberation Sans" w:hAnsi="Liberation Sans" w:eastAsia="Noto Sans CJK SC"/>
      <w:sz w:val="28"/>
      <w:szCs w:val="28"/>
    </w:rPr>
  </w:style>
  <w:style w:type="paragraph" w:styleId="TextBody">
    <w:name w:val="Body Text"/>
    <w:basedOn w:val="Normal"/>
    <w:link w:val="BodyTextChar"/>
    <w:rsid w:val="00777ee9"/>
    <w:pPr>
      <w:spacing w:lineRule="auto" w:line="276" w:before="0" w:after="140"/>
    </w:pPr>
    <w:rPr/>
  </w:style>
  <w:style w:type="paragraph" w:styleId="List">
    <w:name w:val="List"/>
    <w:basedOn w:val="TextBody"/>
    <w:rsid w:val="00777ee9"/>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rsid w:val="00777ee9"/>
    <w:pPr>
      <w:suppressLineNumbers/>
    </w:pPr>
    <w:rPr/>
  </w:style>
  <w:style w:type="paragraph" w:styleId="Caption1">
    <w:name w:val="caption"/>
    <w:basedOn w:val="Normal"/>
    <w:qFormat/>
    <w:rsid w:val="00777ee9"/>
    <w:pPr>
      <w:suppressLineNumbers/>
      <w:spacing w:before="120" w:after="120"/>
    </w:pPr>
    <w:rPr>
      <w:i/>
      <w:iCs/>
    </w:rPr>
  </w:style>
  <w:style w:type="paragraph" w:styleId="LOnormal" w:customStyle="1">
    <w:name w:val="LO-normal"/>
    <w:qFormat/>
    <w:rsid w:val="00777ee9"/>
    <w:pPr>
      <w:widowControl/>
      <w:suppressAutoHyphens w:val="true"/>
      <w:bidi w:val="0"/>
      <w:spacing w:lineRule="auto" w:line="276" w:before="0" w:after="0"/>
      <w:jc w:val="both"/>
    </w:pPr>
    <w:rPr>
      <w:rFonts w:ascii="Source Sans Pro" w:hAnsi="Source Sans Pro" w:eastAsia="Source Sans Pro" w:cs="Source Sans Pro"/>
      <w:color w:val="auto"/>
      <w:kern w:val="0"/>
      <w:sz w:val="24"/>
      <w:szCs w:val="24"/>
      <w:lang w:val="en-US" w:eastAsia="zh-CN" w:bidi="hi-IN"/>
    </w:rPr>
  </w:style>
  <w:style w:type="paragraph" w:styleId="Title">
    <w:name w:val="Title"/>
    <w:basedOn w:val="LOnormal"/>
    <w:next w:val="LOnormal"/>
    <w:link w:val="TitleChar"/>
    <w:qFormat/>
    <w:rsid w:val="00777ee9"/>
    <w:pPr>
      <w:keepNext w:val="true"/>
      <w:keepLines/>
      <w:spacing w:lineRule="auto" w:line="240" w:before="0" w:after="60"/>
    </w:pPr>
    <w:rPr>
      <w:sz w:val="52"/>
      <w:szCs w:val="52"/>
    </w:rPr>
  </w:style>
  <w:style w:type="paragraph" w:styleId="FrameContents" w:customStyle="1">
    <w:name w:val="Frame Contents"/>
    <w:basedOn w:val="Normal"/>
    <w:qFormat/>
    <w:rsid w:val="00777ee9"/>
    <w:pPr/>
    <w:rPr/>
  </w:style>
  <w:style w:type="paragraph" w:styleId="HeaderandFooter" w:customStyle="1">
    <w:name w:val="Header and Footer"/>
    <w:basedOn w:val="Normal"/>
    <w:qFormat/>
    <w:rsid w:val="00777ee9"/>
    <w:pPr>
      <w:suppressLineNumbers/>
      <w:tabs>
        <w:tab w:val="clear" w:pos="720"/>
        <w:tab w:val="center" w:pos="4819" w:leader="none"/>
        <w:tab w:val="right" w:pos="9638" w:leader="none"/>
      </w:tabs>
    </w:pPr>
    <w:rPr/>
  </w:style>
  <w:style w:type="paragraph" w:styleId="Footer">
    <w:name w:val="Footer"/>
    <w:basedOn w:val="HeaderandFooter"/>
    <w:link w:val="FooterChar"/>
    <w:rsid w:val="00777ee9"/>
    <w:pPr>
      <w:suppressLineNumbers/>
    </w:pPr>
    <w:rPr/>
  </w:style>
  <w:style w:type="paragraph" w:styleId="Header">
    <w:name w:val="Header"/>
    <w:basedOn w:val="HeaderandFooter"/>
    <w:link w:val="HeaderChar"/>
    <w:rsid w:val="00777ee9"/>
    <w:pPr>
      <w:suppressLineNumbers/>
    </w:pPr>
    <w:rPr/>
  </w:style>
  <w:style w:type="paragraph" w:styleId="BalloonText">
    <w:name w:val="Balloon Text"/>
    <w:basedOn w:val="Normal"/>
    <w:link w:val="BalloonTextChar"/>
    <w:uiPriority w:val="99"/>
    <w:semiHidden/>
    <w:unhideWhenUsed/>
    <w:qFormat/>
    <w:rsid w:val="00777ee9"/>
    <w:pPr/>
    <w:rPr>
      <w:rFonts w:ascii="Tahoma" w:hAnsi="Tahoma" w:cs="Mangal"/>
      <w:sz w:val="16"/>
      <w:szCs w:val="14"/>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yperlink" Target="https://github.com/mbkoltai/RSV-model"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LibreOffice/6.4.7.2$Linux_X86_64 LibreOffice_project/40$Build-2</Application>
  <Pages>22</Pages>
  <Words>2440</Words>
  <Characters>12917</Characters>
  <CharactersWithSpaces>15226</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2022-07-21T07:24:00Z</dcterms:created>
  <dc:creator>Snehdeep dabral</dc:creator>
  <dc:description/>
  <dc:language>en-GB</dc:language>
  <cp:lastModifiedBy>Mihaly Koltai</cp:lastModifiedBy>
  <dcterms:modified xsi:type="dcterms:W3CDTF">2022-07-22T16:44:13Z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