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Forecast Results Table: Final Selected Rows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9"/>
        <w:gridCol w:w="504"/>
        <w:gridCol w:w="619"/>
        <w:gridCol w:w="1181"/>
        <w:gridCol w:w="346"/>
        <w:gridCol w:w="1109"/>
        <w:gridCol w:w="432"/>
        <w:gridCol w:w="792"/>
        <w:gridCol w:w="691"/>
        <w:gridCol w:w="792"/>
        <w:gridCol w:w="648"/>
        <w:gridCol w:w="648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Selected row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R2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QLIKE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Info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RMSE gain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R2 OOS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QLIKE gain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R2 60m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2"/>
                <w:szCs w:val="12"/>
                <w:color w:val="000000"/>
              </w:rPr>
              <w:t xml:space="preserve">R2 180m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Best HAR+Option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Elastic Net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0.07561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0.87795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0.02351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0.69166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0.54316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Best info-set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HAR+Option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0.06788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0.82701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0.85182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0.46923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Stacked 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Stacked 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0.06620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0.81483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0.00872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0.94379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0.40429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Best method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Random Forest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0.06501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0.80587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0.01025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0.95101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0.44483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Best 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HAR+Macro+Option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0.06474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0.80385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0.01049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0.94583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0.45218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Best HAR-only 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HAR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0.06250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0.78640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0.88316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0.32469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Best 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Random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HAR+Macro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0.05850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0.75336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-0.01556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0.88002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0.26018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Stacked 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Stacked Elastic 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0.74467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0.87199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0.51322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All-ML 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Equal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0.04731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0.64845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0.82573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0.44357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HAR benchmark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OLS HAR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HAR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155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4" w:before="24" w:line="240"/>
              <w:ind w:left="24" w:right="24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3"/>
                <w:szCs w:val="13"/>
                <w:color w:val="000000"/>
              </w:rPr>
              <w:t xml:space="preserve">0.00000</w:t>
            </w:r>
          </w:p>
        </w:tc>
      </w:tr>
    </w:tbl>
    <w:p>
      <w:pPr>
        <w:pStyle w:val="Normal"/>
      </w:pPr>
      <w:r>
        <w:t xml:space="preserve">Notes: selected from the existing main forecast table and sorted by 120-month OOS R2 rank. Gain columns are versus HAR; positive RMSE gain means lower RMSE than HAR. M is the number of forecasts in a combination.</w:t>
      </w:r>
    </w:p>
    <w:sectPr>
      <w:pgMar w:header="360" w:bottom="648" w:top="648" w:right="648" w:left="648" w:footer="360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benkri</cp:lastModifiedBy>
  <cp:revision>9</cp:revision>
  <dcterms:created xsi:type="dcterms:W3CDTF">2017-02-28T11:18:00Z</dcterms:created>
  <dcterms:modified xsi:type="dcterms:W3CDTF">2026-05-04T15:25:11Z</dcterms:modified>
  <cp:category/>
</cp:coreProperties>
</file>