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lineRule="auto" w:line="240" w:before="480" w:after="240"/>
        <w:ind w:hanging="0" w:left="0"/>
        <w:jc w:val="left"/>
        <w:rPr/>
      </w:pPr>
      <w:bookmarkStart w:id="2" w:name="__RefHeading___Toc871_3344599825"/>
      <w:bookmarkStart w:id="3" w:name="_heading=h.o56papiwb290"/>
      <w:bookmarkEnd w:id="2"/>
      <w:bookmarkEnd w:id="3"/>
      <w:r>
        <w:rPr>
          <w:rFonts w:ascii="Arial" w:hAnsi="Arial"/>
          <w:b/>
          <w:color w:val="1F3346"/>
          <w:sz w:val="32"/>
        </w:rPr>
        <w:t>Anexo A — Diccionario de Datos</w:t>
      </w:r>
    </w:p>
    <w:p>
      <w:pPr>
        <w:pStyle w:val="normal1"/>
        <w:spacing w:lineRule="auto" w:line="336" w:before="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2"/>
          <w:szCs w:val="24"/>
        </w:rPr>
        <w:t>Documento de referencia del informe de requerimientos del Sistema de Gestión de Transporte Interurbano. Detalla las catorce entidades del modelo con sus atributos, tipos de dato y restricciones, tal como están implementadas en el script DDL.</w:t>
      </w:r>
    </w:p>
    <w:p>
      <w:pPr>
        <w:pStyle w:val="normal1"/>
        <w:spacing w:lineRule="auto" w:line="336" w:before="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2"/>
          <w:szCs w:val="24"/>
        </w:rPr>
        <w:t>Las entidades se agrupan según el proceso del negocio al que sirven.</w:t>
      </w:r>
    </w:p>
    <w:p>
      <w:pPr>
        <w:pStyle w:val="Heading2"/>
        <w:keepNext w:val="true"/>
        <w:keepLines/>
        <w:spacing w:lineRule="auto" w:line="240" w:before="320" w:after="120"/>
        <w:ind w:hanging="0" w:left="0"/>
        <w:jc w:val="left"/>
        <w:rPr>
          <w:rFonts w:ascii="Arial" w:hAnsi="Arial" w:eastAsia="Arial" w:cs="Arial"/>
          <w:sz w:val="28"/>
          <w:szCs w:val="28"/>
        </w:rPr>
        <w:keepNext w:val="1"/>
      </w:pPr>
      <w:bookmarkStart w:id="6" w:name="__RefHeading___Toc891_3344599825"/>
      <w:bookmarkStart w:id="7" w:name="_heading=h.t96da38rx80h"/>
      <w:bookmarkEnd w:id="6"/>
      <w:bookmarkEnd w:id="7"/>
      <w:r>
        <w:rPr>
          <w:rFonts w:eastAsia="Arial" w:cs="Arial" w:ascii="Arial" w:hAnsi="Arial"/>
          <w:b/>
          <w:color w:val="1F3346"/>
          <w:sz w:val="25"/>
          <w:szCs w:val="28"/>
        </w:rPr>
        <w:t>A.1 Catálogos</w:t>
      </w:r>
    </w:p>
    <w:p>
      <w:pPr>
        <w:pStyle w:val="normal1"/>
        <w:spacing w:lineRule="auto" w:line="336" w:before="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2"/>
          <w:szCs w:val="24"/>
        </w:rPr>
        <w:t>Definen el marco estable sobre el que opera el negocio: los lugares, las clasificaciones y los estados que el resto de las entidades referencia.</w:t>
      </w:r>
    </w:p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TERMINAL — punto de embarque y de llegada de los buses.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id_terminal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nombre_terminal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VARCHAR2(60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UNIQUE junto a ciudad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ciudad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VARCHAR2(60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UNIQUE junto a nombre_terminal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direccion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VARCHAR2(120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</w:tbl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RUTA — trayecto entre un terminal de origen y uno de destino. La duración determina cuántos conductores exige el viaje según RN-10.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id_ruta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id_terminal_origen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TERMINAL, UNIQUE junto a destino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id_terminal_destino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TERMINAL, UNIQUE junto a origen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distancia_km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mayor que cero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duracion_estimada_min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mayor que cero</w:t>
            </w:r>
          </w:p>
        </w:tc>
      </w:tr>
    </w:tbl>
    <w:p>
      <w:pPr>
        <w:pStyle w:val="normal1"/>
        <w:spacing w:lineRule="auto" w:line="336" w:before="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2"/>
          <w:szCs w:val="24"/>
        </w:rPr>
        <w:t>Incluye una restricción que impide que origen y destino sean el mismo terminal, con lo que se materializa RN-02.</w:t>
      </w:r>
    </w:p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TIPO_ASIENTO — clasifica los asientos y, junto con la ruta, determina el precio.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id_tipo_asiento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codigo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VARCHAR2(5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UNIQUE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</w:tbl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ESTADO_PASAJE — los cuatro estados del ciclo de vida del pasaje. El atributo ocupa_asiento indica si el estado mantiene el asiento tomado, lo que convierte la liberación por anulación en un dato del catálogo.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id_estado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codigo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VARCHAR2(5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UNIQUE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ocupa_asiento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CHAR(1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en ('S','N')</w:t>
            </w:r>
          </w:p>
        </w:tc>
      </w:tr>
    </w:tbl>
    <w:p>
      <w:pPr>
        <w:pStyle w:val="Heading2"/>
        <w:keepNext w:val="true"/>
        <w:keepLines/>
        <w:spacing w:lineRule="auto" w:line="240" w:before="320" w:after="120"/>
        <w:ind w:hanging="0" w:left="0"/>
        <w:jc w:val="left"/>
        <w:rPr>
          <w:rFonts w:ascii="Arial" w:hAnsi="Arial" w:eastAsia="Arial" w:cs="Arial"/>
          <w:sz w:val="28"/>
          <w:szCs w:val="28"/>
        </w:rPr>
        <w:keepNext w:val="1"/>
      </w:pPr>
      <w:bookmarkStart w:id="6" w:name="__RefHeading___Toc891_3344599825"/>
      <w:bookmarkStart w:id="7" w:name="_heading=h.t96da38rx80h"/>
      <w:bookmarkEnd w:id="6"/>
      <w:bookmarkEnd w:id="7"/>
      <w:r>
        <w:rPr>
          <w:rFonts w:eastAsia="Arial" w:cs="Arial" w:ascii="Arial" w:hAnsi="Arial"/>
          <w:b/>
          <w:color w:val="1F3346"/>
          <w:sz w:val="25"/>
          <w:szCs w:val="28"/>
        </w:rPr>
        <w:t>A.2 Flota</w:t>
      </w:r>
    </w:p>
    <w:p>
      <w:pPr>
        <w:pStyle w:val="normal1"/>
        <w:spacing w:lineRule="auto" w:line="336" w:before="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2"/>
          <w:szCs w:val="24"/>
        </w:rPr>
        <w:t>El asiento pertenece al bus y no al viaje, por lo que la capacidad de un bus es la cantidad de asientos registrados para él y no un número declarado aparte que pudiera contradecirla.</w:t>
      </w:r>
    </w:p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BUS — cada unidad de la flota.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id_bus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patente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VARCHAR2(8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UNIQUE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modelo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VARCHAR2(60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anio_fabricacion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entre 1980 y 2100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fecha_compra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</w:tbl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ASIENTO — cada asiento físico de un bus. Clave primaria compuesta: el número de asiento sólo tiene sentido dentro de su bus. Materializa RN-01.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id_bus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PK compuesta, NOT NULL, FK a BUS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nro_asiento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PK compuesta, NOT NULL, CHECK mayor que cero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id_tipo_asiento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TIPO_ASIENTO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piso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en (1,2)</w:t>
            </w:r>
          </w:p>
        </w:tc>
      </w:tr>
    </w:tbl>
    <w:p>
      <w:pPr>
        <w:pStyle w:val="Heading2"/>
        <w:keepNext w:val="true"/>
        <w:keepLines/>
        <w:spacing w:lineRule="auto" w:line="240" w:before="320" w:after="120"/>
        <w:ind w:hanging="0" w:left="0"/>
        <w:jc w:val="left"/>
        <w:rPr>
          <w:rFonts w:ascii="Arial" w:hAnsi="Arial" w:eastAsia="Arial" w:cs="Arial"/>
          <w:sz w:val="28"/>
          <w:szCs w:val="28"/>
        </w:rPr>
        <w:keepNext w:val="1"/>
      </w:pPr>
      <w:bookmarkStart w:id="6" w:name="__RefHeading___Toc891_3344599825"/>
      <w:bookmarkStart w:id="7" w:name="_heading=h.t96da38rx80h"/>
      <w:bookmarkEnd w:id="6"/>
      <w:bookmarkEnd w:id="7"/>
      <w:r>
        <w:rPr>
          <w:rFonts w:eastAsia="Arial" w:cs="Arial" w:ascii="Arial" w:hAnsi="Arial"/>
          <w:b/>
          <w:color w:val="1F3346"/>
          <w:sz w:val="25"/>
          <w:szCs w:val="28"/>
        </w:rPr>
        <w:t>A.3 Operación</w:t>
      </w:r>
    </w:p>
    <w:p>
      <w:pPr>
        <w:pStyle w:val="normal1"/>
        <w:spacing w:lineRule="auto" w:line="336" w:before="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2"/>
          <w:szCs w:val="24"/>
        </w:rPr>
        <w:t>El viaje guarda la salida y la llegada programadas como instantes, lo que permite comparar intervalos y detectar superposiciones de bus y de conductor.</w:t>
      </w:r>
    </w:p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CONDUCTOR — personal habilitado para conducir los servicios.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id_conductor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run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NUMBER(8)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UNIQUE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dv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CHAR(1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dígito o K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pnombre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snombre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opcional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papellido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sapellido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opcional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nro_licencia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VARCHAR2(20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UNIQUE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fecha_contrato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</w:tbl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VIAJE — el servicio programado. Reemplaza a las entidades servicio y horario del modelo inicial, porque los instantes de salida y llegada son atributos del viaje y no una entidad aparte.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id_viaje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id_ruta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RUTA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id_bus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BUS, UNIQUE junto a id_viaje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salida_prog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llegada_prog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posterior a salida_prog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estado_viaje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VARCHAR2(3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DEFAULT 'PRO', CHECK en (PRO, ENC, FIN, CAN)</w:t>
            </w:r>
          </w:p>
        </w:tc>
      </w:tr>
    </w:tbl>
    <w:p>
      <w:pPr>
        <w:pStyle w:val="normal1"/>
        <w:spacing w:lineRule="auto" w:line="336" w:before="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2"/>
          <w:szCs w:val="24"/>
        </w:rPr>
        <w:t>La clave única sobre el par viaje-bus parece redundante, pero es la que habilita la clave foránea compuesta de PASAJE que ata el asiento vendido al bus que efectivamente realiza el viaje.</w:t>
      </w:r>
    </w:p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VIAJE_CONDUCTOR — asocia cada viaje con su tripulación. Es tabla puente porque RN-10 obliga a llevar relevo cuando la duración supera las cinco horas.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id_viaje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PK compuesta, NOT NULL, FK a VIAJE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id_conductor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PK compuesta, NOT NULL, FK a CONDUCTOR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rol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VARCHAR2(3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DEFAULT 'TIT', CHECK en (TIT, REL)</w:t>
            </w:r>
          </w:p>
        </w:tc>
      </w:tr>
    </w:tbl>
    <w:p>
      <w:pPr>
        <w:pStyle w:val="Heading2"/>
        <w:keepNext w:val="true"/>
        <w:keepLines/>
        <w:spacing w:lineRule="auto" w:line="240" w:before="320" w:after="120"/>
        <w:ind w:hanging="0" w:left="0"/>
        <w:jc w:val="left"/>
        <w:rPr>
          <w:rFonts w:ascii="Arial" w:hAnsi="Arial" w:eastAsia="Arial" w:cs="Arial"/>
          <w:sz w:val="28"/>
          <w:szCs w:val="28"/>
        </w:rPr>
        <w:keepNext w:val="1"/>
      </w:pPr>
      <w:bookmarkStart w:id="6" w:name="__RefHeading___Toc891_3344599825"/>
      <w:bookmarkStart w:id="7" w:name="_heading=h.t96da38rx80h"/>
      <w:bookmarkEnd w:id="6"/>
      <w:bookmarkEnd w:id="7"/>
      <w:r>
        <w:rPr>
          <w:rFonts w:eastAsia="Arial" w:cs="Arial" w:ascii="Arial" w:hAnsi="Arial"/>
          <w:b/>
          <w:color w:val="1F3346"/>
          <w:sz w:val="25"/>
          <w:szCs w:val="28"/>
        </w:rPr>
        <w:t>A.4 Comercial</w:t>
      </w:r>
    </w:p>
    <w:p>
      <w:pPr>
        <w:pStyle w:val="normal1"/>
        <w:spacing w:lineRule="auto" w:line="336" w:before="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2"/>
          <w:szCs w:val="24"/>
        </w:rPr>
        <w:t>El pasaje es la entidad central del negocio y el historial deja rastro de cada transición de estado, de modo que una anulación no borre la evidencia de que hubo una venta.</w:t>
      </w:r>
    </w:p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PASAJERO — quien viaja. Su registro es prerrequisito para adquirir un pasaje.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id_pasajero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run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NUMBER(8)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UNIQUE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dv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CHAR(1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dígito o K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pnombre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snombre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opcional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papellido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sapellido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opcional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mail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VARCHAR2(80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opcional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telefono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VARCHAR2(20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opcional</w:t>
            </w:r>
          </w:p>
        </w:tc>
      </w:tr>
    </w:tbl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TARIFA — precio por ruta, tipo de asiento y vigencia: las tres dimensiones que exige RN-07. Una tarifa nueva es una fila nueva, nunca una modificación de la anterior.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id_tarifa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id_ruta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RUTA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id_tipo_asiento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TIPO_ASIENTO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vigencia_desde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UNIQUE junto a ruta y tipo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vigencia_hasta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opcional, CHECK posterior a vigencia_desde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precio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NUMBER(10,2)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mayor o igual a cero</w:t>
            </w:r>
          </w:p>
        </w:tc>
      </w:tr>
    </w:tbl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VENTA — cabecera comercial que agrupa uno o más pasajes. No almacena el total: es la suma de sus pasajes, y calcularlo evita que ambos valores se contradigan.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id_venta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id_pasajero_comprador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PASAJERO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fecha_hora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DEFAULT SYSTIMESTAMP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canal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VARCHAR2(3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en (WEB, MOV, TER, AGE)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medio_pago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VARCHAR2(3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en (TDC, TDB, EFE, TRA)</w:t>
            </w:r>
          </w:p>
        </w:tc>
      </w:tr>
    </w:tbl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PASAJE — la entidad central. Un pasajero, un viaje, un asiento y un estado. El pasajero se asocia al pasaje y no a la venta, lo que permite que una compra cubra a varios viajeros distintos (RN-05).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id_pasaje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NUMBER(12)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PRIMARY KEY, 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id_venta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VENTA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id_viaje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compuesta a VIAJE junto a id_bus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id_bus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NUMBER(6)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participa en las dos FK compuestas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nro_asiento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compuesta a ASIENTO junto a id_bus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id_pasajero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PASAJERO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id_tarifa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TARIFA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precio_aplicado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NUMBER(10,2)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CHECK mayor o igual a cero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descuento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NUMBER(10,2)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DEFAULT 0, CHECK no mayor que precio_aplicado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id_estado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ESTADO_PASAJE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fecha_emision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DEFAULT SYSTIMESTAMP</w:t>
            </w:r>
          </w:p>
        </w:tc>
      </w:tr>
    </w:tbl>
    <w:p>
      <w:pPr>
        <w:pStyle w:val="normal1"/>
        <w:spacing w:lineRule="auto" w:line="336" w:before="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2"/>
          <w:szCs w:val="24"/>
        </w:rPr>
        <w:t>El atributo precio_aplicado no es redundante con TARIFA: es el precio congelado en el instante de la venta. Si la tarifa cambia después, el pasaje emitido conserva el valor con que se vendió.</w:t>
      </w:r>
    </w:p>
    <w:p>
      <w:pPr>
        <w:pStyle w:val="normal1"/>
        <w:spacing w:lineRule="auto" w:line="336" w:before="160" w:afterAutospacing="0" w:after="120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color w:val="1F3346"/>
          <w:sz w:val="22"/>
          <w:szCs w:val="24"/>
        </w:rPr>
        <w:t>PASAJE_ESTADO_HIST — cada transición de estado de un pasaje. Sin este historial una anulación sería indistinguible de una venta que nunca ocurrió.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Nombre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Tipo de Dato</w:t>
            </w:r>
          </w:p>
        </w:tc>
        <w:tc>
          <w:tcPr>
            <w:tcW w:type="dxa" w:w="3135"/>
            <w:shd w:val="clear" w:color="auto" w:fill="DDE3E8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b/>
                <w:sz w:val="20"/>
              </w:rPr>
              <w:t>Restricciones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id_pasaje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NUMBER(12)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PK compuesta, NOT NULL, FK a PASAJE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secuencia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PK compuesta, NOT NULL, CHECK mayor que cero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fecha_hora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DEFAULT SYSTIMESTAMP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id_estado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NUMBER(4)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NULL, FK a ESTADO_PASAJE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usuario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VARCHAR2(40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motivo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VARCHAR2(200 CHAR)</w:t>
            </w:r>
          </w:p>
        </w:tc>
        <w:tc>
          <w:tcPr>
            <w:tcW w:type="dxa" w:w="3135"/>
          </w:tcPr>
          <w:p>
            <w:pPr>
              <w:spacing w:before="40" w:after="40" w:line="240" w:lineRule="auto"/>
              <w:ind w:left="0"/>
            </w:pPr>
            <w:r>
              <w:rPr>
                <w:rFonts w:ascii="Arial" w:hAnsi="Arial"/>
                <w:sz w:val="20"/>
              </w:rPr>
              <w:t>opcional</w:t>
            </w:r>
          </w:p>
        </w:tc>
      </w:tr>
    </w:tbl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r>
            <w:fldChar w:fldCharType="begin"/>
          </w:r>
          <w:r>
            <w:rPr>
              <w:webHidden/>
              <w:rStyle w:val="Enlacedelndice"/>
              <w:vanish w:val="false"/>
            </w:rPr>
            <w:instrText xml:space="preserve"> TOC \z \o "1-9" \u \t "Heading 1,1,Heading 2,2,Heading 3,3" \h</w:instrText>
          </w:r>
          <w:r>
            <w:rPr>
              <w:webHidden/>
              <w:rStyle w:val="Enlacedelndice"/>
              <w:vanish w:val="false"/>
            </w:rPr>
            <w:fldChar w:fldCharType="separate"/>
          </w:r>
          <w:hyperlink w:anchor="__RefHeading___Toc871_3344599825">
            <w:r>
              <w:rPr>
                <w:webHidden/>
                <w:rStyle w:val="Enlacedelndice"/>
                <w:vanish w:val="false"/>
              </w:rPr>
              <w:t>Ficha del documento</w:t>
            </w:r>
            <w:r>
              <w:rPr>
                <w:rStyle w:val="Enlacedelndice"/>
                <w:vanish w:val="false"/>
              </w:rPr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9_3344599825">
            <w:r>
              <w:rPr>
                <w:webHidden/>
                <w:rStyle w:val="Enlacedelndice"/>
                <w:vanish w:val="false"/>
              </w:rPr>
              <w:t>1. Introducción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1_3344599825">
            <w:r>
              <w:rPr>
                <w:webHidden/>
                <w:rStyle w:val="Enlacedelndice"/>
                <w:vanish w:val="false"/>
              </w:rPr>
              <w:t>1.1. Contexto de Negocio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55_3344599825">
            <w:r>
              <w:rPr>
                <w:webHidden/>
                <w:rStyle w:val="Enlacedelndice"/>
                <w:vanish w:val="false"/>
              </w:rPr>
              <w:t>1.2. Objetivo del Sistema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53_3344599825">
            <w:r>
              <w:rPr>
                <w:webHidden/>
                <w:rStyle w:val="Enlacedelndice"/>
                <w:vanish w:val="false"/>
              </w:rPr>
              <w:t>1.3. Reglas de Negocio del Dominio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51_3344599825">
            <w:r>
              <w:rPr>
                <w:webHidden/>
                <w:rStyle w:val="Enlacedelndice"/>
                <w:vanish w:val="false"/>
              </w:rPr>
              <w:t>1.4. Alcance del Proyecto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9_3344599825">
            <w:r>
              <w:rPr>
                <w:webHidden/>
                <w:rStyle w:val="Enlacedelndice"/>
                <w:vanish w:val="false"/>
              </w:rPr>
              <w:t>1.5. Tecnologías Utilizadas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7_3344599825">
            <w:r>
              <w:rPr>
                <w:webHidden/>
                <w:rStyle w:val="Enlacedelndice"/>
                <w:vanish w:val="false"/>
              </w:rPr>
              <w:t>2. Modelo de Datos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7_3344599825">
            <w:r>
              <w:rPr>
                <w:webHidden/>
                <w:rStyle w:val="Enlacedelndice"/>
                <w:vanish w:val="false"/>
              </w:rPr>
              <w:t>2.1. Modelo Relacional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5_3344599825">
            <w:r>
              <w:rPr>
                <w:webHidden/>
                <w:rStyle w:val="Enlacedelndice"/>
                <w:vanish w:val="false"/>
              </w:rPr>
              <w:t>2.2. Trazabilidad: Regla de Negocio → Mecanismo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5_3344599825">
            <w:r>
              <w:rPr>
                <w:webHidden/>
                <w:rStyle w:val="Enlacedelndice"/>
                <w:vanish w:val="false"/>
              </w:rPr>
              <w:t>3. Requerimientos del Sistema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3_3344599825">
            <w:r>
              <w:rPr>
                <w:webHidden/>
                <w:rStyle w:val="Enlacedelndice"/>
                <w:vanish w:val="false"/>
              </w:rPr>
              <w:t>3.1. Requerimientos Funcionales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1_3344599825">
            <w:r>
              <w:rPr>
                <w:webHidden/>
                <w:rStyle w:val="Enlacedelndice"/>
                <w:vanish w:val="false"/>
              </w:rPr>
              <w:t>3.2. Requerimientos No Funcionales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9_3344599825">
            <w:r>
              <w:rPr>
                <w:webHidden/>
                <w:rStyle w:val="Enlacedelndice"/>
                <w:vanish w:val="false"/>
              </w:rPr>
              <w:t>3.3. Datos a Procesar e Información a Generar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3_3344599825">
            <w:r>
              <w:rPr>
                <w:webHidden/>
                <w:rStyle w:val="Enlacedelndice"/>
                <w:vanish w:val="false"/>
              </w:rPr>
              <w:t>4. Tipos de Datos Compuestos: RECORD y VARRAY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7_3344599825">
            <w:r>
              <w:rPr>
                <w:webHidden/>
                <w:rStyle w:val="Enlacedelndice"/>
                <w:vanish w:val="false"/>
              </w:rPr>
              <w:t>4.1. Integración de RECORD en el proyecto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5_3344599825">
            <w:r>
              <w:rPr>
                <w:webHidden/>
                <w:rStyle w:val="Enlacedelndice"/>
                <w:vanish w:val="false"/>
              </w:rPr>
              <w:t>4.2. Integración de VARRAY en el proyecto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3_3344599825">
            <w:r>
              <w:rPr>
                <w:webHidden/>
                <w:rStyle w:val="Enlacedelndice"/>
                <w:vanish w:val="false"/>
              </w:rPr>
              <w:t>4.3. Aporte a la eficiencia del procesamiento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1_3344599825">
            <w:r>
              <w:rPr>
                <w:webHidden/>
                <w:rStyle w:val="Enlacedelndice"/>
                <w:vanish w:val="false"/>
              </w:rPr>
              <w:t>5. Bloques PL/SQL con Cursores Explícitos Complejos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1_3344599825">
            <w:r>
              <w:rPr>
                <w:webHidden/>
                <w:rStyle w:val="Enlacedelndice"/>
                <w:vanish w:val="false"/>
              </w:rPr>
              <w:t>5.1. Cursores explícitos: definición y casos de uso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9_3344599825">
            <w:r>
              <w:rPr>
                <w:webHidden/>
                <w:rStyle w:val="Enlacedelndice"/>
                <w:vanish w:val="false"/>
              </w:rPr>
              <w:t>5.2. Diferencia entre cursores simples y complejos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7_3344599825">
            <w:r>
              <w:rPr>
                <w:webHidden/>
                <w:rStyle w:val="Enlacedelndice"/>
                <w:vanish w:val="false"/>
              </w:rPr>
              <w:t>5.3. Cursores con parámetros y loops anidados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5_3344599825">
            <w:r>
              <w:rPr>
                <w:webHidden/>
                <w:rStyle w:val="Enlacedelndice"/>
                <w:vanish w:val="false"/>
              </w:rPr>
              <w:t>5.4. Aplicación en los procesos del proyecto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3_3344599825">
            <w:r>
              <w:rPr>
                <w:webHidden/>
                <w:rStyle w:val="Enlacedelndice"/>
                <w:vanish w:val="false"/>
              </w:rPr>
              <w:t>5.5. Ventajas frente a grandes volúmenes de datos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79_3344599825">
            <w:r>
              <w:rPr>
                <w:webHidden/>
                <w:rStyle w:val="Enlacedelndice"/>
                <w:vanish w:val="false"/>
              </w:rPr>
              <w:t>6. Integración del Control de Excepciones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1_3344599825">
            <w:r>
              <w:rPr>
                <w:webHidden/>
                <w:rStyle w:val="Enlacedelndice"/>
                <w:vanish w:val="false"/>
              </w:rPr>
              <w:t>6.1. Excepciones predefinidas de Oracle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9_3344599825">
            <w:r>
              <w:rPr>
                <w:webHidden/>
                <w:rStyle w:val="Enlacedelndice"/>
                <w:vanish w:val="false"/>
              </w:rPr>
              <w:t>6.2. Excepciones definidas por el usuario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7_3344599825">
            <w:r>
              <w:rPr>
                <w:webHidden/>
                <w:rStyle w:val="Enlacedelndice"/>
                <w:vanish w:val="false"/>
              </w:rPr>
              <w:t>6.3. Integración en los bloques del proyecto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5_3344599825">
            <w:r>
              <w:rPr>
                <w:webHidden/>
                <w:rStyle w:val="Enlacedelndice"/>
                <w:vanish w:val="false"/>
              </w:rPr>
              <w:t>6.4. Prevención de errores e integridad de los datos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77_3344599825">
            <w:r>
              <w:rPr>
                <w:webHidden/>
                <w:rStyle w:val="Enlacedelndice"/>
                <w:vanish w:val="false"/>
              </w:rPr>
              <w:t>7. Evaluación de Procedimientos, Funciones, Packages y Triggers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3_3344599825">
            <w:r>
              <w:rPr>
                <w:webHidden/>
                <w:rStyle w:val="Enlacedelndice"/>
                <w:vanish w:val="false"/>
              </w:rPr>
              <w:t>7.1. Procedimientos almacenados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1_3344599825">
            <w:r>
              <w:rPr>
                <w:webHidden/>
                <w:rStyle w:val="Enlacedelndice"/>
                <w:vanish w:val="false"/>
              </w:rPr>
              <w:t>7.2. Funciones almacenadas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9_3344599825">
            <w:r>
              <w:rPr>
                <w:webHidden/>
                <w:rStyle w:val="Enlacedelndice"/>
                <w:vanish w:val="false"/>
              </w:rPr>
              <w:t>7.3. Packages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7_3344599825">
            <w:r>
              <w:rPr>
                <w:webHidden/>
                <w:rStyle w:val="Enlacedelndice"/>
                <w:vanish w:val="false"/>
              </w:rPr>
              <w:t>7.4. Triggers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5_3344599825">
            <w:r>
              <w:rPr>
                <w:webHidden/>
                <w:rStyle w:val="Enlacedelndice"/>
                <w:vanish w:val="false"/>
              </w:rPr>
              <w:t>7.5. Estrategia de implementación en el proyecto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3_3344599825">
            <w:r>
              <w:rPr>
                <w:webHidden/>
                <w:rStyle w:val="Enlacedelndice"/>
                <w:vanish w:val="false"/>
              </w:rPr>
              <w:t>7.6. Limitaciones y consideraciones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75_3344599825">
            <w:r>
              <w:rPr>
                <w:webHidden/>
                <w:rStyle w:val="Enlacedelndice"/>
                <w:vanish w:val="false"/>
              </w:rPr>
              <w:t>8. Conclusión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1_3344599825">
            <w:r>
              <w:rPr>
                <w:webHidden/>
                <w:rStyle w:val="Enlacedelndice"/>
                <w:vanish w:val="false"/>
              </w:rPr>
              <w:t>8.1. Resumen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9_3344599825">
            <w:r>
              <w:rPr>
                <w:webHidden/>
                <w:rStyle w:val="Enlacedelndice"/>
                <w:vanish w:val="false"/>
              </w:rPr>
              <w:t>8.2. Impacto del proyecto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7_3344599825">
            <w:r>
              <w:rPr>
                <w:webHidden/>
                <w:rStyle w:val="Enlacedelndice"/>
                <w:vanish w:val="false"/>
              </w:rPr>
              <w:t>8.3. Recomendaciones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73_3344599825">
            <w:r>
              <w:rPr>
                <w:webHidden/>
                <w:rStyle w:val="Enlacedelndice"/>
                <w:vanish w:val="false"/>
              </w:rPr>
              <w:t>9. Anexos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5_3344599825">
            <w:r>
              <w:rPr>
                <w:webHidden/>
                <w:rStyle w:val="Enlacedelndice"/>
                <w:vanish w:val="false"/>
              </w:rPr>
              <w:t>9.1. Script del proyecto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3_3344599825">
            <w:r>
              <w:rPr>
                <w:webHidden/>
                <w:rStyle w:val="Enlacedelndice"/>
                <w:vanish w:val="false"/>
              </w:rPr>
              <w:t>9.2. Diagramas y modelos</w:t>
              <w:tab/>
              <w:t>9</w:t>
            </w:r>
          </w:hyperlink>
          <w:r>
            <w:rPr>
              <w:rStyle w:val="Enlacedelndice"/>
              <w:vanish w:val="false"/>
            </w:rPr>
            <w:fldChar w:fldCharType="end"/>
          </w:r>
        </w:p>
      </w:sdtContent>
    </w:sdt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17" w:right="1417" w:gutter="0" w:header="142" w:top="1417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/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rPr/>
      <w:tab/>
      <w:tab/>
      <w:tab/>
      <w:t xml:space="preserve">    </w:t>
      <w:tab/>
      <w:tab/>
      <w:t xml:space="preserve">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  <w:r>
      <w:rPr/>
      <w:t xml:space="preserve">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/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rPr/>
      <w:tab/>
      <w:tab/>
      <w:tab/>
      <w:t xml:space="preserve">    </w:t>
      <w:tab/>
      <w:tab/>
      <w:t xml:space="preserve">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  <w:r>
      <w:rPr/>
      <w:t xml:space="preserve">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  <w:drawing>
        <wp:anchor behindDoc="1" distT="0" distB="0" distL="0" distR="0" simplePos="0" locked="0" layoutInCell="0" allowOverlap="1" relativeHeight="26">
          <wp:simplePos x="0" y="0"/>
          <wp:positionH relativeFrom="column">
            <wp:posOffset>-438150</wp:posOffset>
          </wp:positionH>
          <wp:positionV relativeFrom="paragraph">
            <wp:posOffset>-67945</wp:posOffset>
          </wp:positionV>
          <wp:extent cx="1383665" cy="685800"/>
          <wp:effectExtent l="0" t="0" r="0" b="0"/>
          <wp:wrapSquare wrapText="bothSides"/>
          <wp:docPr id="1" name="image1.png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2224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38366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  <w:sz w:val="14"/>
        <w:szCs w:val="14"/>
      </w:rPr>
    </w:pPr>
    <w:r>
      <w:rPr>
        <w:i/>
        <w:iCs/>
        <w:color w:val="000000"/>
        <w:sz w:val="14"/>
        <w:szCs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  <w:drawing>
        <wp:anchor behindDoc="1" distT="0" distB="0" distL="0" distR="0" simplePos="0" locked="0" layoutInCell="0" allowOverlap="1" relativeHeight="26">
          <wp:simplePos x="0" y="0"/>
          <wp:positionH relativeFrom="column">
            <wp:posOffset>-438150</wp:posOffset>
          </wp:positionH>
          <wp:positionV relativeFrom="paragraph">
            <wp:posOffset>-67945</wp:posOffset>
          </wp:positionV>
          <wp:extent cx="1383665" cy="685800"/>
          <wp:effectExtent l="0" t="0" r="0" b="0"/>
          <wp:wrapSquare wrapText="bothSides"/>
          <wp:docPr id="2" name="image1.png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2224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38366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  <w:sz w:val="14"/>
        <w:szCs w:val="14"/>
      </w:rPr>
    </w:pPr>
    <w:r>
      <w:rPr>
        <w:i/>
        <w:iCs/>
        <w:color w:val="000000"/>
        <w:sz w:val="14"/>
        <w:szCs w:val="14"/>
      </w:rPr>
    </w:r>
  </w:p>
</w:hdr>
</file>

<file path=word/settings.xml><?xml version="1.0" encoding="utf-8"?>
<w:settings xmlns:w="http://schemas.openxmlformats.org/wordprocessingml/2006/main">
  <w:zoom w:percent="118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d5f92"/>
    <w:rPr>
      <w:rFonts w:ascii="Tahoma" w:hAnsi="Tahoma" w:cs="Tahoma"/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aa7a3d"/>
    <w:rPr/>
  </w:style>
  <w:style w:type="character" w:styleId="PiedepginaCar" w:customStyle="1">
    <w:name w:val="Pie de página Car"/>
    <w:basedOn w:val="DefaultParagraphFont"/>
    <w:uiPriority w:val="99"/>
    <w:qFormat/>
    <w:rsid w:val="00aa7a3d"/>
    <w:rPr/>
  </w:style>
  <w:style w:type="character" w:styleId="SubttuloCar" w:customStyle="1">
    <w:name w:val="Subtítulo Car"/>
    <w:basedOn w:val="DefaultParagraphFont"/>
    <w:qFormat/>
    <w:rsid w:val="003e0643"/>
    <w:rPr>
      <w:rFonts w:ascii="Arial" w:hAnsi="Arial" w:eastAsia="Times New Roman" w:cs="Times New Roman"/>
      <w:b/>
      <w:sz w:val="24"/>
      <w:szCs w:val="20"/>
      <w:lang w:val="es-ES" w:eastAsia="es-ES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0f5803"/>
    <w:rPr>
      <w:sz w:val="20"/>
      <w:szCs w:val="20"/>
    </w:rPr>
  </w:style>
  <w:style w:type="character" w:styleId="Caracteresdenotaalpie">
    <w:name w:val="Caracteres de nota al pie"/>
    <w:uiPriority w:val="99"/>
    <w:semiHidden/>
    <w:unhideWhenUsed/>
    <w:qFormat/>
    <w:rsid w:val="000f580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a79f5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4a79f5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4a79f5"/>
    <w:rPr>
      <w:b/>
      <w:bCs/>
      <w:sz w:val="20"/>
      <w:szCs w:val="20"/>
    </w:rPr>
  </w:style>
  <w:style w:type="character" w:styleId="cf01" w:customStyle="1">
    <w:name w:val="cf01"/>
    <w:basedOn w:val="DefaultParagraphFont"/>
    <w:qFormat/>
    <w:rsid w:val="00a0094f"/>
    <w:rPr>
      <w:rFonts w:ascii="Segoe UI" w:hAnsi="Segoe UI" w:cs="Segoe UI"/>
      <w:sz w:val="18"/>
      <w:szCs w:val="18"/>
    </w:rPr>
  </w:style>
  <w:style w:type="character" w:styleId="cf11" w:customStyle="1">
    <w:name w:val="cf11"/>
    <w:basedOn w:val="DefaultParagraphFont"/>
    <w:qFormat/>
    <w:rsid w:val="00a0094f"/>
    <w:rPr>
      <w:rFonts w:ascii="Segoe UI" w:hAnsi="Segoe UI" w:cs="Segoe UI"/>
      <w:i/>
      <w:iCs/>
      <w:sz w:val="18"/>
      <w:szCs w:val="18"/>
    </w:rPr>
  </w:style>
  <w:style w:type="character" w:styleId="PrrafodelistaCar" w:customStyle="1">
    <w:name w:val="Párrafo de lista Car"/>
    <w:link w:val="ListParagraph"/>
    <w:uiPriority w:val="34"/>
    <w:qFormat/>
    <w:rsid w:val="004265c0"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25696e"/>
    <w:rPr>
      <w:rFonts w:ascii="Calibri" w:hAnsi="Calibri" w:eastAsia="" w:cs="" w:asciiTheme="minorHAnsi" w:cstheme="minorBidi" w:eastAsiaTheme="minorEastAsia" w:hAnsiTheme="minorHAnsi"/>
      <w:lang w:val="es-ES" w:eastAsia="en-US"/>
    </w:rPr>
  </w:style>
  <w:style w:type="character" w:styleId="Hyperlink">
    <w:name w:val="Hyperlink"/>
    <w:basedOn w:val="DefaultParagraphFont"/>
    <w:uiPriority w:val="99"/>
    <w:unhideWhenUsed/>
    <w:rsid w:val="0025696e"/>
    <w:rPr>
      <w:color w:themeColor="hyperlink" w:val="0000FF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link w:val="PrrafodelistaCar"/>
    <w:uiPriority w:val="34"/>
    <w:qFormat/>
    <w:rsid w:val="00c26cee"/>
    <w:pPr>
      <w:spacing w:before="0" w:after="200"/>
      <w:ind w:left="720"/>
      <w:contextualSpacing/>
    </w:pPr>
    <w:rPr/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9d5f9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aa7a3d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PiedepginaCar"/>
    <w:uiPriority w:val="99"/>
    <w:unhideWhenUsed/>
    <w:rsid w:val="00aa7a3d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noteText">
    <w:name w:val="Footnote Text"/>
    <w:basedOn w:val="normal1"/>
    <w:link w:val="TextonotapieCar"/>
    <w:uiPriority w:val="99"/>
    <w:semiHidden/>
    <w:unhideWhenUsed/>
    <w:rsid w:val="000f5803"/>
    <w:pPr>
      <w:spacing w:lineRule="auto" w:line="240" w:before="0" w:after="0"/>
    </w:pPr>
    <w:rPr>
      <w:sz w:val="20"/>
      <w:szCs w:val="20"/>
    </w:rPr>
  </w:style>
  <w:style w:type="paragraph" w:styleId="AnnotationText">
    <w:name w:val="Annotation Text"/>
    <w:basedOn w:val="normal1"/>
    <w:link w:val="TextocomentarioCar"/>
    <w:uiPriority w:val="99"/>
    <w:unhideWhenUsed/>
    <w:rsid w:val="004a79f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4a79f5"/>
    <w:pPr/>
    <w:rPr>
      <w:b/>
      <w:bCs/>
    </w:rPr>
  </w:style>
  <w:style w:type="paragraph" w:styleId="NormalWeb">
    <w:name w:val="Normal (Web)"/>
    <w:basedOn w:val="normal1"/>
    <w:uiPriority w:val="99"/>
    <w:unhideWhenUsed/>
    <w:qFormat/>
    <w:rsid w:val="00a0094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link w:val="SinespaciadoCar"/>
    <w:uiPriority w:val="1"/>
    <w:qFormat/>
    <w:rsid w:val="0025696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hi-IN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IndexHeading"/>
    <w:next w:val="normal1"/>
    <w:uiPriority w:val="39"/>
    <w:semiHidden/>
    <w:unhideWhenUsed/>
    <w:qFormat/>
    <w:rsid w:val="0025696e"/>
    <w:pPr>
      <w:spacing w:before="240" w:after="0"/>
    </w:pPr>
    <w:rPr>
      <w:rFonts w:ascii="Cambria" w:hAnsi="Cambria" w:eastAsia="" w:cs="" w:asciiTheme="majorHAnsi" w:cstheme="majorBidi" w:eastAsiaTheme="majorEastAsia" w:hAnsiTheme="majorHAnsi"/>
      <w:bCs/>
      <w:color w:themeColor="accent1" w:themeShade="bf" w:val="365F91"/>
      <w:sz w:val="28"/>
      <w:szCs w:val="28"/>
      <w:lang w:val="es-ES" w:eastAsia="en-US"/>
    </w:rPr>
  </w:style>
  <w:style w:type="paragraph" w:styleId="TOC1">
    <w:name w:val="TOC 1"/>
    <w:basedOn w:val="normal1"/>
    <w:next w:val="normal1"/>
    <w:autoRedefine/>
    <w:uiPriority w:val="39"/>
    <w:unhideWhenUsed/>
    <w:rsid w:val="0025696e"/>
    <w:pPr>
      <w:spacing w:before="120" w:after="120"/>
    </w:pPr>
    <w:rPr>
      <w:rFonts w:ascii="Calibri" w:hAnsi="Calibri" w:eastAsia="Calibri" w:cs="" w:asciiTheme="minorHAnsi" w:cstheme="minorBidi" w:eastAsiaTheme="minorHAnsi" w:hAnsiTheme="minorHAnsi"/>
      <w:b/>
      <w:bCs/>
      <w:caps/>
      <w:sz w:val="20"/>
      <w:szCs w:val="20"/>
      <w:lang w:val="es-AR" w:eastAsia="en-US"/>
    </w:rPr>
  </w:style>
  <w:style w:type="paragraph" w:styleId="TOC2">
    <w:name w:val="TOC 2"/>
    <w:basedOn w:val="normal1"/>
    <w:next w:val="normal1"/>
    <w:autoRedefine/>
    <w:uiPriority w:val="39"/>
    <w:unhideWhenUsed/>
    <w:rsid w:val="0025696e"/>
    <w:pPr>
      <w:spacing w:before="0" w:after="0"/>
      <w:ind w:left="220"/>
    </w:pPr>
    <w:rPr>
      <w:rFonts w:ascii="Calibri" w:hAnsi="Calibri" w:eastAsia="Calibri" w:cs="" w:asciiTheme="minorHAnsi" w:cstheme="minorBidi" w:eastAsiaTheme="minorHAnsi" w:hAnsiTheme="minorHAnsi"/>
      <w:smallCaps/>
      <w:sz w:val="20"/>
      <w:szCs w:val="20"/>
      <w:lang w:val="es-AR" w:eastAsia="en-US"/>
    </w:rPr>
  </w:style>
  <w:style w:type="paragraph" w:styleId="TOC3">
    <w:name w:val="TOC 3"/>
    <w:basedOn w:val="normal1"/>
    <w:next w:val="normal1"/>
    <w:autoRedefine/>
    <w:uiPriority w:val="39"/>
    <w:unhideWhenUsed/>
    <w:rsid w:val="0025696e"/>
    <w:pPr>
      <w:spacing w:before="0" w:after="0"/>
      <w:ind w:left="440"/>
    </w:pPr>
    <w:rPr>
      <w:rFonts w:ascii="Calibri" w:hAnsi="Calibri" w:eastAsia="Calibri" w:cs="" w:asciiTheme="minorHAnsi" w:cstheme="minorBidi" w:eastAsiaTheme="minorHAnsi" w:hAnsiTheme="minorHAnsi"/>
      <w:i/>
      <w:iCs/>
      <w:sz w:val="20"/>
      <w:szCs w:val="20"/>
      <w:lang w:val="es-AR" w:eastAsia="en-US"/>
    </w:rPr>
  </w:style>
  <w:style w:type="paragraph" w:styleId="Subtitle">
    <w:name w:val="Subtitle"/>
    <w:basedOn w:val="normal1"/>
    <w:next w:val="normal1"/>
    <w:qFormat/>
    <w:pPr>
      <w:spacing w:lineRule="auto" w:line="240" w:before="0" w:after="0"/>
    </w:pPr>
    <w:rPr>
      <w:rFonts w:ascii="Arial" w:hAnsi="Arial" w:eastAsia="Arial" w:cs="Arial"/>
      <w:b/>
      <w:bCs/>
      <w:sz w:val="24"/>
      <w:szCs w:val="24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56d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5">
    <w:name w:val="Grid Table 4 Accent 5"/>
    <w:basedOn w:val="Tablanormal"/>
    <w:uiPriority w:val="49"/>
    <w:rsid w:val="006a4a0b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concuadrcula1">
    <w:name w:val="Tabla con cuadrícula1"/>
    <w:basedOn w:val="Tablanormal"/>
    <w:rsid w:val="0025696e"/>
    <w:pPr>
      <w:spacing w:after="0" w:line="240" w:lineRule="auto"/>
    </w:pPr>
    <w:rPr>
      <w:lang w:val="es-AR" w:eastAsia="es-A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mQ4HZQka+J1lxQbE254hExlk9Hg==">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25</Pages>
  <Words>5358</Words>
  <Characters>28639</Characters>
  <CharactersWithSpaces>34028</CharactersWithSpaces>
  <Paragraphs>470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2023-12-06T02:04:00Z</dcterms:created>
  <dc:creator>Francisca Navarro Carrasco</dc:creator>
  <dc:description/>
  <dc:language>es-ES</dc:language>
  <cp:lastModifiedBy/>
  <dcterms:modified xsi:type="dcterms:W3CDTF">2026-09-05T22:42:03Z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0x010100F8A06B26220EBB4D9BE65A30CA11F66E</vt:lpwstr>
  </property>
</Properties>
</file>