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36"/>
          <w:szCs w:val="36"/>
        </w:rPr>
        <w:t xml:space="preserve">Proposed labels: 100 statements</w:t>
      </w:r>
    </w:p>
    <w:p>
      <w:pPr>
        <w:pBdr>
          <w:bottom w:val="single" w:color="1F3864" w:sz="6" w:space="6"/>
        </w:pBdr>
        <w:spacing w:after="280"/>
      </w:pPr>
      <w:r>
        <w:rPr>
          <w:rFonts w:ascii="Calibri" w:cs="Calibri" w:eastAsia="Calibri" w:hAnsi="Calibri"/>
          <w:color w:val="595959"/>
          <w:sz w:val="22"/>
          <w:szCs w:val="22"/>
        </w:rPr>
        <w:t xml:space="preserve">Accuracy label set, 20 fixtures. Claude proposed, Ben reviews.</w:t>
      </w:r>
    </w:p>
    <w:p>
      <w:pPr>
        <w:spacing w:after="120" w:line="260"/>
      </w:pPr>
      <w:r>
        <w:rPr>
          <w:rFonts w:ascii="Calibri" w:cs="Calibri" w:eastAsia="Calibri" w:hAnsi="Calibri"/>
          <w:b w:val="false"/>
          <w:bCs w:val="false"/>
          <w:sz w:val="19"/>
          <w:szCs w:val="19"/>
        </w:rPr>
        <w:t xml:space="preserve">Numbering matches worksheet.md exactly, so amended labels transfer straight across. The Amend column is blank for your corrections.</w:t>
      </w:r>
    </w:p>
    <w:p>
      <w:pPr>
        <w:spacing w:after="120" w:line="260"/>
      </w:pPr>
      <w:r>
        <w:rPr>
          <w:rFonts w:ascii="Calibri" w:cs="Calibri" w:eastAsia="Calibri" w:hAnsi="Calibri"/>
          <w:b/>
          <w:bCs/>
          <w:sz w:val="19"/>
          <w:szCs w:val="19"/>
        </w:rPr>
        <w:t xml:space="preserve">Proposed distribution: 82 C, 5 P, 11 X, 2 N, 0 E.</w:t>
      </w:r>
    </w:p>
    <w:p>
      <w:pPr>
        <w:spacing w:after="120" w:line="260"/>
      </w:pPr>
      <w:r>
        <w:rPr>
          <w:rFonts w:ascii="Calibri" w:cs="Calibri" w:eastAsia="Calibri" w:hAnsi="Calibri"/>
          <w:b w:val="false"/>
          <w:bCs w:val="false"/>
          <w:sz w:val="19"/>
          <w:szCs w:val="19"/>
        </w:rPr>
        <w:t xml:space="preserve">Rules applied: any source passage contradicting the statement gives X, even where another passage confirms it. Where the draft matches the newer source and only an older source disagrees, C. Only one fixture has dated sources on both sides (F18), and there the draft matches the older source, so the conflict stands.</w:t>
      </w:r>
    </w:p>
    <w:p>
      <w:pPr>
        <w:pStyle w:val="Heading1"/>
        <w:spacing w:after="180" w:before="360"/>
      </w:pPr>
      <w:r>
        <w:rPr>
          <w:rFonts w:ascii="Calibri" w:cs="Calibri" w:eastAsia="Calibri" w:hAnsi="Calibri"/>
          <w:b/>
          <w:bCs/>
          <w:color w:val="1F3864"/>
          <w:sz w:val="28"/>
          <w:szCs w:val="28"/>
        </w:rPr>
        <w:t xml:space="preserve">Look at these first</w:t>
      </w:r>
    </w:p>
    <w:p>
      <w:pPr>
        <w:spacing w:after="120" w:line="260"/>
      </w:pPr>
      <w:r>
        <w:rPr>
          <w:rFonts w:ascii="Calibri" w:cs="Calibri" w:eastAsia="Calibri" w:hAnsi="Calibri"/>
          <w:b w:val="false"/>
          <w:bCs w:val="false"/>
          <w:sz w:val="19"/>
          <w:szCs w:val="19"/>
        </w:rPr>
        <w:t xml:space="preserve">Nine judgement calls where a reasonable person lands elsewhere. Everything else is close to mechanical.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6746"/>
        <w:gridCol w:w="1500"/>
      </w:tblGrid>
      <w:tr>
        <w:trPr>
          <w:tblHeader/>
        </w:trPr>
        <w:tc>
          <w:tcPr>
            <w:tcW w:type="dxa" w:w="1500"/>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Where</w:t>
            </w:r>
          </w:p>
        </w:tc>
        <w:tc>
          <w:tcPr>
            <w:tcW w:type="dxa" w:w="6746"/>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The call</w:t>
            </w:r>
          </w:p>
        </w:tc>
        <w:tc>
          <w:tcPr>
            <w:tcW w:type="dxa" w:w="1500"/>
            <w:shd w:fill="F2F2F2"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Proposed</w:t>
            </w:r>
          </w:p>
        </w:tc>
      </w:tr>
      <w:tr>
        <w:tc>
          <w:tcPr>
            <w:tcW w:type="dxa" w:w="1500"/>
            <w:tcMar>
              <w:top w:type="dxa" w:w="60"/>
              <w:left w:type="dxa" w:w="100"/>
              <w:bottom w:type="dxa" w:w="60"/>
              <w:right w:type="dxa" w:w="100"/>
            </w:tcMar>
          </w:tcPr>
          <w:p>
            <w:pPr>
              <w:spacing w:after="0" w:line="250"/>
            </w:pPr>
            <w:r>
              <w:rPr>
                <w:rFonts w:ascii="Calibri" w:cs="Calibri" w:eastAsia="Calibri" w:hAnsi="Calibri"/>
                <w:b/>
                <w:bCs/>
                <w:sz w:val="19"/>
                <w:szCs w:val="19"/>
              </w:rPr>
              <w:t xml:space="preserve">F04.1, F08.1, F17.1</w:t>
            </w:r>
          </w:p>
        </w:tc>
        <w:tc>
          <w:tcPr>
            <w:tcW w:type="dxa" w:w="674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Draft says "we are writing to inform you of a new investment"; all three sources are memos SEEKING APPROVAL, not records of a completed one. The company description is fully supported. One decision covers three labels.</w:t>
            </w:r>
          </w:p>
        </w:tc>
        <w:tc>
          <w:tcPr>
            <w:tcW w:type="dxa" w:w="1500"/>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C</w:t>
            </w:r>
          </w:p>
        </w:tc>
      </w:tr>
      <w:tr>
        <w:tc>
          <w:tcPr>
            <w:tcW w:type="dxa" w:w="1500"/>
            <w:tcMar>
              <w:top w:type="dxa" w:w="60"/>
              <w:left w:type="dxa" w:w="100"/>
              <w:bottom w:type="dxa" w:w="60"/>
              <w:right w:type="dxa" w:w="100"/>
            </w:tcMar>
          </w:tcPr>
          <w:p>
            <w:pPr>
              <w:spacing w:after="0" w:line="250"/>
            </w:pPr>
            <w:r>
              <w:rPr>
                <w:rFonts w:ascii="Calibri" w:cs="Calibri" w:eastAsia="Calibri" w:hAnsi="Calibri"/>
                <w:b/>
                <w:bCs/>
                <w:sz w:val="19"/>
                <w:szCs w:val="19"/>
              </w:rPr>
              <w:t xml:space="preserve">F05.5</w:t>
            </w:r>
          </w:p>
        </w:tc>
        <w:tc>
          <w:tcPr>
            <w:tcW w:type="dxa" w:w="674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Wrong actor and fabricated content in one sentence. The source never mentions Halden, and never mentions accelerating space applications.</w:t>
            </w:r>
          </w:p>
        </w:tc>
        <w:tc>
          <w:tcPr>
            <w:tcW w:type="dxa" w:w="1500"/>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X (N defensible)</w:t>
            </w:r>
          </w:p>
        </w:tc>
      </w:tr>
      <w:tr>
        <w:tc>
          <w:tcPr>
            <w:tcW w:type="dxa" w:w="1500"/>
            <w:tcMar>
              <w:top w:type="dxa" w:w="60"/>
              <w:left w:type="dxa" w:w="100"/>
              <w:bottom w:type="dxa" w:w="60"/>
              <w:right w:type="dxa" w:w="100"/>
            </w:tcMar>
          </w:tcPr>
          <w:p>
            <w:pPr>
              <w:spacing w:after="0" w:line="250"/>
            </w:pPr>
            <w:r>
              <w:rPr>
                <w:rFonts w:ascii="Calibri" w:cs="Calibri" w:eastAsia="Calibri" w:hAnsi="Calibri"/>
                <w:b/>
                <w:bCs/>
                <w:sz w:val="19"/>
                <w:szCs w:val="19"/>
              </w:rPr>
              <w:t xml:space="preserve">F18.1</w:t>
            </w:r>
          </w:p>
        </w:tc>
        <w:tc>
          <w:tcPr>
            <w:tcW w:type="dxa" w:w="674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"Confirm completion of the transaction". The newer source still says "we continue to recommend completion". Absence, or contradiction?</w:t>
            </w:r>
          </w:p>
        </w:tc>
        <w:tc>
          <w:tcPr>
            <w:tcW w:type="dxa" w:w="1500"/>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N (X defensible)</w:t>
            </w:r>
          </w:p>
        </w:tc>
      </w:tr>
      <w:tr>
        <w:tc>
          <w:tcPr>
            <w:tcW w:type="dxa" w:w="1500"/>
            <w:tcMar>
              <w:top w:type="dxa" w:w="60"/>
              <w:left w:type="dxa" w:w="100"/>
              <w:bottom w:type="dxa" w:w="60"/>
              <w:right w:type="dxa" w:w="100"/>
            </w:tcMar>
          </w:tcPr>
          <w:p>
            <w:pPr>
              <w:spacing w:after="0" w:line="250"/>
            </w:pPr>
            <w:r>
              <w:rPr>
                <w:rFonts w:ascii="Calibri" w:cs="Calibri" w:eastAsia="Calibri" w:hAnsi="Calibri"/>
                <w:b/>
                <w:bCs/>
                <w:sz w:val="19"/>
                <w:szCs w:val="19"/>
              </w:rPr>
              <w:t xml:space="preserve">F02.2</w:t>
            </w:r>
          </w:p>
        </w:tc>
        <w:tc>
          <w:tcPr>
            <w:tcW w:type="dxa" w:w="674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"Exceptionally well positioned". The source says "substantial expansion potential" and "strong foundations", never an intensifier.</w:t>
            </w:r>
          </w:p>
        </w:tc>
        <w:tc>
          <w:tcPr>
            <w:tcW w:type="dxa" w:w="1500"/>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P</w:t>
            </w:r>
          </w:p>
        </w:tc>
      </w:tr>
      <w:tr>
        <w:tc>
          <w:tcPr>
            <w:tcW w:type="dxa" w:w="1500"/>
            <w:tcMar>
              <w:top w:type="dxa" w:w="60"/>
              <w:left w:type="dxa" w:w="100"/>
              <w:bottom w:type="dxa" w:w="60"/>
              <w:right w:type="dxa" w:w="100"/>
            </w:tcMar>
          </w:tcPr>
          <w:p>
            <w:pPr>
              <w:spacing w:after="0" w:line="250"/>
            </w:pPr>
            <w:r>
              <w:rPr>
                <w:rFonts w:ascii="Calibri" w:cs="Calibri" w:eastAsia="Calibri" w:hAnsi="Calibri"/>
                <w:b/>
                <w:bCs/>
                <w:sz w:val="19"/>
                <w:szCs w:val="19"/>
              </w:rPr>
              <w:t xml:space="preserve">F08.4, F08.5</w:t>
            </w:r>
          </w:p>
        </w:tc>
        <w:tc>
          <w:tcPr>
            <w:tcW w:type="dxa" w:w="674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The draft credits the full 300 to 400 basis point uplift to two levers where the source names three, and credits the full 9% growth to end-markets where the source sources only 5% there.</w:t>
            </w:r>
          </w:p>
        </w:tc>
        <w:tc>
          <w:tcPr>
            <w:tcW w:type="dxa" w:w="1500"/>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P</w:t>
            </w:r>
          </w:p>
        </w:tc>
      </w:tr>
      <w:tr>
        <w:tc>
          <w:tcPr>
            <w:tcW w:type="dxa" w:w="1500"/>
            <w:tcMar>
              <w:top w:type="dxa" w:w="60"/>
              <w:left w:type="dxa" w:w="100"/>
              <w:bottom w:type="dxa" w:w="60"/>
              <w:right w:type="dxa" w:w="100"/>
            </w:tcMar>
          </w:tcPr>
          <w:p>
            <w:pPr>
              <w:spacing w:after="0" w:line="250"/>
            </w:pPr>
            <w:r>
              <w:rPr>
                <w:rFonts w:ascii="Calibri" w:cs="Calibri" w:eastAsia="Calibri" w:hAnsi="Calibri"/>
                <w:b/>
                <w:bCs/>
                <w:sz w:val="19"/>
                <w:szCs w:val="19"/>
              </w:rPr>
              <w:t xml:space="preserve">F12.1</w:t>
            </w:r>
          </w:p>
        </w:tc>
        <w:tc>
          <w:tcPr>
            <w:tcW w:type="dxa" w:w="674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"Dominant in the Nordics". The source says "strong in Sweden". Escalated and broadened at once.</w:t>
            </w:r>
          </w:p>
        </w:tc>
        <w:tc>
          <w:tcPr>
            <w:tcW w:type="dxa" w:w="1500"/>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P</w:t>
            </w:r>
          </w:p>
        </w:tc>
      </w:tr>
      <w:tr>
        <w:tc>
          <w:tcPr>
            <w:tcW w:type="dxa" w:w="1500"/>
            <w:tcMar>
              <w:top w:type="dxa" w:w="60"/>
              <w:left w:type="dxa" w:w="100"/>
              <w:bottom w:type="dxa" w:w="60"/>
              <w:right w:type="dxa" w:w="100"/>
            </w:tcMar>
          </w:tcPr>
          <w:p>
            <w:pPr>
              <w:spacing w:after="0" w:line="250"/>
            </w:pPr>
            <w:r>
              <w:rPr>
                <w:rFonts w:ascii="Calibri" w:cs="Calibri" w:eastAsia="Calibri" w:hAnsi="Calibri"/>
                <w:b/>
                <w:bCs/>
                <w:sz w:val="19"/>
                <w:szCs w:val="19"/>
              </w:rPr>
              <w:t xml:space="preserve">F12.2, F12.3, F12.4</w:t>
            </w:r>
          </w:p>
        </w:tc>
        <w:tc>
          <w:tcPr>
            <w:tcW w:type="dxa" w:w="674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Sentence fragments (list items). The content is checkable and correct, but E is defensible if you think the unit is malformed.</w:t>
            </w:r>
          </w:p>
        </w:tc>
        <w:tc>
          <w:tcPr>
            <w:tcW w:type="dxa" w:w="1500"/>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C</w:t>
            </w:r>
          </w:p>
        </w:tc>
      </w:tr>
      <w:tr>
        <w:tc>
          <w:tcPr>
            <w:tcW w:type="dxa" w:w="1500"/>
            <w:tcMar>
              <w:top w:type="dxa" w:w="60"/>
              <w:left w:type="dxa" w:w="100"/>
              <w:bottom w:type="dxa" w:w="60"/>
              <w:right w:type="dxa" w:w="100"/>
            </w:tcMar>
          </w:tcPr>
          <w:p>
            <w:pPr>
              <w:spacing w:after="0" w:line="250"/>
            </w:pPr>
            <w:r>
              <w:rPr>
                <w:rFonts w:ascii="Calibri" w:cs="Calibri" w:eastAsia="Calibri" w:hAnsi="Calibri"/>
                <w:b/>
                <w:bCs/>
                <w:sz w:val="19"/>
                <w:szCs w:val="19"/>
              </w:rPr>
              <w:t xml:space="preserve">F09.3</w:t>
            </w:r>
          </w:p>
        </w:tc>
        <w:tc>
          <w:tcPr>
            <w:tcW w:type="dxa" w:w="674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"The segment will be a moderating factor" with no antecedent in the sentence. Only one segment fits.</w:t>
            </w:r>
          </w:p>
        </w:tc>
        <w:tc>
          <w:tcPr>
            <w:tcW w:type="dxa" w:w="1500"/>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C</w:t>
            </w:r>
          </w:p>
        </w:tc>
      </w:tr>
      <w:tr>
        <w:tc>
          <w:tcPr>
            <w:tcW w:type="dxa" w:w="1500"/>
            <w:tcMar>
              <w:top w:type="dxa" w:w="60"/>
              <w:left w:type="dxa" w:w="100"/>
              <w:bottom w:type="dxa" w:w="60"/>
              <w:right w:type="dxa" w:w="100"/>
            </w:tcMar>
          </w:tcPr>
          <w:p>
            <w:pPr>
              <w:spacing w:after="0" w:line="250"/>
            </w:pPr>
            <w:r>
              <w:rPr>
                <w:rFonts w:ascii="Calibri" w:cs="Calibri" w:eastAsia="Calibri" w:hAnsi="Calibri"/>
                <w:b/>
                <w:bCs/>
                <w:sz w:val="19"/>
                <w:szCs w:val="19"/>
              </w:rPr>
              <w:t xml:space="preserve">F14.5</w:t>
            </w:r>
          </w:p>
        </w:tc>
        <w:tc>
          <w:tcPr>
            <w:tcW w:type="dxa" w:w="674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"We expect to bring a specific potential investment." The source says either a transaction memo OR a refreshed thesis, and explicitly recommends nothing specific now.</w:t>
            </w:r>
          </w:p>
        </w:tc>
        <w:tc>
          <w:tcPr>
            <w:tcW w:type="dxa" w:w="1500"/>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X</w:t>
            </w:r>
          </w:p>
        </w:tc>
      </w:tr>
    </w:tbl>
    <w:p>
      <w:pPr>
        <w:pStyle w:val="Heading1"/>
        <w:spacing w:after="180" w:before="360"/>
      </w:pPr>
      <w:r>
        <w:rPr>
          <w:rFonts w:ascii="Calibri" w:cs="Calibri" w:eastAsia="Calibri" w:hAnsi="Calibri"/>
          <w:b/>
          <w:bCs/>
          <w:color w:val="1F3864"/>
          <w:sz w:val="28"/>
          <w:szCs w:val="28"/>
        </w:rPr>
        <w:t xml:space="preserve">Statement by statement</w:t>
      </w:r>
    </w:p>
    <w:p>
      <w:pPr>
        <w:spacing w:after="200" w:line="260"/>
      </w:pPr>
      <w:r>
        <w:rPr>
          <w:rFonts w:ascii="Calibri" w:cs="Calibri" w:eastAsia="Calibri" w:hAnsi="Calibri"/>
          <w:b w:val="false"/>
          <w:bCs w:val="false"/>
          <w:sz w:val="19"/>
          <w:szCs w:val="19"/>
        </w:rPr>
        <w:t xml:space="preserve">Shaded rows are the non-confirmed proposals: red for conflicting, amber for partial or no support.</w:t>
      </w:r>
    </w:p>
    <w:p>
      <w:pPr>
        <w:pStyle w:val="Heading2"/>
        <w:spacing w:after="140" w:before="320"/>
      </w:pPr>
      <w:r>
        <w:rPr>
          <w:rFonts w:ascii="Calibri" w:cs="Calibri" w:eastAsia="Calibri" w:hAnsi="Calibri"/>
          <w:b/>
          <w:bCs/>
          <w:color w:val="1F3864"/>
          <w:sz w:val="24"/>
          <w:szCs w:val="24"/>
        </w:rPr>
        <w:t xml:space="preserve">F01 bvp_shopify_memo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
        <w:gridCol w:w="1150"/>
        <w:gridCol w:w="1000"/>
        <w:gridCol w:w="7076"/>
      </w:tblGrid>
      <w:tr>
        <w:trPr>
          <w:tblHeader/>
        </w:trPr>
        <w:tc>
          <w:tcPr>
            <w:tcW w:type="dxa" w:w="520"/>
            <w:shd w:fill="F2F2F2"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w:t>
            </w:r>
          </w:p>
        </w:tc>
        <w:tc>
          <w:tcPr>
            <w:tcW w:type="dxa" w:w="1150"/>
            <w:shd w:fill="F2F2F2"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Proposed</w:t>
            </w:r>
          </w:p>
        </w:tc>
        <w:tc>
          <w:tcPr>
            <w:tcW w:type="dxa" w:w="1000"/>
            <w:shd w:fill="F2F2F2"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Amend</w:t>
            </w:r>
          </w:p>
        </w:tc>
        <w:tc>
          <w:tcPr>
            <w:tcW w:type="dxa" w:w="7076"/>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Basis</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1</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Source: "founded in 2007", "Shopify’s 24 employees are located in Ottawa, Canada", e-commerce software to SMBs. Founding in Ottawa is implied, not stated.</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2</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Source: "The business is profitable and largely bootstrapped, having raised just $1mm to date."</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3</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Verbatim: 24 employees in Ottawa, talent "at 60%-70% of the cost of similar talent in Silicon Valley or New York".</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4</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Source: "We recommend this investment."</w:t>
            </w:r>
          </w:p>
        </w:tc>
      </w:tr>
    </w:tbl>
    <w:p>
      <w:pPr>
        <w:spacing w:after="60"/>
      </w:pPr>
    </w:p>
    <w:p>
      <w:pPr>
        <w:pStyle w:val="Heading2"/>
        <w:spacing w:after="140" w:before="320"/>
      </w:pPr>
      <w:r>
        <w:rPr>
          <w:rFonts w:ascii="Calibri" w:cs="Calibri" w:eastAsia="Calibri" w:hAnsi="Calibri"/>
          <w:b/>
          <w:bCs/>
          <w:color w:val="1F3864"/>
          <w:sz w:val="24"/>
          <w:szCs w:val="24"/>
        </w:rPr>
        <w:t xml:space="preserve">F02 pg_atnorth_exit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
        <w:gridCol w:w="1150"/>
        <w:gridCol w:w="1000"/>
        <w:gridCol w:w="7076"/>
      </w:tblGrid>
      <w:tr>
        <w:trPr>
          <w:tblHeader/>
        </w:trPr>
        <w:tc>
          <w:tcPr>
            <w:tcW w:type="dxa" w:w="520"/>
            <w:shd w:fill="F2F2F2"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w:t>
            </w:r>
          </w:p>
        </w:tc>
        <w:tc>
          <w:tcPr>
            <w:tcW w:type="dxa" w:w="1150"/>
            <w:shd w:fill="F2F2F2"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Proposed</w:t>
            </w:r>
          </w:p>
        </w:tc>
        <w:tc>
          <w:tcPr>
            <w:tcW w:type="dxa" w:w="1000"/>
            <w:shd w:fill="F2F2F2"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Amend</w:t>
            </w:r>
          </w:p>
        </w:tc>
        <w:tc>
          <w:tcPr>
            <w:tcW w:type="dxa" w:w="7076"/>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Basis</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1</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Verbatim: CPP Investments and Equinix, enterprise value USD 4 billion.</w:t>
            </w:r>
          </w:p>
        </w:tc>
      </w:tr>
      <w:tr>
        <w:tc>
          <w:tcPr>
            <w:tcW w:type="dxa" w:w="520"/>
            <w:shd w:fill="FDF0D5"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2</w:t>
            </w:r>
          </w:p>
        </w:tc>
        <w:tc>
          <w:tcPr>
            <w:tcW w:type="dxa" w:w="1150"/>
            <w:shd w:fill="FDF0D5"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P</w:t>
            </w:r>
          </w:p>
        </w:tc>
        <w:tc>
          <w:tcPr>
            <w:tcW w:type="dxa" w:w="1000"/>
            <w:shd w:fill="FDF0D5" w:color="auto" w:val="clear"/>
            <w:tcMar>
              <w:top w:type="dxa" w:w="60"/>
              <w:left w:type="dxa" w:w="100"/>
              <w:bottom w:type="dxa" w:w="60"/>
              <w:right w:type="dxa" w:w="100"/>
            </w:tcMar>
          </w:tcPr>
          <w:p>
            <w:pPr>
              <w:spacing w:after="0" w:line="250"/>
            </w:pPr>
          </w:p>
        </w:tc>
        <w:tc>
          <w:tcPr>
            <w:tcW w:type="dxa" w:w="7076"/>
            <w:shd w:fill="FDF0D5" w:color="auto" w:val="clear"/>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Source says "provides substantial expansion potential" and "will help atNorth capitalize on the market opportunity". Draft says </w:t>
            </w:r>
            <w:r>
              <w:rPr>
                <w:rFonts w:ascii="Calibri" w:cs="Calibri" w:eastAsia="Calibri" w:hAnsi="Calibri"/>
                <w:b/>
                <w:bCs/>
                <w:sz w:val="19"/>
                <w:szCs w:val="19"/>
              </w:rPr>
              <w:t xml:space="preserve">exceptionally well positioned</w:t>
            </w:r>
            <w:r>
              <w:rPr>
                <w:rFonts w:ascii="Calibri" w:cs="Calibri" w:eastAsia="Calibri" w:hAnsi="Calibri"/>
                <w:b w:val="false"/>
                <w:bCs w:val="false"/>
                <w:sz w:val="19"/>
                <w:szCs w:val="19"/>
              </w:rPr>
              <w:t xml:space="preserve">. Direction supported, intensity not.</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3</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Peiner quote, near verbatim: successful control exit, still thematically focused globally.</w:t>
            </w:r>
          </w:p>
        </w:tc>
      </w:tr>
    </w:tbl>
    <w:p>
      <w:pPr>
        <w:spacing w:after="60"/>
      </w:pPr>
    </w:p>
    <w:p>
      <w:pPr>
        <w:pStyle w:val="Heading2"/>
        <w:spacing w:after="140" w:before="320"/>
      </w:pPr>
      <w:r>
        <w:rPr>
          <w:rFonts w:ascii="Calibri" w:cs="Calibri" w:eastAsia="Calibri" w:hAnsi="Calibri"/>
          <w:b/>
          <w:bCs/>
          <w:color w:val="1F3864"/>
          <w:sz w:val="24"/>
          <w:szCs w:val="24"/>
        </w:rPr>
        <w:t xml:space="preserve">F03 pg_gestcompost_investment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
        <w:gridCol w:w="1150"/>
        <w:gridCol w:w="1000"/>
        <w:gridCol w:w="7076"/>
      </w:tblGrid>
      <w:tr>
        <w:trPr>
          <w:tblHeader/>
        </w:trPr>
        <w:tc>
          <w:tcPr>
            <w:tcW w:type="dxa" w:w="520"/>
            <w:shd w:fill="F2F2F2"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w:t>
            </w:r>
          </w:p>
        </w:tc>
        <w:tc>
          <w:tcPr>
            <w:tcW w:type="dxa" w:w="1150"/>
            <w:shd w:fill="F2F2F2"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Proposed</w:t>
            </w:r>
          </w:p>
        </w:tc>
        <w:tc>
          <w:tcPr>
            <w:tcW w:type="dxa" w:w="1000"/>
            <w:shd w:fill="F2F2F2"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Amend</w:t>
            </w:r>
          </w:p>
        </w:tc>
        <w:tc>
          <w:tcPr>
            <w:tcW w:type="dxa" w:w="7076"/>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Basis</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1</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Verbatim: continuation fund managed by Suma Capital, cornerstone investor, two board seats.</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2</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Verbatim: "tripling its EBITDA, expanding its workforce, and increasing its treatment capacity".</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3</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Source: "Infrastructure business has USD 27 billion in overall assets under management."</w:t>
            </w:r>
          </w:p>
        </w:tc>
      </w:tr>
    </w:tbl>
    <w:p>
      <w:pPr>
        <w:spacing w:after="60"/>
      </w:pPr>
    </w:p>
    <w:p>
      <w:pPr>
        <w:pStyle w:val="Heading2"/>
        <w:spacing w:after="140" w:before="320"/>
      </w:pPr>
      <w:r>
        <w:rPr>
          <w:rFonts w:ascii="Calibri" w:cs="Calibri" w:eastAsia="Calibri" w:hAnsi="Calibri"/>
          <w:b/>
          <w:bCs/>
          <w:color w:val="1F3864"/>
          <w:sz w:val="24"/>
          <w:szCs w:val="24"/>
        </w:rPr>
        <w:t xml:space="preserve">F04 synth_vc_pinterest_style_memo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
        <w:gridCol w:w="1150"/>
        <w:gridCol w:w="1000"/>
        <w:gridCol w:w="7076"/>
      </w:tblGrid>
      <w:tr>
        <w:trPr>
          <w:tblHeader/>
        </w:trPr>
        <w:tc>
          <w:tcPr>
            <w:tcW w:type="dxa" w:w="520"/>
            <w:shd w:fill="F2F2F2"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w:t>
            </w:r>
          </w:p>
        </w:tc>
        <w:tc>
          <w:tcPr>
            <w:tcW w:type="dxa" w:w="1150"/>
            <w:shd w:fill="F2F2F2"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Proposed</w:t>
            </w:r>
          </w:p>
        </w:tc>
        <w:tc>
          <w:tcPr>
            <w:tcW w:type="dxa" w:w="1000"/>
            <w:shd w:fill="F2F2F2"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Amend</w:t>
            </w:r>
          </w:p>
        </w:tc>
        <w:tc>
          <w:tcPr>
            <w:tcW w:type="dxa" w:w="7076"/>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Basis</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1</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Description verbatim. See flag: the source seeks approval, the draft announces an investment.</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2</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Source: "the median active user pins approximately 8 items per week".</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3</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Source: "the engagement metrics are exceptional".</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4</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Two respects given: 82% women, weighted to 25 to 44.</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5</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Source: "Both founders are first-time founders"; "Our diligence on Ben has been deep. References... uniformly positive."</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6</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Source: "six full-time employees plus the two founders" = 8; "approximately 1.5 million" monthly active users.</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7</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Source: "meaningful risk that the unusually strong engagement profile reflects the highly self-selected nature of the current user base".</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8</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Source: "The downside case is total loss, which we have stress-tested and consider tolerable given the conviction in the engagement signal."</w:t>
            </w:r>
          </w:p>
        </w:tc>
      </w:tr>
    </w:tbl>
    <w:p>
      <w:pPr>
        <w:spacing w:after="60"/>
      </w:pPr>
    </w:p>
    <w:p>
      <w:pPr>
        <w:pStyle w:val="Heading2"/>
        <w:spacing w:after="140" w:before="320"/>
      </w:pPr>
      <w:r>
        <w:rPr>
          <w:rFonts w:ascii="Calibri" w:cs="Calibri" w:eastAsia="Calibri" w:hAnsi="Calibri"/>
          <w:b/>
          <w:bCs/>
          <w:color w:val="1F3864"/>
          <w:sz w:val="24"/>
          <w:szCs w:val="24"/>
        </w:rPr>
        <w:t xml:space="preserve">F05 synth_competitor_press_release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
        <w:gridCol w:w="1150"/>
        <w:gridCol w:w="1000"/>
        <w:gridCol w:w="7076"/>
      </w:tblGrid>
      <w:tr>
        <w:trPr>
          <w:tblHeader/>
        </w:trPr>
        <w:tc>
          <w:tcPr>
            <w:tcW w:type="dxa" w:w="520"/>
            <w:shd w:fill="F2F2F2"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w:t>
            </w:r>
          </w:p>
        </w:tc>
        <w:tc>
          <w:tcPr>
            <w:tcW w:type="dxa" w:w="1150"/>
            <w:shd w:fill="F2F2F2"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Proposed</w:t>
            </w:r>
          </w:p>
        </w:tc>
        <w:tc>
          <w:tcPr>
            <w:tcW w:type="dxa" w:w="1000"/>
            <w:shd w:fill="F2F2F2"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Amend</w:t>
            </w:r>
          </w:p>
        </w:tc>
        <w:tc>
          <w:tcPr>
            <w:tcW w:type="dxa" w:w="7076"/>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Basis</w:t>
            </w:r>
          </w:p>
        </w:tc>
      </w:tr>
      <w:tr>
        <w:tc>
          <w:tcPr>
            <w:tcW w:type="dxa" w:w="520"/>
            <w:shd w:fill="FBE4E4"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1</w:t>
            </w:r>
          </w:p>
        </w:tc>
        <w:tc>
          <w:tcPr>
            <w:tcW w:type="dxa" w:w="1150"/>
            <w:shd w:fill="FBE4E4"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X</w:t>
            </w:r>
          </w:p>
        </w:tc>
        <w:tc>
          <w:tcPr>
            <w:tcW w:type="dxa" w:w="1000"/>
            <w:shd w:fill="FBE4E4" w:color="auto" w:val="clear"/>
            <w:tcMar>
              <w:top w:type="dxa" w:w="60"/>
              <w:left w:type="dxa" w:w="100"/>
              <w:bottom w:type="dxa" w:w="60"/>
              <w:right w:type="dxa" w:w="100"/>
            </w:tcMar>
          </w:tcPr>
          <w:p>
            <w:pPr>
              <w:spacing w:after="0" w:line="250"/>
            </w:pPr>
          </w:p>
        </w:tc>
        <w:tc>
          <w:tcPr>
            <w:tcW w:type="dxa" w:w="7076"/>
            <w:shd w:fill="FBE4E4" w:color="auto" w:val="clear"/>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Source headline: "</w:t>
            </w:r>
            <w:r>
              <w:rPr>
                <w:rFonts w:ascii="Calibri" w:cs="Calibri" w:eastAsia="Calibri" w:hAnsi="Calibri"/>
                <w:b/>
                <w:bCs/>
                <w:sz w:val="19"/>
                <w:szCs w:val="19"/>
              </w:rPr>
              <w:t xml:space="preserve">Westhaven Capital</w:t>
            </w:r>
            <w:r>
              <w:rPr>
                <w:rFonts w:ascii="Calibri" w:cs="Calibri" w:eastAsia="Calibri" w:hAnsi="Calibri"/>
                <w:b w:val="false"/>
                <w:bCs w:val="false"/>
                <w:sz w:val="19"/>
                <w:szCs w:val="19"/>
              </w:rPr>
              <w:t xml:space="preserve"> agrees to acquire Norwell </w:t>
            </w:r>
            <w:r>
              <w:rPr>
                <w:rFonts w:ascii="Calibri" w:cs="Calibri" w:eastAsia="Calibri" w:hAnsi="Calibri"/>
                <w:b/>
                <w:bCs/>
                <w:sz w:val="19"/>
                <w:szCs w:val="19"/>
              </w:rPr>
              <w:t xml:space="preserve">from Bridgepoint</w:t>
            </w:r>
            <w:r>
              <w:rPr>
                <w:rFonts w:ascii="Calibri" w:cs="Calibri" w:eastAsia="Calibri" w:hAnsi="Calibri"/>
                <w:b w:val="false"/>
                <w:bCs w:val="false"/>
                <w:sz w:val="19"/>
                <w:szCs w:val="19"/>
              </w:rPr>
              <w:t xml:space="preserve">". Draft has Halden acquiring from Westhaven. Both parties wrong.</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2</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Verbatim: Cleveland headquarters, major commercial aircraft OEMs and leading US defense primes.</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3</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Verbatim: approximately 11 percent CAGR over five years, post-pandemic recovery plus defense strength.</w:t>
            </w:r>
          </w:p>
        </w:tc>
      </w:tr>
      <w:tr>
        <w:tc>
          <w:tcPr>
            <w:tcW w:type="dxa" w:w="520"/>
            <w:shd w:fill="FBE4E4"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4</w:t>
            </w:r>
          </w:p>
        </w:tc>
        <w:tc>
          <w:tcPr>
            <w:tcW w:type="dxa" w:w="1150"/>
            <w:shd w:fill="FBE4E4"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X</w:t>
            </w:r>
          </w:p>
        </w:tc>
        <w:tc>
          <w:tcPr>
            <w:tcW w:type="dxa" w:w="1000"/>
            <w:shd w:fill="FBE4E4" w:color="auto" w:val="clear"/>
            <w:tcMar>
              <w:top w:type="dxa" w:w="60"/>
              <w:left w:type="dxa" w:w="100"/>
              <w:bottom w:type="dxa" w:w="60"/>
              <w:right w:type="dxa" w:w="100"/>
            </w:tcMar>
          </w:tcPr>
          <w:p>
            <w:pPr>
              <w:spacing w:after="0" w:line="250"/>
            </w:pPr>
          </w:p>
        </w:tc>
        <w:tc>
          <w:tcPr>
            <w:tcW w:type="dxa" w:w="7076"/>
            <w:shd w:fill="FBE4E4" w:color="auto" w:val="clear"/>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Source: invested significantly in new composite manufacturing capability during the </w:t>
            </w:r>
            <w:r>
              <w:rPr>
                <w:rFonts w:ascii="Calibri" w:cs="Calibri" w:eastAsia="Calibri" w:hAnsi="Calibri"/>
                <w:b/>
                <w:bCs/>
                <w:sz w:val="19"/>
                <w:szCs w:val="19"/>
              </w:rPr>
              <w:t xml:space="preserve">Bridgepoint</w:t>
            </w:r>
            <w:r>
              <w:rPr>
                <w:rFonts w:ascii="Calibri" w:cs="Calibri" w:eastAsia="Calibri" w:hAnsi="Calibri"/>
                <w:b w:val="false"/>
                <w:bCs w:val="false"/>
                <w:sz w:val="19"/>
                <w:szCs w:val="19"/>
              </w:rPr>
              <w:t xml:space="preserve"> ownership period. Draft says Westhaven’s ownership.</w:t>
            </w:r>
          </w:p>
        </w:tc>
      </w:tr>
      <w:tr>
        <w:tc>
          <w:tcPr>
            <w:tcW w:type="dxa" w:w="520"/>
            <w:shd w:fill="FBE4E4"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5</w:t>
            </w:r>
          </w:p>
        </w:tc>
        <w:tc>
          <w:tcPr>
            <w:tcW w:type="dxa" w:w="1150"/>
            <w:shd w:fill="FBE4E4"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X</w:t>
            </w:r>
          </w:p>
        </w:tc>
        <w:tc>
          <w:tcPr>
            <w:tcW w:type="dxa" w:w="1000"/>
            <w:shd w:fill="FBE4E4" w:color="auto" w:val="clear"/>
            <w:tcMar>
              <w:top w:type="dxa" w:w="60"/>
              <w:left w:type="dxa" w:w="100"/>
              <w:bottom w:type="dxa" w:w="60"/>
              <w:right w:type="dxa" w:w="100"/>
            </w:tcMar>
          </w:tcPr>
          <w:p>
            <w:pPr>
              <w:spacing w:after="0" w:line="250"/>
            </w:pPr>
          </w:p>
        </w:tc>
        <w:tc>
          <w:tcPr>
            <w:tcW w:type="dxa" w:w="7076"/>
            <w:shd w:fill="FBE4E4" w:color="auto" w:val="clear"/>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Source never names Halden and never mentions accelerating space applications. See flag: N is defensible if you read this as fabrication rather than contradiction.</w:t>
            </w:r>
          </w:p>
        </w:tc>
      </w:tr>
    </w:tbl>
    <w:p>
      <w:pPr>
        <w:spacing w:after="60"/>
      </w:pPr>
    </w:p>
    <w:p>
      <w:pPr>
        <w:pStyle w:val="Heading2"/>
        <w:spacing w:after="140" w:before="320"/>
      </w:pPr>
      <w:r>
        <w:rPr>
          <w:rFonts w:ascii="Calibri" w:cs="Calibri" w:eastAsia="Calibri" w:hAnsi="Calibri"/>
          <w:b/>
          <w:bCs/>
          <w:color w:val="1F3864"/>
          <w:sz w:val="24"/>
          <w:szCs w:val="24"/>
        </w:rPr>
        <w:t xml:space="preserve">F06 synth_listed_pe_report_excerpt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
        <w:gridCol w:w="1150"/>
        <w:gridCol w:w="1000"/>
        <w:gridCol w:w="7076"/>
      </w:tblGrid>
      <w:tr>
        <w:trPr>
          <w:tblHeader/>
        </w:trPr>
        <w:tc>
          <w:tcPr>
            <w:tcW w:type="dxa" w:w="520"/>
            <w:shd w:fill="F2F2F2"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w:t>
            </w:r>
          </w:p>
        </w:tc>
        <w:tc>
          <w:tcPr>
            <w:tcW w:type="dxa" w:w="1150"/>
            <w:shd w:fill="F2F2F2"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Proposed</w:t>
            </w:r>
          </w:p>
        </w:tc>
        <w:tc>
          <w:tcPr>
            <w:tcW w:type="dxa" w:w="1000"/>
            <w:shd w:fill="F2F2F2"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Amend</w:t>
            </w:r>
          </w:p>
        </w:tc>
        <w:tc>
          <w:tcPr>
            <w:tcW w:type="dxa" w:w="7076"/>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Basis</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1</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Verbatim: GBP 41 million to GBP 78 million, margins 21.9% to 25.0%.</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2</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Source: "progressed more slowly than originally underwritten".</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3</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Verbatim: new Chief Commercial Officer, new Chairman, contributing meaningfully in 2026, "fundamentally sound".</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4</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Verbatim: 31 percent, up from 26 percent.</w:t>
            </w:r>
          </w:p>
        </w:tc>
      </w:tr>
    </w:tbl>
    <w:p>
      <w:pPr>
        <w:spacing w:after="60"/>
      </w:pPr>
    </w:p>
    <w:p>
      <w:pPr>
        <w:pStyle w:val="Heading2"/>
        <w:spacing w:after="140" w:before="320"/>
      </w:pPr>
      <w:r>
        <w:rPr>
          <w:rFonts w:ascii="Calibri" w:cs="Calibri" w:eastAsia="Calibri" w:hAnsi="Calibri"/>
          <w:b/>
          <w:bCs/>
          <w:color w:val="1F3864"/>
          <w:sz w:val="24"/>
          <w:szCs w:val="24"/>
        </w:rPr>
        <w:t xml:space="preserve">F07 synth_vc_thesis_post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
        <w:gridCol w:w="1150"/>
        <w:gridCol w:w="1000"/>
        <w:gridCol w:w="7076"/>
      </w:tblGrid>
      <w:tr>
        <w:trPr>
          <w:tblHeader/>
        </w:trPr>
        <w:tc>
          <w:tcPr>
            <w:tcW w:type="dxa" w:w="520"/>
            <w:shd w:fill="F2F2F2"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w:t>
            </w:r>
          </w:p>
        </w:tc>
        <w:tc>
          <w:tcPr>
            <w:tcW w:type="dxa" w:w="1150"/>
            <w:shd w:fill="F2F2F2"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Proposed</w:t>
            </w:r>
          </w:p>
        </w:tc>
        <w:tc>
          <w:tcPr>
            <w:tcW w:type="dxa" w:w="1000"/>
            <w:shd w:fill="F2F2F2"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Amend</w:t>
            </w:r>
          </w:p>
        </w:tc>
        <w:tc>
          <w:tcPr>
            <w:tcW w:type="dxa" w:w="7076"/>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Basis</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1</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Verbatim list of the five industries.</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2</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Source: "This is not a prediction about general intelligence."</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3</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All three claims present: incumbent disruption, commercial model change, winner-takes-most.</w:t>
            </w:r>
          </w:p>
        </w:tc>
      </w:tr>
    </w:tbl>
    <w:p>
      <w:pPr>
        <w:spacing w:after="60"/>
      </w:pPr>
    </w:p>
    <w:p>
      <w:pPr>
        <w:pStyle w:val="Heading2"/>
        <w:spacing w:after="140" w:before="320"/>
      </w:pPr>
      <w:r>
        <w:rPr>
          <w:rFonts w:ascii="Calibri" w:cs="Calibri" w:eastAsia="Calibri" w:hAnsi="Calibri"/>
          <w:b/>
          <w:bCs/>
          <w:color w:val="1F3864"/>
          <w:sz w:val="24"/>
          <w:szCs w:val="24"/>
        </w:rPr>
        <w:t xml:space="preserve">F08 synth_industrial_buyout_memo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
        <w:gridCol w:w="1150"/>
        <w:gridCol w:w="1000"/>
        <w:gridCol w:w="7076"/>
      </w:tblGrid>
      <w:tr>
        <w:trPr>
          <w:tblHeader/>
        </w:trPr>
        <w:tc>
          <w:tcPr>
            <w:tcW w:type="dxa" w:w="520"/>
            <w:shd w:fill="F2F2F2"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w:t>
            </w:r>
          </w:p>
        </w:tc>
        <w:tc>
          <w:tcPr>
            <w:tcW w:type="dxa" w:w="1150"/>
            <w:shd w:fill="F2F2F2"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Proposed</w:t>
            </w:r>
          </w:p>
        </w:tc>
        <w:tc>
          <w:tcPr>
            <w:tcW w:type="dxa" w:w="1000"/>
            <w:shd w:fill="F2F2F2"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Amend</w:t>
            </w:r>
          </w:p>
        </w:tc>
        <w:tc>
          <w:tcPr>
            <w:tcW w:type="dxa" w:w="7076"/>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Basis</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1</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Description verbatim. See flag on "new investment".</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2</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Source: "the Company occupies an enviable competitive position", supported by the three-qualified-suppliers detail.</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3</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Verbatim: 18 to 24 months, clinical trial impact assessments.</w:t>
            </w:r>
          </w:p>
        </w:tc>
      </w:tr>
      <w:tr>
        <w:tc>
          <w:tcPr>
            <w:tcW w:type="dxa" w:w="520"/>
            <w:shd w:fill="FDF0D5"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4</w:t>
            </w:r>
          </w:p>
        </w:tc>
        <w:tc>
          <w:tcPr>
            <w:tcW w:type="dxa" w:w="1150"/>
            <w:shd w:fill="FDF0D5"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P</w:t>
            </w:r>
          </w:p>
        </w:tc>
        <w:tc>
          <w:tcPr>
            <w:tcW w:type="dxa" w:w="1000"/>
            <w:shd w:fill="FDF0D5" w:color="auto" w:val="clear"/>
            <w:tcMar>
              <w:top w:type="dxa" w:w="60"/>
              <w:left w:type="dxa" w:w="100"/>
              <w:bottom w:type="dxa" w:w="60"/>
              <w:right w:type="dxa" w:w="100"/>
            </w:tcMar>
          </w:tcPr>
          <w:p>
            <w:pPr>
              <w:spacing w:after="0" w:line="250"/>
            </w:pPr>
          </w:p>
        </w:tc>
        <w:tc>
          <w:tcPr>
            <w:tcW w:type="dxa" w:w="7076"/>
            <w:shd w:fill="FDF0D5" w:color="auto" w:val="clear"/>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Source sources the 300 to 400 basis points from </w:t>
            </w:r>
            <w:r>
              <w:rPr>
                <w:rFonts w:ascii="Calibri" w:cs="Calibri" w:eastAsia="Calibri" w:hAnsi="Calibri"/>
                <w:b/>
                <w:bCs/>
                <w:sz w:val="19"/>
                <w:szCs w:val="19"/>
              </w:rPr>
              <w:t xml:space="preserve">three</w:t>
            </w:r>
            <w:r>
              <w:rPr>
                <w:rFonts w:ascii="Calibri" w:cs="Calibri" w:eastAsia="Calibri" w:hAnsi="Calibri"/>
                <w:b w:val="false"/>
                <w:bCs w:val="false"/>
                <w:sz w:val="19"/>
                <w:szCs w:val="19"/>
              </w:rPr>
              <w:t xml:space="preserve"> levers: footprint, procurement, </w:t>
            </w:r>
            <w:r>
              <w:rPr>
                <w:rFonts w:ascii="Calibri" w:cs="Calibri" w:eastAsia="Calibri" w:hAnsi="Calibri"/>
                <w:b/>
                <w:bCs/>
                <w:sz w:val="19"/>
                <w:szCs w:val="19"/>
              </w:rPr>
              <w:t xml:space="preserve">and Brno automation</w:t>
            </w:r>
            <w:r>
              <w:rPr>
                <w:rFonts w:ascii="Calibri" w:cs="Calibri" w:eastAsia="Calibri" w:hAnsi="Calibri"/>
                <w:b w:val="false"/>
                <w:bCs w:val="false"/>
                <w:sz w:val="19"/>
                <w:szCs w:val="19"/>
              </w:rPr>
              <w:t xml:space="preserve">. Draft names two.</w:t>
            </w:r>
          </w:p>
        </w:tc>
      </w:tr>
      <w:tr>
        <w:tc>
          <w:tcPr>
            <w:tcW w:type="dxa" w:w="520"/>
            <w:shd w:fill="FDF0D5"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5</w:t>
            </w:r>
          </w:p>
        </w:tc>
        <w:tc>
          <w:tcPr>
            <w:tcW w:type="dxa" w:w="1150"/>
            <w:shd w:fill="FDF0D5"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P</w:t>
            </w:r>
          </w:p>
        </w:tc>
        <w:tc>
          <w:tcPr>
            <w:tcW w:type="dxa" w:w="1000"/>
            <w:shd w:fill="FDF0D5" w:color="auto" w:val="clear"/>
            <w:tcMar>
              <w:top w:type="dxa" w:w="60"/>
              <w:left w:type="dxa" w:w="100"/>
              <w:bottom w:type="dxa" w:w="60"/>
              <w:right w:type="dxa" w:w="100"/>
            </w:tcMar>
          </w:tcPr>
          <w:p>
            <w:pPr>
              <w:spacing w:after="0" w:line="250"/>
            </w:pPr>
          </w:p>
        </w:tc>
        <w:tc>
          <w:tcPr>
            <w:tcW w:type="dxa" w:w="7076"/>
            <w:shd w:fill="FDF0D5" w:color="auto" w:val="clear"/>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Source decomposes the 9% as 5% end-market plus 2% share gain plus 2% M&amp;A. Draft attributes it to end-market exposure.</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6</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Source: "2.4x gross MOIC and a 19% gross IRR".</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7</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The four risks are exactly the four listed; "The risks are well-understood and manageable."</w:t>
            </w:r>
          </w:p>
        </w:tc>
      </w:tr>
    </w:tbl>
    <w:p>
      <w:pPr>
        <w:spacing w:after="60"/>
      </w:pPr>
    </w:p>
    <w:p>
      <w:pPr>
        <w:pStyle w:val="Heading2"/>
        <w:spacing w:after="140" w:before="320"/>
      </w:pPr>
      <w:r>
        <w:rPr>
          <w:rFonts w:ascii="Calibri" w:cs="Calibri" w:eastAsia="Calibri" w:hAnsi="Calibri"/>
          <w:b/>
          <w:bCs/>
          <w:color w:val="1F3864"/>
          <w:sz w:val="24"/>
          <w:szCs w:val="24"/>
        </w:rPr>
        <w:t xml:space="preserve">F09 synth_portfolio_update_letter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
        <w:gridCol w:w="1150"/>
        <w:gridCol w:w="1000"/>
        <w:gridCol w:w="7076"/>
      </w:tblGrid>
      <w:tr>
        <w:trPr>
          <w:tblHeader/>
        </w:trPr>
        <w:tc>
          <w:tcPr>
            <w:tcW w:type="dxa" w:w="520"/>
            <w:shd w:fill="F2F2F2"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w:t>
            </w:r>
          </w:p>
        </w:tc>
        <w:tc>
          <w:tcPr>
            <w:tcW w:type="dxa" w:w="1150"/>
            <w:shd w:fill="F2F2F2"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Proposed</w:t>
            </w:r>
          </w:p>
        </w:tc>
        <w:tc>
          <w:tcPr>
            <w:tcW w:type="dxa" w:w="1000"/>
            <w:shd w:fill="F2F2F2"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Amend</w:t>
            </w:r>
          </w:p>
        </w:tc>
        <w:tc>
          <w:tcPr>
            <w:tcW w:type="dxa" w:w="7076"/>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Basis</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1</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Verbatim: EUR 318 million 4% above plan, EUR 58 million 7% above, 18.3% margins.</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2</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Medical grew 14% driven by 22% from the largest orthopaedic customer; aerospace 9%, semiconductors down 6%. Medical is the principal driver of the beat.</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3</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Semiconductor guided flat for 12 months; "We remain confident in our base case returns". See flag on the dangling "the segment".</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4</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Verbatim: September, EUR 2.1 million secured, EUR 5 million year-one target.</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5</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Verbatim: EUR 18 million first-phase capex, installation targeted Q3 2026.</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6</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Source: "We remain confident in our base case returns of 2.4x MOIC and 19% IRR."</w:t>
            </w:r>
          </w:p>
        </w:tc>
      </w:tr>
    </w:tbl>
    <w:p>
      <w:pPr>
        <w:spacing w:after="60"/>
      </w:pPr>
    </w:p>
    <w:p>
      <w:pPr>
        <w:pStyle w:val="Heading2"/>
        <w:spacing w:after="140" w:before="320"/>
      </w:pPr>
      <w:r>
        <w:rPr>
          <w:rFonts w:ascii="Calibri" w:cs="Calibri" w:eastAsia="Calibri" w:hAnsi="Calibri"/>
          <w:b/>
          <w:bCs/>
          <w:color w:val="1F3864"/>
          <w:sz w:val="24"/>
          <w:szCs w:val="24"/>
        </w:rPr>
        <w:t xml:space="preserve">F10 synth_public_press_release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
        <w:gridCol w:w="1150"/>
        <w:gridCol w:w="1000"/>
        <w:gridCol w:w="7076"/>
      </w:tblGrid>
      <w:tr>
        <w:trPr>
          <w:tblHeader/>
        </w:trPr>
        <w:tc>
          <w:tcPr>
            <w:tcW w:type="dxa" w:w="520"/>
            <w:shd w:fill="F2F2F2"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w:t>
            </w:r>
          </w:p>
        </w:tc>
        <w:tc>
          <w:tcPr>
            <w:tcW w:type="dxa" w:w="1150"/>
            <w:shd w:fill="F2F2F2"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Proposed</w:t>
            </w:r>
          </w:p>
        </w:tc>
        <w:tc>
          <w:tcPr>
            <w:tcW w:type="dxa" w:w="1000"/>
            <w:shd w:fill="F2F2F2"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Amend</w:t>
            </w:r>
          </w:p>
        </w:tc>
        <w:tc>
          <w:tcPr>
            <w:tcW w:type="dxa" w:w="7076"/>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Basis</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1</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Verbatim: Frankfurt, three facilities across Germany and Belgium, approximately 850 people.</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2</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Verbatim: more than 600 customers, ultra-high-purity solvents for wafer fabrication and active pharmaceutical ingredient manufacturing.</w:t>
            </w:r>
          </w:p>
        </w:tc>
      </w:tr>
    </w:tbl>
    <w:p>
      <w:pPr>
        <w:spacing w:after="60"/>
      </w:pPr>
    </w:p>
    <w:p>
      <w:pPr>
        <w:pStyle w:val="Heading2"/>
        <w:spacing w:after="140" w:before="320"/>
      </w:pPr>
      <w:r>
        <w:rPr>
          <w:rFonts w:ascii="Calibri" w:cs="Calibri" w:eastAsia="Calibri" w:hAnsi="Calibri"/>
          <w:b/>
          <w:bCs/>
          <w:color w:val="1F3864"/>
          <w:sz w:val="24"/>
          <w:szCs w:val="24"/>
        </w:rPr>
        <w:t xml:space="preserve">F11 synth_investor_letter_exit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
        <w:gridCol w:w="1150"/>
        <w:gridCol w:w="1000"/>
        <w:gridCol w:w="7076"/>
      </w:tblGrid>
      <w:tr>
        <w:trPr>
          <w:tblHeader/>
        </w:trPr>
        <w:tc>
          <w:tcPr>
            <w:tcW w:type="dxa" w:w="520"/>
            <w:shd w:fill="F2F2F2"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w:t>
            </w:r>
          </w:p>
        </w:tc>
        <w:tc>
          <w:tcPr>
            <w:tcW w:type="dxa" w:w="1150"/>
            <w:shd w:fill="F2F2F2"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Proposed</w:t>
            </w:r>
          </w:p>
        </w:tc>
        <w:tc>
          <w:tcPr>
            <w:tcW w:type="dxa" w:w="1000"/>
            <w:shd w:fill="F2F2F2"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Amend</w:t>
            </w:r>
          </w:p>
        </w:tc>
        <w:tc>
          <w:tcPr>
            <w:tcW w:type="dxa" w:w="7076"/>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Basis</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1</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Verbatim: closed 19 January 2026, SEK 18.4 billion, approximately EUR 1.62 billion.</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2</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Verbatim: SEK 12.8 billion on SEK 3.6 billion, 3.56x, 31.4%, 4.7 year hold.</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3</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Verbatim: largest single realisation, net IRR from 16.8% to 19.7%.</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4</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Source: four Swedish facilities consolidated into two, new Polish facility opened 2023.</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5</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Verbatim: SEK 4.2 billion to 11.4 billion, EBITDA 480 million to 2.08 billion, margins 11.4% to 18.2%.</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6</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Verbatim: Karlsson supported the offer at the indicative stage; Stockholm headquarters commitment an additional factor.</w:t>
            </w:r>
          </w:p>
        </w:tc>
      </w:tr>
    </w:tbl>
    <w:p>
      <w:pPr>
        <w:spacing w:after="60"/>
      </w:pPr>
    </w:p>
    <w:p>
      <w:pPr>
        <w:pStyle w:val="Heading2"/>
        <w:spacing w:after="140" w:before="320"/>
      </w:pPr>
      <w:r>
        <w:rPr>
          <w:rFonts w:ascii="Calibri" w:cs="Calibri" w:eastAsia="Calibri" w:hAnsi="Calibri"/>
          <w:b/>
          <w:bCs/>
          <w:color w:val="1F3864"/>
          <w:sz w:val="24"/>
          <w:szCs w:val="24"/>
        </w:rPr>
        <w:t xml:space="preserve">F12 synth_linkedin_post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
        <w:gridCol w:w="1150"/>
        <w:gridCol w:w="1000"/>
        <w:gridCol w:w="7076"/>
      </w:tblGrid>
      <w:tr>
        <w:trPr>
          <w:tblHeader/>
        </w:trPr>
        <w:tc>
          <w:tcPr>
            <w:tcW w:type="dxa" w:w="520"/>
            <w:shd w:fill="F2F2F2"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w:t>
            </w:r>
          </w:p>
        </w:tc>
        <w:tc>
          <w:tcPr>
            <w:tcW w:type="dxa" w:w="1150"/>
            <w:shd w:fill="F2F2F2"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Proposed</w:t>
            </w:r>
          </w:p>
        </w:tc>
        <w:tc>
          <w:tcPr>
            <w:tcW w:type="dxa" w:w="1000"/>
            <w:shd w:fill="F2F2F2"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Amend</w:t>
            </w:r>
          </w:p>
        </w:tc>
        <w:tc>
          <w:tcPr>
            <w:tcW w:type="dxa" w:w="7076"/>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Basis</w:t>
            </w:r>
          </w:p>
        </w:tc>
      </w:tr>
      <w:tr>
        <w:tc>
          <w:tcPr>
            <w:tcW w:type="dxa" w:w="520"/>
            <w:shd w:fill="FDF0D5"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1</w:t>
            </w:r>
          </w:p>
        </w:tc>
        <w:tc>
          <w:tcPr>
            <w:tcW w:type="dxa" w:w="1150"/>
            <w:shd w:fill="FDF0D5"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P</w:t>
            </w:r>
          </w:p>
        </w:tc>
        <w:tc>
          <w:tcPr>
            <w:tcW w:type="dxa" w:w="1000"/>
            <w:shd w:fill="FDF0D5" w:color="auto" w:val="clear"/>
            <w:tcMar>
              <w:top w:type="dxa" w:w="60"/>
              <w:left w:type="dxa" w:w="100"/>
              <w:bottom w:type="dxa" w:w="60"/>
              <w:right w:type="dxa" w:w="100"/>
            </w:tcMar>
          </w:tcPr>
          <w:p>
            <w:pPr>
              <w:spacing w:after="0" w:line="250"/>
            </w:pPr>
          </w:p>
        </w:tc>
        <w:tc>
          <w:tcPr>
            <w:tcW w:type="dxa" w:w="7076"/>
            <w:shd w:fill="FDF0D5" w:color="auto" w:val="clear"/>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Source: "strong in </w:t>
            </w:r>
            <w:r>
              <w:rPr>
                <w:rFonts w:ascii="Calibri" w:cs="Calibri" w:eastAsia="Calibri" w:hAnsi="Calibri"/>
                <w:b/>
                <w:bCs/>
                <w:sz w:val="19"/>
                <w:szCs w:val="19"/>
              </w:rPr>
              <w:t xml:space="preserve">Sweden</w:t>
            </w:r>
            <w:r>
              <w:rPr>
                <w:rFonts w:ascii="Calibri" w:cs="Calibri" w:eastAsia="Calibri" w:hAnsi="Calibri"/>
                <w:b w:val="false"/>
                <w:bCs w:val="false"/>
                <w:sz w:val="19"/>
                <w:szCs w:val="19"/>
              </w:rPr>
              <w:t xml:space="preserve">, under-exposed everywhere else". Draft: "</w:t>
            </w:r>
            <w:r>
              <w:rPr>
                <w:rFonts w:ascii="Calibri" w:cs="Calibri" w:eastAsia="Calibri" w:hAnsi="Calibri"/>
                <w:b/>
                <w:bCs/>
                <w:sz w:val="19"/>
                <w:szCs w:val="19"/>
              </w:rPr>
              <w:t xml:space="preserve">dominant</w:t>
            </w:r>
            <w:r>
              <w:rPr>
                <w:rFonts w:ascii="Calibri" w:cs="Calibri" w:eastAsia="Calibri" w:hAnsi="Calibri"/>
                <w:b w:val="false"/>
                <w:bCs w:val="false"/>
                <w:sz w:val="19"/>
                <w:szCs w:val="19"/>
              </w:rPr>
              <w:t xml:space="preserve"> in the </w:t>
            </w:r>
            <w:r>
              <w:rPr>
                <w:rFonts w:ascii="Calibri" w:cs="Calibri" w:eastAsia="Calibri" w:hAnsi="Calibri"/>
                <w:b/>
                <w:bCs/>
                <w:sz w:val="19"/>
                <w:szCs w:val="19"/>
              </w:rPr>
              <w:t xml:space="preserve">Nordics</w:t>
            </w:r>
            <w:r>
              <w:rPr>
                <w:rFonts w:ascii="Calibri" w:cs="Calibri" w:eastAsia="Calibri" w:hAnsi="Calibri"/>
                <w:b w:val="false"/>
                <w:bCs w:val="false"/>
                <w:sz w:val="19"/>
                <w:szCs w:val="19"/>
              </w:rPr>
              <w:t xml:space="preserve">". Escalated and broadened at once.</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2</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Source: "with grace and decisiveness in equal measure". Sentence fragment; E is defensible.</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3</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Source: "navigated three generations of shareholder dynamics with patience and integrity". Fragment.</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4</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Source: "who have built something exceptional". Fragment.</w:t>
            </w:r>
          </w:p>
        </w:tc>
      </w:tr>
    </w:tbl>
    <w:p>
      <w:pPr>
        <w:spacing w:after="60"/>
      </w:pPr>
    </w:p>
    <w:p>
      <w:pPr>
        <w:pStyle w:val="Heading2"/>
        <w:spacing w:after="140" w:before="320"/>
      </w:pPr>
      <w:r>
        <w:rPr>
          <w:rFonts w:ascii="Calibri" w:cs="Calibri" w:eastAsia="Calibri" w:hAnsi="Calibri"/>
          <w:b/>
          <w:bCs/>
          <w:color w:val="1F3864"/>
          <w:sz w:val="24"/>
          <w:szCs w:val="24"/>
        </w:rPr>
        <w:t xml:space="preserve">F13 synth_internal_inconsistency_memo</w:t>
      </w:r>
    </w:p>
    <w:p>
      <w:pPr>
        <w:spacing w:after="140" w:line="260"/>
      </w:pPr>
      <w:r>
        <w:rPr>
          <w:rFonts w:ascii="Calibri" w:cs="Calibri" w:eastAsia="Calibri" w:hAnsi="Calibri"/>
          <w:b w:val="false"/>
          <w:bCs w:val="false"/>
          <w:sz w:val="19"/>
          <w:szCs w:val="19"/>
        </w:rPr>
        <w:t xml:space="preserve">The source memo contradicts itself in three places. Two of those contradictions reach the draft with no date defence.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
        <w:gridCol w:w="1150"/>
        <w:gridCol w:w="1000"/>
        <w:gridCol w:w="7076"/>
      </w:tblGrid>
      <w:tr>
        <w:trPr>
          <w:tblHeader/>
        </w:trPr>
        <w:tc>
          <w:tcPr>
            <w:tcW w:type="dxa" w:w="520"/>
            <w:shd w:fill="F2F2F2"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w:t>
            </w:r>
          </w:p>
        </w:tc>
        <w:tc>
          <w:tcPr>
            <w:tcW w:type="dxa" w:w="1150"/>
            <w:shd w:fill="F2F2F2"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Proposed</w:t>
            </w:r>
          </w:p>
        </w:tc>
        <w:tc>
          <w:tcPr>
            <w:tcW w:type="dxa" w:w="1000"/>
            <w:shd w:fill="F2F2F2"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Amend</w:t>
            </w:r>
          </w:p>
        </w:tc>
        <w:tc>
          <w:tcPr>
            <w:tcW w:type="dxa" w:w="7076"/>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Basis</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1</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Verbatim: London headquarters, vertical SaaS, European logistics and freight forwarding.</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2</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Supported broadly: 27% CAGR, 113% net revenue retention, 94% gross retention.</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3</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Verbatim: 1,200 customers, 28 countries, ARR EUR 84 million as of October 2025, up from EUR 52 million.</w:t>
            </w:r>
          </w:p>
        </w:tc>
      </w:tr>
      <w:tr>
        <w:tc>
          <w:tcPr>
            <w:tcW w:type="dxa" w:w="520"/>
            <w:shd w:fill="FBE4E4"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4</w:t>
            </w:r>
          </w:p>
        </w:tc>
        <w:tc>
          <w:tcPr>
            <w:tcW w:type="dxa" w:w="1150"/>
            <w:shd w:fill="FBE4E4"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X</w:t>
            </w:r>
          </w:p>
        </w:tc>
        <w:tc>
          <w:tcPr>
            <w:tcW w:type="dxa" w:w="1000"/>
            <w:shd w:fill="FBE4E4" w:color="auto" w:val="clear"/>
            <w:tcMar>
              <w:top w:type="dxa" w:w="60"/>
              <w:left w:type="dxa" w:w="100"/>
              <w:bottom w:type="dxa" w:w="60"/>
              <w:right w:type="dxa" w:w="100"/>
            </w:tcMar>
          </w:tcPr>
          <w:p>
            <w:pPr>
              <w:spacing w:after="0" w:line="250"/>
            </w:pPr>
          </w:p>
        </w:tc>
        <w:tc>
          <w:tcPr>
            <w:tcW w:type="dxa" w:w="7076"/>
            <w:shd w:fill="FBE4E4" w:color="auto" w:val="clear"/>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Source section 2 says 11.1%. Source recommendation says "approximately </w:t>
            </w:r>
            <w:r>
              <w:rPr>
                <w:rFonts w:ascii="Calibri" w:cs="Calibri" w:eastAsia="Calibri" w:hAnsi="Calibri"/>
                <w:b/>
                <w:bCs/>
                <w:sz w:val="19"/>
                <w:szCs w:val="19"/>
              </w:rPr>
              <w:t xml:space="preserve">13%</w:t>
            </w:r>
            <w:r>
              <w:rPr>
                <w:rFonts w:ascii="Calibri" w:cs="Calibri" w:eastAsia="Calibri" w:hAnsi="Calibri"/>
                <w:b w:val="false"/>
                <w:bCs w:val="false"/>
                <w:sz w:val="19"/>
                <w:szCs w:val="19"/>
              </w:rPr>
              <w:t xml:space="preserve">". Same fact, same period, no date defence.</w:t>
            </w:r>
          </w:p>
        </w:tc>
      </w:tr>
      <w:tr>
        <w:tc>
          <w:tcPr>
            <w:tcW w:type="dxa" w:w="520"/>
            <w:shd w:fill="FBE4E4"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5</w:t>
            </w:r>
          </w:p>
        </w:tc>
        <w:tc>
          <w:tcPr>
            <w:tcW w:type="dxa" w:w="1150"/>
            <w:shd w:fill="FBE4E4"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X</w:t>
            </w:r>
          </w:p>
        </w:tc>
        <w:tc>
          <w:tcPr>
            <w:tcW w:type="dxa" w:w="1000"/>
            <w:shd w:fill="FBE4E4" w:color="auto" w:val="clear"/>
            <w:tcMar>
              <w:top w:type="dxa" w:w="60"/>
              <w:left w:type="dxa" w:w="100"/>
              <w:bottom w:type="dxa" w:w="60"/>
              <w:right w:type="dxa" w:w="100"/>
            </w:tcMar>
          </w:tcPr>
          <w:p>
            <w:pPr>
              <w:spacing w:after="0" w:line="250"/>
            </w:pPr>
          </w:p>
        </w:tc>
        <w:tc>
          <w:tcPr>
            <w:tcW w:type="dxa" w:w="7076"/>
            <w:shd w:fill="FBE4E4" w:color="auto" w:val="clear"/>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Source section 1 says </w:t>
            </w:r>
            <w:r>
              <w:rPr>
                <w:rFonts w:ascii="Calibri" w:cs="Calibri" w:eastAsia="Calibri" w:hAnsi="Calibri"/>
                <w:b/>
                <w:bCs/>
                <w:sz w:val="19"/>
                <w:szCs w:val="19"/>
              </w:rPr>
              <w:t xml:space="preserve">320</w:t>
            </w:r>
            <w:r>
              <w:rPr>
                <w:rFonts w:ascii="Calibri" w:cs="Calibri" w:eastAsia="Calibri" w:hAnsi="Calibri"/>
                <w:b w:val="false"/>
                <w:bCs w:val="false"/>
                <w:sz w:val="19"/>
                <w:szCs w:val="19"/>
              </w:rPr>
              <w:t xml:space="preserve"> employees. Source section 6 says "total team of </w:t>
            </w:r>
            <w:r>
              <w:rPr>
                <w:rFonts w:ascii="Calibri" w:cs="Calibri" w:eastAsia="Calibri" w:hAnsi="Calibri"/>
                <w:b/>
                <w:bCs/>
                <w:sz w:val="19"/>
                <w:szCs w:val="19"/>
              </w:rPr>
              <w:t xml:space="preserve">285</w:t>
            </w:r>
            <w:r>
              <w:rPr>
                <w:rFonts w:ascii="Calibri" w:cs="Calibri" w:eastAsia="Calibri" w:hAnsi="Calibri"/>
                <w:b w:val="false"/>
                <w:bCs w:val="false"/>
                <w:sz w:val="19"/>
                <w:szCs w:val="19"/>
              </w:rPr>
              <w:t xml:space="preserve"> people".</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6</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Verbatim: approximately 14,000 forwarders, 1,200 served, 8.6% penetration.</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7</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Verbatim: "ARR growth from EUR 81 million today to approximately EUR 195 million", 19% CAGR.</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8</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Source: "our base case generates a 2.6x MOIC and 21% IRR".</w:t>
            </w:r>
          </w:p>
        </w:tc>
      </w:tr>
    </w:tbl>
    <w:p>
      <w:pPr>
        <w:spacing w:after="60"/>
      </w:pPr>
    </w:p>
    <w:p>
      <w:pPr>
        <w:pStyle w:val="Heading2"/>
        <w:spacing w:after="140" w:before="320"/>
      </w:pPr>
      <w:r>
        <w:rPr>
          <w:rFonts w:ascii="Calibri" w:cs="Calibri" w:eastAsia="Calibri" w:hAnsi="Calibri"/>
          <w:b/>
          <w:bCs/>
          <w:color w:val="1F3864"/>
          <w:sz w:val="24"/>
          <w:szCs w:val="24"/>
        </w:rPr>
        <w:t xml:space="preserve">F14 synth_thesis_only_memo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
        <w:gridCol w:w="1150"/>
        <w:gridCol w:w="1000"/>
        <w:gridCol w:w="7076"/>
      </w:tblGrid>
      <w:tr>
        <w:trPr>
          <w:tblHeader/>
        </w:trPr>
        <w:tc>
          <w:tcPr>
            <w:tcW w:type="dxa" w:w="520"/>
            <w:shd w:fill="F2F2F2"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w:t>
            </w:r>
          </w:p>
        </w:tc>
        <w:tc>
          <w:tcPr>
            <w:tcW w:type="dxa" w:w="1150"/>
            <w:shd w:fill="F2F2F2"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Proposed</w:t>
            </w:r>
          </w:p>
        </w:tc>
        <w:tc>
          <w:tcPr>
            <w:tcW w:type="dxa" w:w="1000"/>
            <w:shd w:fill="F2F2F2"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Amend</w:t>
            </w:r>
          </w:p>
        </w:tc>
        <w:tc>
          <w:tcPr>
            <w:tcW w:type="dxa" w:w="7076"/>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Basis</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1</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Definition verbatim; "the European market is at an inflection point. Three forces are aligning."</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2</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Source: "payer willingness to reimburse CDS software has improved markedly"; reimbursement codes improved across the major European markets.</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3</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Source: "opportunity to genuinely improve clinical workflows".</w:t>
            </w:r>
          </w:p>
        </w:tc>
      </w:tr>
      <w:tr>
        <w:tc>
          <w:tcPr>
            <w:tcW w:type="dxa" w:w="520"/>
            <w:shd w:fill="FDF0D5"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4</w:t>
            </w:r>
          </w:p>
        </w:tc>
        <w:tc>
          <w:tcPr>
            <w:tcW w:type="dxa" w:w="1150"/>
            <w:shd w:fill="FDF0D5"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P</w:t>
            </w:r>
          </w:p>
        </w:tc>
        <w:tc>
          <w:tcPr>
            <w:tcW w:type="dxa" w:w="1000"/>
            <w:shd w:fill="FDF0D5" w:color="auto" w:val="clear"/>
            <w:tcMar>
              <w:top w:type="dxa" w:w="60"/>
              <w:left w:type="dxa" w:w="100"/>
              <w:bottom w:type="dxa" w:w="60"/>
              <w:right w:type="dxa" w:w="100"/>
            </w:tcMar>
          </w:tcPr>
          <w:p>
            <w:pPr>
              <w:spacing w:after="0" w:line="250"/>
            </w:pPr>
          </w:p>
        </w:tc>
        <w:tc>
          <w:tcPr>
            <w:tcW w:type="dxa" w:w="7076"/>
            <w:shd w:fill="FDF0D5" w:color="auto" w:val="clear"/>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Source: "pressure on incumbents who lack credible AI strategies". "From challengers and from each other" is not in the source.</w:t>
            </w:r>
          </w:p>
        </w:tc>
      </w:tr>
      <w:tr>
        <w:tc>
          <w:tcPr>
            <w:tcW w:type="dxa" w:w="520"/>
            <w:shd w:fill="FBE4E4"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5</w:t>
            </w:r>
          </w:p>
        </w:tc>
        <w:tc>
          <w:tcPr>
            <w:tcW w:type="dxa" w:w="1150"/>
            <w:shd w:fill="FBE4E4"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X</w:t>
            </w:r>
          </w:p>
        </w:tc>
        <w:tc>
          <w:tcPr>
            <w:tcW w:type="dxa" w:w="1000"/>
            <w:shd w:fill="FBE4E4" w:color="auto" w:val="clear"/>
            <w:tcMar>
              <w:top w:type="dxa" w:w="60"/>
              <w:left w:type="dxa" w:w="100"/>
              <w:bottom w:type="dxa" w:w="60"/>
              <w:right w:type="dxa" w:w="100"/>
            </w:tcMar>
          </w:tcPr>
          <w:p>
            <w:pPr>
              <w:spacing w:after="0" w:line="250"/>
            </w:pPr>
          </w:p>
        </w:tc>
        <w:tc>
          <w:tcPr>
            <w:tcW w:type="dxa" w:w="7076"/>
            <w:shd w:fill="FBE4E4" w:color="auto" w:val="clear"/>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Source: "We are </w:t>
            </w:r>
            <w:r>
              <w:rPr>
                <w:rFonts w:ascii="Calibri" w:cs="Calibri" w:eastAsia="Calibri" w:hAnsi="Calibri"/>
                <w:b/>
                <w:bCs/>
                <w:sz w:val="19"/>
                <w:szCs w:val="19"/>
              </w:rPr>
              <w:t xml:space="preserve">not</w:t>
            </w:r>
            <w:r>
              <w:rPr>
                <w:rFonts w:ascii="Calibri" w:cs="Calibri" w:eastAsia="Calibri" w:hAnsi="Calibri"/>
                <w:b w:val="false"/>
                <w:bCs w:val="false"/>
                <w:sz w:val="19"/>
                <w:szCs w:val="19"/>
              </w:rPr>
              <w:t xml:space="preserve"> recommending any specific investment at this time"; return with "</w:t>
            </w:r>
            <w:r>
              <w:rPr>
                <w:rFonts w:ascii="Calibri" w:cs="Calibri" w:eastAsia="Calibri" w:hAnsi="Calibri"/>
                <w:b/>
                <w:bCs/>
                <w:sz w:val="19"/>
                <w:szCs w:val="19"/>
              </w:rPr>
              <w:t xml:space="preserve">either</w:t>
            </w:r>
            <w:r>
              <w:rPr>
                <w:rFonts w:ascii="Calibri" w:cs="Calibri" w:eastAsia="Calibri" w:hAnsi="Calibri"/>
                <w:b w:val="false"/>
                <w:bCs w:val="false"/>
                <w:sz w:val="19"/>
                <w:szCs w:val="19"/>
              </w:rPr>
              <w:t xml:space="preserve"> a specific transaction memo </w:t>
            </w:r>
            <w:r>
              <w:rPr>
                <w:rFonts w:ascii="Calibri" w:cs="Calibri" w:eastAsia="Calibri" w:hAnsi="Calibri"/>
                <w:b/>
                <w:bCs/>
                <w:sz w:val="19"/>
                <w:szCs w:val="19"/>
              </w:rPr>
              <w:t xml:space="preserve">or</w:t>
            </w:r>
            <w:r>
              <w:rPr>
                <w:rFonts w:ascii="Calibri" w:cs="Calibri" w:eastAsia="Calibri" w:hAnsi="Calibri"/>
                <w:b w:val="false"/>
                <w:bCs w:val="false"/>
                <w:sz w:val="19"/>
                <w:szCs w:val="19"/>
              </w:rPr>
              <w:t xml:space="preserve"> a refreshed thesis". Draft asserts a specific investment is expected.</w:t>
            </w:r>
          </w:p>
        </w:tc>
      </w:tr>
      <w:tr>
        <w:tc>
          <w:tcPr>
            <w:tcW w:type="dxa" w:w="520"/>
            <w:shd w:fill="FDF0D5"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6</w:t>
            </w:r>
          </w:p>
        </w:tc>
        <w:tc>
          <w:tcPr>
            <w:tcW w:type="dxa" w:w="1150"/>
            <w:shd w:fill="FDF0D5"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N</w:t>
            </w:r>
          </w:p>
        </w:tc>
        <w:tc>
          <w:tcPr>
            <w:tcW w:type="dxa" w:w="1000"/>
            <w:shd w:fill="FDF0D5" w:color="auto" w:val="clear"/>
            <w:tcMar>
              <w:top w:type="dxa" w:w="60"/>
              <w:left w:type="dxa" w:w="100"/>
              <w:bottom w:type="dxa" w:w="60"/>
              <w:right w:type="dxa" w:w="100"/>
            </w:tcMar>
          </w:tcPr>
          <w:p>
            <w:pPr>
              <w:spacing w:after="0" w:line="250"/>
            </w:pPr>
          </w:p>
        </w:tc>
        <w:tc>
          <w:tcPr>
            <w:tcW w:type="dxa" w:w="7076"/>
            <w:shd w:fill="FDF0D5" w:color="auto" w:val="clear"/>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Functional closing. The sources say nothing about providing further detail when the work is advanced.</w:t>
            </w:r>
          </w:p>
        </w:tc>
      </w:tr>
    </w:tbl>
    <w:p>
      <w:pPr>
        <w:spacing w:after="60"/>
      </w:pPr>
    </w:p>
    <w:p>
      <w:pPr>
        <w:pStyle w:val="Heading2"/>
        <w:spacing w:after="140" w:before="320"/>
      </w:pPr>
      <w:r>
        <w:rPr>
          <w:rFonts w:ascii="Calibri" w:cs="Calibri" w:eastAsia="Calibri" w:hAnsi="Calibri"/>
          <w:b/>
          <w:bCs/>
          <w:color w:val="1F3864"/>
          <w:sz w:val="24"/>
          <w:szCs w:val="24"/>
        </w:rPr>
        <w:t xml:space="preserve">F15 synth_very_long_memo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
        <w:gridCol w:w="1150"/>
        <w:gridCol w:w="1000"/>
        <w:gridCol w:w="7076"/>
      </w:tblGrid>
      <w:tr>
        <w:trPr>
          <w:tblHeader/>
        </w:trPr>
        <w:tc>
          <w:tcPr>
            <w:tcW w:type="dxa" w:w="520"/>
            <w:shd w:fill="F2F2F2"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w:t>
            </w:r>
          </w:p>
        </w:tc>
        <w:tc>
          <w:tcPr>
            <w:tcW w:type="dxa" w:w="1150"/>
            <w:shd w:fill="F2F2F2"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Proposed</w:t>
            </w:r>
          </w:p>
        </w:tc>
        <w:tc>
          <w:tcPr>
            <w:tcW w:type="dxa" w:w="1000"/>
            <w:shd w:fill="F2F2F2"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Amend</w:t>
            </w:r>
          </w:p>
        </w:tc>
        <w:tc>
          <w:tcPr>
            <w:tcW w:type="dxa" w:w="7076"/>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Basis</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1</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Verbatim: EUR 612 million revenue, 24.3% margin.</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2</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Verbatim: 38% in 2020 to 54% in 2025, path to 70%, approximately 250 basis points of gross margin.</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3</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Source: "The UK and Nordic launches are the largest single contributor to our base case."</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4</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Verbatim: Habitat cautionary example, commercial diligence, phased rollout, UK country manager from Heal’s subject to completion.</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5</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Germany minus 2.8%, Italy 5.2%, Spain 6.1% in 2025.</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6</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Source: "We have stress-tested our model assuming sustained German weakness through 2027 and the returns remain attractive."</w:t>
            </w:r>
          </w:p>
        </w:tc>
      </w:tr>
    </w:tbl>
    <w:p>
      <w:pPr>
        <w:spacing w:after="60"/>
      </w:pPr>
    </w:p>
    <w:p>
      <w:pPr>
        <w:pStyle w:val="Heading2"/>
        <w:spacing w:after="140" w:before="320"/>
      </w:pPr>
      <w:r>
        <w:rPr>
          <w:rFonts w:ascii="Calibri" w:cs="Calibri" w:eastAsia="Calibri" w:hAnsi="Calibri"/>
          <w:b/>
          <w:bCs/>
          <w:color w:val="1F3864"/>
          <w:sz w:val="24"/>
          <w:szCs w:val="24"/>
        </w:rPr>
        <w:t xml:space="preserve">F16 synth_healthcare_consumer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
        <w:gridCol w:w="1150"/>
        <w:gridCol w:w="1000"/>
        <w:gridCol w:w="7076"/>
      </w:tblGrid>
      <w:tr>
        <w:trPr>
          <w:tblHeader/>
        </w:trPr>
        <w:tc>
          <w:tcPr>
            <w:tcW w:type="dxa" w:w="520"/>
            <w:shd w:fill="F2F2F2"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w:t>
            </w:r>
          </w:p>
        </w:tc>
        <w:tc>
          <w:tcPr>
            <w:tcW w:type="dxa" w:w="1150"/>
            <w:shd w:fill="F2F2F2"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Proposed</w:t>
            </w:r>
          </w:p>
        </w:tc>
        <w:tc>
          <w:tcPr>
            <w:tcW w:type="dxa" w:w="1000"/>
            <w:shd w:fill="F2F2F2"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Amend</w:t>
            </w:r>
          </w:p>
        </w:tc>
        <w:tc>
          <w:tcPr>
            <w:tcW w:type="dxa" w:w="7076"/>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Basis</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1</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Verbatim: EUR 64 million trailing twelve months, up from EUR 19 million in 2022, 47% CAGR.</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2</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Verbatim: 71.4% gross margin, 32.8% EBITDA margin.</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3</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Verbatim: 64 / 19 / 14 / 3 channel mix.</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4</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Verbatim: seven specialists across endocrinology, nutrition, and women’s health.</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5</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All three risks verbatim, including the 3.8 to 5.2 month payback lengthening.</w:t>
            </w:r>
          </w:p>
        </w:tc>
      </w:tr>
    </w:tbl>
    <w:p>
      <w:pPr>
        <w:spacing w:after="60"/>
      </w:pPr>
    </w:p>
    <w:p>
      <w:pPr>
        <w:pStyle w:val="Heading2"/>
        <w:spacing w:after="140" w:before="320"/>
      </w:pPr>
      <w:r>
        <w:rPr>
          <w:rFonts w:ascii="Calibri" w:cs="Calibri" w:eastAsia="Calibri" w:hAnsi="Calibri"/>
          <w:b/>
          <w:bCs/>
          <w:color w:val="1F3864"/>
          <w:sz w:val="24"/>
          <w:szCs w:val="24"/>
        </w:rPr>
        <w:t xml:space="preserve">F17 synth_real_estate_logistics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
        <w:gridCol w:w="1150"/>
        <w:gridCol w:w="1000"/>
        <w:gridCol w:w="7076"/>
      </w:tblGrid>
      <w:tr>
        <w:trPr>
          <w:tblHeader/>
        </w:trPr>
        <w:tc>
          <w:tcPr>
            <w:tcW w:type="dxa" w:w="520"/>
            <w:shd w:fill="F2F2F2"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w:t>
            </w:r>
          </w:p>
        </w:tc>
        <w:tc>
          <w:tcPr>
            <w:tcW w:type="dxa" w:w="1150"/>
            <w:shd w:fill="F2F2F2"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Proposed</w:t>
            </w:r>
          </w:p>
        </w:tc>
        <w:tc>
          <w:tcPr>
            <w:tcW w:type="dxa" w:w="1000"/>
            <w:shd w:fill="F2F2F2"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Amend</w:t>
            </w:r>
          </w:p>
        </w:tc>
        <w:tc>
          <w:tcPr>
            <w:tcW w:type="dxa" w:w="7076"/>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Basis</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1</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Verbatim: 11 last-mile logistics properties in major European urban areas. See flag on "new investment".</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2</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Verbatim: EUR 612 million, 5.4% net initial yield, EUR 1,820 per square metre.</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3</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New supply under 30% of net absorption; planning consent tightened; e-commerce 17% to 25% by 2030.</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4</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Verbatim: 55% loan-to-value, 16.8% equity gross IRR, 2.1x MOIC.</w:t>
            </w:r>
          </w:p>
        </w:tc>
      </w:tr>
    </w:tbl>
    <w:p>
      <w:pPr>
        <w:spacing w:after="60"/>
      </w:pPr>
    </w:p>
    <w:p>
      <w:pPr>
        <w:pStyle w:val="Heading2"/>
        <w:spacing w:after="140" w:before="320"/>
      </w:pPr>
      <w:r>
        <w:rPr>
          <w:rFonts w:ascii="Calibri" w:cs="Calibri" w:eastAsia="Calibri" w:hAnsi="Calibri"/>
          <w:b/>
          <w:bCs/>
          <w:color w:val="1F3864"/>
          <w:sz w:val="24"/>
          <w:szCs w:val="24"/>
        </w:rPr>
        <w:t xml:space="preserve">F18 synth_cross_source_pair</w:t>
      </w:r>
    </w:p>
    <w:p>
      <w:pPr>
        <w:spacing w:after="140" w:line="260"/>
      </w:pPr>
      <w:r>
        <w:rPr>
          <w:rFonts w:ascii="Calibri" w:cs="Calibri" w:eastAsia="Calibri" w:hAnsi="Calibri"/>
          <w:b w:val="false"/>
          <w:bCs w:val="false"/>
          <w:sz w:val="19"/>
          <w:szCs w:val="19"/>
        </w:rPr>
        <w:t xml:space="preserve">Two sources. 18a is dated 15 April 2025; 18b is dated 28 May 2025 and explicitly corrects 18a. The draft uses 18a’s superseded figures throughout, so the older-source rule does not rescue it: the draft matches the OLDER source, not the newer one.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
        <w:gridCol w:w="1150"/>
        <w:gridCol w:w="1000"/>
        <w:gridCol w:w="7076"/>
      </w:tblGrid>
      <w:tr>
        <w:trPr>
          <w:tblHeader/>
        </w:trPr>
        <w:tc>
          <w:tcPr>
            <w:tcW w:type="dxa" w:w="520"/>
            <w:shd w:fill="F2F2F2"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w:t>
            </w:r>
          </w:p>
        </w:tc>
        <w:tc>
          <w:tcPr>
            <w:tcW w:type="dxa" w:w="1150"/>
            <w:shd w:fill="F2F2F2"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Proposed</w:t>
            </w:r>
          </w:p>
        </w:tc>
        <w:tc>
          <w:tcPr>
            <w:tcW w:type="dxa" w:w="1000"/>
            <w:shd w:fill="F2F2F2"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Amend</w:t>
            </w:r>
          </w:p>
        </w:tc>
        <w:tc>
          <w:tcPr>
            <w:tcW w:type="dxa" w:w="7076"/>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Basis</w:t>
            </w:r>
          </w:p>
        </w:tc>
      </w:tr>
      <w:tr>
        <w:tc>
          <w:tcPr>
            <w:tcW w:type="dxa" w:w="520"/>
            <w:shd w:fill="FDF0D5"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1</w:t>
            </w:r>
          </w:p>
        </w:tc>
        <w:tc>
          <w:tcPr>
            <w:tcW w:type="dxa" w:w="1150"/>
            <w:shd w:fill="FDF0D5"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N</w:t>
            </w:r>
          </w:p>
        </w:tc>
        <w:tc>
          <w:tcPr>
            <w:tcW w:type="dxa" w:w="1000"/>
            <w:shd w:fill="FDF0D5" w:color="auto" w:val="clear"/>
            <w:tcMar>
              <w:top w:type="dxa" w:w="60"/>
              <w:left w:type="dxa" w:w="100"/>
              <w:bottom w:type="dxa" w:w="60"/>
              <w:right w:type="dxa" w:w="100"/>
            </w:tcMar>
          </w:tcPr>
          <w:p>
            <w:pPr>
              <w:spacing w:after="0" w:line="250"/>
            </w:pPr>
          </w:p>
        </w:tc>
        <w:tc>
          <w:tcPr>
            <w:tcW w:type="dxa" w:w="7076"/>
            <w:shd w:fill="FDF0D5" w:color="auto" w:val="clear"/>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Neither source says the transaction completed. 18b says "We continue to </w:t>
            </w:r>
            <w:r>
              <w:rPr>
                <w:rFonts w:ascii="Calibri" w:cs="Calibri" w:eastAsia="Calibri" w:hAnsi="Calibri"/>
                <w:b/>
                <w:bCs/>
                <w:sz w:val="19"/>
                <w:szCs w:val="19"/>
              </w:rPr>
              <w:t xml:space="preserve">recommend</w:t>
            </w:r>
            <w:r>
              <w:rPr>
                <w:rFonts w:ascii="Calibri" w:cs="Calibri" w:eastAsia="Calibri" w:hAnsi="Calibri"/>
                <w:b w:val="false"/>
                <w:bCs w:val="false"/>
                <w:sz w:val="19"/>
                <w:szCs w:val="19"/>
              </w:rPr>
              <w:t xml:space="preserve"> completion". See flag: X is defensible.</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2</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18a: EUR 158 million for 60%. 18b: no changes to transaction structure or pricing.</w:t>
            </w:r>
          </w:p>
        </w:tc>
      </w:tr>
      <w:tr>
        <w:tc>
          <w:tcPr>
            <w:tcW w:type="dxa" w:w="520"/>
            <w:shd w:fill="FBE4E4"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3</w:t>
            </w:r>
          </w:p>
        </w:tc>
        <w:tc>
          <w:tcPr>
            <w:tcW w:type="dxa" w:w="1150"/>
            <w:shd w:fill="FBE4E4"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X</w:t>
            </w:r>
          </w:p>
        </w:tc>
        <w:tc>
          <w:tcPr>
            <w:tcW w:type="dxa" w:w="1000"/>
            <w:shd w:fill="FBE4E4" w:color="auto" w:val="clear"/>
            <w:tcMar>
              <w:top w:type="dxa" w:w="60"/>
              <w:left w:type="dxa" w:w="100"/>
              <w:bottom w:type="dxa" w:w="60"/>
              <w:right w:type="dxa" w:w="100"/>
            </w:tcMar>
          </w:tcPr>
          <w:p>
            <w:pPr>
              <w:spacing w:after="0" w:line="250"/>
            </w:pPr>
          </w:p>
        </w:tc>
        <w:tc>
          <w:tcPr>
            <w:tcW w:type="dxa" w:w="7076"/>
            <w:shd w:fill="FBE4E4" w:color="auto" w:val="clear"/>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18b: "currently serves </w:t>
            </w:r>
            <w:r>
              <w:rPr>
                <w:rFonts w:ascii="Calibri" w:cs="Calibri" w:eastAsia="Calibri" w:hAnsi="Calibri"/>
                <w:b/>
                <w:bCs/>
                <w:sz w:val="19"/>
                <w:szCs w:val="19"/>
              </w:rPr>
              <w:t xml:space="preserve">412</w:t>
            </w:r>
            <w:r>
              <w:rPr>
                <w:rFonts w:ascii="Calibri" w:cs="Calibri" w:eastAsia="Calibri" w:hAnsi="Calibri"/>
                <w:b w:val="false"/>
                <w:bCs w:val="false"/>
                <w:sz w:val="19"/>
                <w:szCs w:val="19"/>
              </w:rPr>
              <w:t xml:space="preserve"> property management companies, </w:t>
            </w:r>
            <w:r>
              <w:rPr>
                <w:rFonts w:ascii="Calibri" w:cs="Calibri" w:eastAsia="Calibri" w:hAnsi="Calibri"/>
                <w:b/>
                <w:bCs/>
                <w:sz w:val="19"/>
                <w:szCs w:val="19"/>
              </w:rPr>
              <w:t xml:space="preserve">not 380</w:t>
            </w:r>
            <w:r>
              <w:rPr>
                <w:rFonts w:ascii="Calibri" w:cs="Calibri" w:eastAsia="Calibri" w:hAnsi="Calibri"/>
                <w:b w:val="false"/>
                <w:bCs w:val="false"/>
                <w:sz w:val="19"/>
                <w:szCs w:val="19"/>
              </w:rPr>
              <w:t xml:space="preserve">".</w:t>
            </w:r>
          </w:p>
        </w:tc>
      </w:tr>
      <w:tr>
        <w:tc>
          <w:tcPr>
            <w:tcW w:type="dxa" w:w="520"/>
            <w:shd w:fill="FBE4E4"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4</w:t>
            </w:r>
          </w:p>
        </w:tc>
        <w:tc>
          <w:tcPr>
            <w:tcW w:type="dxa" w:w="1150"/>
            <w:shd w:fill="FBE4E4"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X</w:t>
            </w:r>
          </w:p>
        </w:tc>
        <w:tc>
          <w:tcPr>
            <w:tcW w:type="dxa" w:w="1000"/>
            <w:shd w:fill="FBE4E4" w:color="auto" w:val="clear"/>
            <w:tcMar>
              <w:top w:type="dxa" w:w="60"/>
              <w:left w:type="dxa" w:w="100"/>
              <w:bottom w:type="dxa" w:w="60"/>
              <w:right w:type="dxa" w:w="100"/>
            </w:tcMar>
          </w:tcPr>
          <w:p>
            <w:pPr>
              <w:spacing w:after="0" w:line="250"/>
            </w:pPr>
          </w:p>
        </w:tc>
        <w:tc>
          <w:tcPr>
            <w:tcW w:type="dxa" w:w="7076"/>
            <w:shd w:fill="FBE4E4" w:color="auto" w:val="clear"/>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18b: "ARR at end of April was EUR </w:t>
            </w:r>
            <w:r>
              <w:rPr>
                <w:rFonts w:ascii="Calibri" w:cs="Calibri" w:eastAsia="Calibri" w:hAnsi="Calibri"/>
                <w:b/>
                <w:bCs/>
                <w:sz w:val="19"/>
                <w:szCs w:val="19"/>
              </w:rPr>
              <w:t xml:space="preserve">35</w:t>
            </w:r>
            <w:r>
              <w:rPr>
                <w:rFonts w:ascii="Calibri" w:cs="Calibri" w:eastAsia="Calibri" w:hAnsi="Calibri"/>
                <w:b w:val="false"/>
                <w:bCs w:val="false"/>
                <w:sz w:val="19"/>
                <w:szCs w:val="19"/>
              </w:rPr>
              <w:t xml:space="preserve"> million, </w:t>
            </w:r>
            <w:r>
              <w:rPr>
                <w:rFonts w:ascii="Calibri" w:cs="Calibri" w:eastAsia="Calibri" w:hAnsi="Calibri"/>
                <w:b/>
                <w:bCs/>
                <w:sz w:val="19"/>
                <w:szCs w:val="19"/>
              </w:rPr>
              <w:t xml:space="preserve">not EUR 38 million</w:t>
            </w:r>
            <w:r>
              <w:rPr>
                <w:rFonts w:ascii="Calibri" w:cs="Calibri" w:eastAsia="Calibri" w:hAnsi="Calibri"/>
                <w:b w:val="false"/>
                <w:bCs w:val="false"/>
                <w:sz w:val="19"/>
                <w:szCs w:val="19"/>
              </w:rPr>
              <w:t xml:space="preserve">"; growth 28%, not 36%.</w:t>
            </w:r>
          </w:p>
        </w:tc>
      </w:tr>
      <w:tr>
        <w:tc>
          <w:tcPr>
            <w:tcW w:type="dxa" w:w="520"/>
            <w:shd w:fill="FBE4E4"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5</w:t>
            </w:r>
          </w:p>
        </w:tc>
        <w:tc>
          <w:tcPr>
            <w:tcW w:type="dxa" w:w="1150"/>
            <w:shd w:fill="FBE4E4"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X</w:t>
            </w:r>
          </w:p>
        </w:tc>
        <w:tc>
          <w:tcPr>
            <w:tcW w:type="dxa" w:w="1000"/>
            <w:shd w:fill="FBE4E4" w:color="auto" w:val="clear"/>
            <w:tcMar>
              <w:top w:type="dxa" w:w="60"/>
              <w:left w:type="dxa" w:w="100"/>
              <w:bottom w:type="dxa" w:w="60"/>
              <w:right w:type="dxa" w:w="100"/>
            </w:tcMar>
          </w:tcPr>
          <w:p>
            <w:pPr>
              <w:spacing w:after="0" w:line="250"/>
            </w:pPr>
          </w:p>
        </w:tc>
        <w:tc>
          <w:tcPr>
            <w:tcW w:type="dxa" w:w="7076"/>
            <w:shd w:fill="FBE4E4" w:color="auto" w:val="clear"/>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18b: "employs </w:t>
            </w:r>
            <w:r>
              <w:rPr>
                <w:rFonts w:ascii="Calibri" w:cs="Calibri" w:eastAsia="Calibri" w:hAnsi="Calibri"/>
                <w:b/>
                <w:bCs/>
                <w:sz w:val="19"/>
                <w:szCs w:val="19"/>
              </w:rPr>
              <w:t xml:space="preserve">167</w:t>
            </w:r>
            <w:r>
              <w:rPr>
                <w:rFonts w:ascii="Calibri" w:cs="Calibri" w:eastAsia="Calibri" w:hAnsi="Calibri"/>
                <w:b w:val="false"/>
                <w:bCs w:val="false"/>
                <w:sz w:val="19"/>
                <w:szCs w:val="19"/>
              </w:rPr>
              <w:t xml:space="preserve"> people..., </w:t>
            </w:r>
            <w:r>
              <w:rPr>
                <w:rFonts w:ascii="Calibri" w:cs="Calibri" w:eastAsia="Calibri" w:hAnsi="Calibri"/>
                <w:b/>
                <w:bCs/>
                <w:sz w:val="19"/>
                <w:szCs w:val="19"/>
              </w:rPr>
              <w:t xml:space="preserve">not 142</w:t>
            </w:r>
            <w:r>
              <w:rPr>
                <w:rFonts w:ascii="Calibri" w:cs="Calibri" w:eastAsia="Calibri" w:hAnsi="Calibri"/>
                <w:b w:val="false"/>
                <w:bCs w:val="false"/>
                <w:sz w:val="19"/>
                <w:szCs w:val="19"/>
              </w:rPr>
              <w:t xml:space="preserve">".</w:t>
            </w:r>
          </w:p>
        </w:tc>
      </w:tr>
      <w:tr>
        <w:tc>
          <w:tcPr>
            <w:tcW w:type="dxa" w:w="520"/>
            <w:shd w:fill="FBE4E4"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6</w:t>
            </w:r>
          </w:p>
        </w:tc>
        <w:tc>
          <w:tcPr>
            <w:tcW w:type="dxa" w:w="1150"/>
            <w:shd w:fill="FBE4E4"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X</w:t>
            </w:r>
          </w:p>
        </w:tc>
        <w:tc>
          <w:tcPr>
            <w:tcW w:type="dxa" w:w="1000"/>
            <w:shd w:fill="FBE4E4" w:color="auto" w:val="clear"/>
            <w:tcMar>
              <w:top w:type="dxa" w:w="60"/>
              <w:left w:type="dxa" w:w="100"/>
              <w:bottom w:type="dxa" w:w="60"/>
              <w:right w:type="dxa" w:w="100"/>
            </w:tcMar>
          </w:tcPr>
          <w:p>
            <w:pPr>
              <w:spacing w:after="0" w:line="250"/>
            </w:pPr>
          </w:p>
        </w:tc>
        <w:tc>
          <w:tcPr>
            <w:tcW w:type="dxa" w:w="7076"/>
            <w:shd w:fill="FBE4E4" w:color="auto" w:val="clear"/>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The EUR 38 million base is the corrected figure. 18b puts cleaned ARR at EUR 35 million.</w:t>
            </w:r>
          </w:p>
        </w:tc>
      </w:tr>
      <w:tr>
        <w:tc>
          <w:tcPr>
            <w:tcW w:type="dxa" w:w="520"/>
            <w:shd w:fill="FBE4E4" w:color="auto" w:val="clear"/>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7</w:t>
            </w:r>
          </w:p>
        </w:tc>
        <w:tc>
          <w:tcPr>
            <w:tcW w:type="dxa" w:w="1150"/>
            <w:shd w:fill="FBE4E4"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X</w:t>
            </w:r>
          </w:p>
        </w:tc>
        <w:tc>
          <w:tcPr>
            <w:tcW w:type="dxa" w:w="1000"/>
            <w:shd w:fill="FBE4E4" w:color="auto" w:val="clear"/>
            <w:tcMar>
              <w:top w:type="dxa" w:w="60"/>
              <w:left w:type="dxa" w:w="100"/>
              <w:bottom w:type="dxa" w:w="60"/>
              <w:right w:type="dxa" w:w="100"/>
            </w:tcMar>
          </w:tcPr>
          <w:p>
            <w:pPr>
              <w:spacing w:after="0" w:line="250"/>
            </w:pPr>
          </w:p>
        </w:tc>
        <w:tc>
          <w:tcPr>
            <w:tcW w:type="dxa" w:w="7076"/>
            <w:shd w:fill="FBE4E4" w:color="auto" w:val="clear"/>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18b: updated base case is </w:t>
            </w:r>
            <w:r>
              <w:rPr>
                <w:rFonts w:ascii="Calibri" w:cs="Calibri" w:eastAsia="Calibri" w:hAnsi="Calibri"/>
                <w:b/>
                <w:bCs/>
                <w:sz w:val="19"/>
                <w:szCs w:val="19"/>
              </w:rPr>
              <w:t xml:space="preserve">2.6x / 21%</w:t>
            </w:r>
            <w:r>
              <w:rPr>
                <w:rFonts w:ascii="Calibri" w:cs="Calibri" w:eastAsia="Calibri" w:hAnsi="Calibri"/>
                <w:b w:val="false"/>
                <w:bCs w:val="false"/>
                <w:sz w:val="19"/>
                <w:szCs w:val="19"/>
              </w:rPr>
              <w:t xml:space="preserve">, replacing 2.8x / 23%.</w:t>
            </w:r>
          </w:p>
        </w:tc>
      </w:tr>
    </w:tbl>
    <w:p>
      <w:pPr>
        <w:spacing w:after="60"/>
      </w:pPr>
    </w:p>
    <w:p>
      <w:pPr>
        <w:pStyle w:val="Heading2"/>
        <w:spacing w:after="140" w:before="320"/>
      </w:pPr>
      <w:r>
        <w:rPr>
          <w:rFonts w:ascii="Calibri" w:cs="Calibri" w:eastAsia="Calibri" w:hAnsi="Calibri"/>
          <w:b/>
          <w:bCs/>
          <w:color w:val="1F3864"/>
          <w:sz w:val="24"/>
          <w:szCs w:val="24"/>
        </w:rPr>
        <w:t xml:space="preserve">F19 synth_annual_report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
        <w:gridCol w:w="1150"/>
        <w:gridCol w:w="1000"/>
        <w:gridCol w:w="7076"/>
      </w:tblGrid>
      <w:tr>
        <w:trPr>
          <w:tblHeader/>
        </w:trPr>
        <w:tc>
          <w:tcPr>
            <w:tcW w:type="dxa" w:w="520"/>
            <w:shd w:fill="F2F2F2"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w:t>
            </w:r>
          </w:p>
        </w:tc>
        <w:tc>
          <w:tcPr>
            <w:tcW w:type="dxa" w:w="1150"/>
            <w:shd w:fill="F2F2F2"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Proposed</w:t>
            </w:r>
          </w:p>
        </w:tc>
        <w:tc>
          <w:tcPr>
            <w:tcW w:type="dxa" w:w="1000"/>
            <w:shd w:fill="F2F2F2"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Amend</w:t>
            </w:r>
          </w:p>
        </w:tc>
        <w:tc>
          <w:tcPr>
            <w:tcW w:type="dxa" w:w="7076"/>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Basis</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1</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Eight active companies; strong across "the substantial majority"; two named problem assets, Continental Plastics and Drift Logistics.</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2</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Verbatim: March 2023, 4% against a 9% underwriting, EBITDA broadly flat.</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3</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Verbatim: Chief Operating Officer replacement, EUR 22 million programme, encouraging, timeline lengthened by approximately 12 months.</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4</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Source: "All eight portfolio companies have now completed SBTi submissions or are in the final stages of doing so."</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5</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Verbatim: 8% absolute reduction, approximately 12% revenue growth.</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6</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Source: "We anticipate two additional realisations during 2026."</w:t>
            </w:r>
          </w:p>
        </w:tc>
      </w:tr>
    </w:tbl>
    <w:p>
      <w:pPr>
        <w:spacing w:after="60"/>
      </w:pPr>
    </w:p>
    <w:p>
      <w:pPr>
        <w:pStyle w:val="Heading2"/>
        <w:spacing w:after="140" w:before="320"/>
      </w:pPr>
      <w:r>
        <w:rPr>
          <w:rFonts w:ascii="Calibri" w:cs="Calibri" w:eastAsia="Calibri" w:hAnsi="Calibri"/>
          <w:b/>
          <w:bCs/>
          <w:color w:val="1F3864"/>
          <w:sz w:val="24"/>
          <w:szCs w:val="24"/>
        </w:rPr>
        <w:t xml:space="preserve">F20 synth_fund_close_announcement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
        <w:gridCol w:w="1150"/>
        <w:gridCol w:w="1000"/>
        <w:gridCol w:w="7076"/>
      </w:tblGrid>
      <w:tr>
        <w:trPr>
          <w:tblHeader/>
        </w:trPr>
        <w:tc>
          <w:tcPr>
            <w:tcW w:type="dxa" w:w="520"/>
            <w:shd w:fill="F2F2F2"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w:t>
            </w:r>
          </w:p>
        </w:tc>
        <w:tc>
          <w:tcPr>
            <w:tcW w:type="dxa" w:w="1150"/>
            <w:shd w:fill="F2F2F2"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Proposed</w:t>
            </w:r>
          </w:p>
        </w:tc>
        <w:tc>
          <w:tcPr>
            <w:tcW w:type="dxa" w:w="1000"/>
            <w:shd w:fill="F2F2F2" w:color="auto" w:val="clear"/>
            <w:tcMar>
              <w:top w:type="dxa" w:w="60"/>
              <w:left w:type="dxa" w:w="100"/>
              <w:bottom w:type="dxa" w:w="60"/>
              <w:right w:type="dxa" w:w="100"/>
            </w:tcMar>
          </w:tcPr>
          <w:p>
            <w:pPr>
              <w:spacing w:after="0" w:line="250"/>
              <w:jc w:val="center"/>
            </w:pPr>
            <w:r>
              <w:rPr>
                <w:rFonts w:ascii="Calibri" w:cs="Calibri" w:eastAsia="Calibri" w:hAnsi="Calibri"/>
                <w:b/>
                <w:bCs/>
                <w:sz w:val="19"/>
                <w:szCs w:val="19"/>
              </w:rPr>
              <w:t xml:space="preserve">Amend</w:t>
            </w:r>
          </w:p>
        </w:tc>
        <w:tc>
          <w:tcPr>
            <w:tcW w:type="dxa" w:w="7076"/>
            <w:shd w:fill="F2F2F2" w:color="auto" w:val="clear"/>
            <w:tcMar>
              <w:top w:type="dxa" w:w="60"/>
              <w:left w:type="dxa" w:w="100"/>
              <w:bottom w:type="dxa" w:w="60"/>
              <w:right w:type="dxa" w:w="100"/>
            </w:tcMar>
          </w:tcPr>
          <w:p>
            <w:pPr>
              <w:spacing w:after="0" w:line="250"/>
            </w:pPr>
            <w:r>
              <w:rPr>
                <w:rFonts w:ascii="Calibri" w:cs="Calibri" w:eastAsia="Calibri" w:hAnsi="Calibri"/>
                <w:b/>
                <w:bCs/>
                <w:sz w:val="19"/>
                <w:szCs w:val="19"/>
              </w:rPr>
              <w:t xml:space="preserve">Basis</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1</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Verbatim: final close at hard cap, total commitments EUR 4.8 billion.</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2</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Verbatim: eleven months from first close, against an original eighteen-month target.</w:t>
            </w:r>
          </w:p>
        </w:tc>
      </w:tr>
      <w:tr>
        <w:tc>
          <w:tcPr>
            <w:tcW w:type="dxa" w:w="52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3</w:t>
            </w:r>
          </w:p>
        </w:tc>
        <w:tc>
          <w:tcPr>
            <w:tcW w:type="dxa" w:w="1150"/>
            <w:tcMar>
              <w:top w:type="dxa" w:w="60"/>
              <w:left w:type="dxa" w:w="100"/>
              <w:bottom w:type="dxa" w:w="60"/>
              <w:right w:type="dxa" w:w="100"/>
            </w:tcMar>
          </w:tcPr>
          <w:p>
            <w:pPr>
              <w:spacing w:after="0" w:line="250"/>
              <w:jc w:val="center"/>
            </w:pPr>
            <w:r>
              <w:rPr>
                <w:rFonts w:ascii="Calibri" w:cs="Calibri" w:eastAsia="Calibri" w:hAnsi="Calibri"/>
                <w:b w:val="false"/>
                <w:bCs w:val="false"/>
                <w:sz w:val="19"/>
                <w:szCs w:val="19"/>
              </w:rPr>
              <w:t xml:space="preserve">C</w:t>
            </w:r>
          </w:p>
        </w:tc>
        <w:tc>
          <w:tcPr>
            <w:tcW w:type="dxa" w:w="1000"/>
            <w:tcMar>
              <w:top w:type="dxa" w:w="60"/>
              <w:left w:type="dxa" w:w="100"/>
              <w:bottom w:type="dxa" w:w="60"/>
              <w:right w:type="dxa" w:w="100"/>
            </w:tcMar>
          </w:tcPr>
          <w:p>
            <w:pPr>
              <w:spacing w:after="0" w:line="250"/>
            </w:pPr>
          </w:p>
        </w:tc>
        <w:tc>
          <w:tcPr>
            <w:tcW w:type="dxa" w:w="7076"/>
            <w:tcMar>
              <w:top w:type="dxa" w:w="60"/>
              <w:left w:type="dxa" w:w="100"/>
              <w:bottom w:type="dxa" w:w="60"/>
              <w:right w:type="dxa" w:w="100"/>
            </w:tcMar>
          </w:tcPr>
          <w:p>
            <w:pPr>
              <w:spacing w:after="0" w:line="250"/>
            </w:pPr>
            <w:r>
              <w:rPr>
                <w:rFonts w:ascii="Calibri" w:cs="Calibri" w:eastAsia="Calibri" w:hAnsi="Calibri"/>
                <w:b w:val="false"/>
                <w:bCs w:val="false"/>
                <w:sz w:val="19"/>
                <w:szCs w:val="19"/>
              </w:rPr>
              <w:t xml:space="preserve">Verbatim: "Demand exceeded the hard cap by approximately EUR 1.2 billion."</w:t>
            </w:r>
          </w:p>
        </w:tc>
      </w:tr>
    </w:tbl>
    <w:p>
      <w:pPr>
        <w:spacing w:after="60"/>
      </w:pPr>
    </w:p>
    <w:p>
      <w:pPr>
        <w:pStyle w:val="Heading1"/>
        <w:spacing w:after="180" w:before="360"/>
      </w:pPr>
      <w:r>
        <w:rPr>
          <w:rFonts w:ascii="Calibri" w:cs="Calibri" w:eastAsia="Calibri" w:hAnsi="Calibri"/>
          <w:b/>
          <w:bCs/>
          <w:color w:val="1F3864"/>
          <w:sz w:val="28"/>
          <w:szCs w:val="28"/>
        </w:rPr>
        <w:t xml:space="preserve">What the shape of this tells you before any scoring</w:t>
      </w:r>
    </w:p>
    <w:p>
      <w:pPr>
        <w:spacing w:after="120" w:line="260"/>
      </w:pPr>
      <w:r>
        <w:rPr>
          <w:rFonts w:ascii="Calibri" w:cs="Calibri" w:eastAsia="Calibri" w:hAnsi="Calibri"/>
          <w:b w:val="false"/>
          <w:bCs w:val="false"/>
          <w:sz w:val="19"/>
          <w:szCs w:val="19"/>
        </w:rPr>
        <w:t xml:space="preserve">Eighty-two of the hundred are near-verbatim restatements of a source sentence. That is what these fixtures are: mostly faithful drafts with faults planted in a few known places. It means the false-alarm half of the measurement rests on those 82, and the catch half rests on a much smaller number.</w:t>
      </w:r>
    </w:p>
    <w:p>
      <w:pPr>
        <w:spacing w:after="120" w:line="260"/>
      </w:pPr>
      <w:r>
        <w:rPr>
          <w:rFonts w:ascii="Calibri" w:cs="Calibri" w:eastAsia="Calibri" w:hAnsi="Calibri"/>
          <w:b w:val="false"/>
          <w:bCs w:val="false"/>
          <w:sz w:val="19"/>
          <w:szCs w:val="19"/>
        </w:rPr>
        <w:t xml:space="preserve">It also means a high agreement score is the expected result and not by itself good news. The informative cases are the five partial calls, where the draft slightly outruns its source, and the eleven conflicts. If Review gets the 82 right and misses the subtle ones, the headline number will look strong and mean very little. Read the disagreement list, not the percentage.</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2026-09-05T12:10:08.837Z</dcterms:created>
  <dcterms:modified xsi:type="dcterms:W3CDTF">2026-09-05T12:10:08.854Z</dcterms:modified>
</cp:coreProperties>
</file>

<file path=docProps/custom.xml><?xml version="1.0" encoding="utf-8"?>
<Properties xmlns="http://schemas.openxmlformats.org/officeDocument/2006/custom-properties" xmlns:vt="http://schemas.openxmlformats.org/officeDocument/2006/docPropsVTypes"/>
</file>