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Vantor Systems - Investment Memo</w:t>
      </w:r>
    </w:p>
    <w:p>
      <w:r>
        <w:t xml:space="preserve">Vantor Systems generated revenue of $24 million in FY2024, up from $18 million in FY2023.</w:t>
      </w:r>
    </w:p>
    <w:p>
      <w:r>
        <w:t xml:space="preserve">Management described the pipeline as “robust and well-diversified” and noted the company’s strong momentum.</w:t>
      </w:r>
    </w:p>
    <w:p>
      <w:r>
        <w:t xml:space="preserve">The projected gross IRR is in the 20–24% range — well above the fund’s hurdle rate.</w:t>
      </w:r>
    </w:p>
    <w:p>
      <w:r>
        <w:t xml:space="preserve">Customer acquisition cost runs between $175–225 with payback in 7–9 months.</w:t>
      </w:r>
    </w:p>
    <w:p>
      <w:r>
        <w:t xml:space="preserve">The Company employs 142 staff across three regional offices.</w:t>
      </w:r>
    </w:p>
    <w:p>
      <w:r>
        <w:t xml:space="preserve">The base case generates a 2.8x MOIC and a 23% gross IRR.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2026-08-02T08:38:02.575Z</dcterms:created>
  <dcterms:modified xsi:type="dcterms:W3CDTF">2026-08-02T08:38:02.585Z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