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F1B3D"/>
          <w:sz w:val="56"/>
        </w:rPr>
        <w:t>Christen in der Osteopathie</w:t>
      </w:r>
    </w:p>
    <w:p>
      <w:pPr>
        <w:spacing w:before="0" w:after="0"/>
        <w:pBdr>
          <w:bottom w:val="single" w:sz="6" w:space="1" w:color="b4436c"/>
        </w:pBdr>
      </w:pPr>
    </w:p>
    <w:p>
      <w:pPr>
        <w:spacing w:before="320"/>
        <w:jc w:val="center"/>
      </w:pPr>
      <w:r>
        <w:rPr>
          <w:rFonts w:ascii="Calibri" w:hAnsi="Calibri"/>
          <w:color w:val="B4436C"/>
          <w:sz w:val="32"/>
        </w:rPr>
        <w:t>Website-Redesign 2026: Analyse, Zielgruppe &amp; Strategie</w:t>
      </w:r>
    </w:p>
    <w:p/>
    <w:p>
      <w:pPr>
        <w:jc w:val="center"/>
      </w:pPr>
      <w:r>
        <w:rPr>
          <w:rFonts w:ascii="Calibri" w:hAnsi="Calibri"/>
          <w:color w:val="666666"/>
          <w:sz w:val="26"/>
        </w:rPr>
        <w:t>Mai 2026</w:t>
      </w:r>
    </w:p>
    <w:p>
      <w:pPr>
        <w:jc w:val="center"/>
      </w:pPr>
      <w:r>
        <w:rPr>
          <w:rFonts w:ascii="Calibri" w:hAnsi="Calibri"/>
          <w:color w:val="666666"/>
          <w:sz w:val="26"/>
        </w:rPr>
        <w:t>Erstellt von: Benjamin Rumold</w:t>
      </w:r>
    </w:p>
    <w:p/>
    <w:p/>
    <w:p/>
    <w:p/>
    <w:p>
      <w:pPr>
        <w:spacing w:before="480"/>
        <w:jc w:val="center"/>
      </w:pPr>
      <w:r>
        <w:rPr>
          <w:rFonts w:ascii="Calibri" w:hAnsi="Calibri"/>
          <w:i/>
          <w:color w:val="999999"/>
          <w:sz w:val="20"/>
        </w:rPr>
        <w:t>Vertraulich — Nur für internen Gebrauch</w:t>
      </w:r>
    </w:p>
    <w:p>
      <w:r>
        <w:br w:type="page"/>
      </w:r>
    </w:p>
    <w:p>
      <w:pPr>
        <w:pStyle w:val="Heading1"/>
      </w:pPr>
      <w:r>
        <w:rPr>
          <w:rFonts w:ascii="Calibri" w:hAnsi="Calibri"/>
          <w:color w:val="0F1B3D"/>
        </w:rPr>
        <w:t>1. EXECUTIVE SUMMARY</w:t>
      </w:r>
    </w:p>
    <w:p>
      <w:pPr>
        <w:spacing w:before="0" w:after="0"/>
        <w:pBdr>
          <w:bottom w:val="single" w:sz="6" w:space="1" w:color="b4436c"/>
        </w:pBdr>
      </w:pPr>
    </w:p>
    <w:p>
      <w:pPr/>
      <w:r>
        <w:t>Die Website christen-in-der-osteopathie.de ist die zentrale Online-Präsenz des Netzwerks „Christen in der Osteopathie“ (CiO). Die aktuelle Seite basiert auf einem veralteten WordPress-Theme von 2017 und weist erhebliche Defizite in den Bereichen Mobile-Optimierung, Suchmaschinenoptimierung (SEO), Barrierefreiheit und Nutzerführung auf.</w:t>
      </w:r>
    </w:p>
    <w:p>
      <w:pPr/>
      <w:r>
        <w:t>Dieses Dokument analysiert den Ist-Zustand, definiert die Zielgruppe anhand fundierter Daten, identifiziert rechtliche Anforderungen und leitet daraus konkrete Redesign-Maßnahmen ab. Ziel ist eine moderne, professionelle und DSGVO-konforme Website, die das Netzwerk zeitgemäß repräsentiert und neue Mitglieder sowie Patienten effektiv anspricht.</w:t>
      </w:r>
    </w:p>
    <w:p>
      <w:r>
        <w:br w:type="page"/>
      </w:r>
    </w:p>
    <w:p>
      <w:pPr>
        <w:pStyle w:val="Heading1"/>
      </w:pPr>
      <w:r>
        <w:rPr>
          <w:rFonts w:ascii="Calibri" w:hAnsi="Calibri"/>
          <w:color w:val="0F1B3D"/>
        </w:rPr>
        <w:t>2. IST-ANALYSE: AKTUELLE WEBSITE</w:t>
      </w:r>
    </w:p>
    <w:p>
      <w:pPr>
        <w:spacing w:before="0" w:after="0"/>
        <w:pBdr>
          <w:bottom w:val="single" w:sz="6" w:space="1" w:color="b4436c"/>
        </w:pBdr>
      </w:pPr>
    </w:p>
    <w:tbl>
      <w:tblPr>
        <w:tblW w:type="auto" w:w="0"/>
        <w:jc w:val="center"/>
        <w:tblLayout w:type="fixed"/>
        <w:tblLook w:firstColumn="1" w:firstRow="1" w:lastColumn="0" w:lastRow="0" w:noHBand="0" w:noVBand="1" w:val="04A0"/>
      </w:tblPr>
      <w:tblGrid>
        <w:gridCol w:w="4680"/>
        <w:gridCol w:w="4680"/>
      </w:tblGrid>
      <w:tr>
        <w:tc>
          <w:tcPr>
            <w:tcW w:type="dxa" w:w="3168"/>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Kriterium</w:t>
            </w:r>
          </w:p>
        </w:tc>
        <w:tc>
          <w:tcPr>
            <w:tcW w:type="dxa" w:w="6192"/>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Bewertung</w:t>
            </w:r>
          </w:p>
        </w:tc>
      </w:tr>
      <w:tr>
        <w:tc>
          <w:tcPr>
            <w:tcW w:type="dxa" w:w="316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Viewport Meta-Tag</w:t>
            </w:r>
          </w:p>
        </w:tc>
        <w:tc>
          <w:tcPr>
            <w:tcW w:type="dxa" w:w="619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Fehlt komplett — keine mobile Optimierung</w:t>
            </w:r>
          </w:p>
        </w:tc>
      </w:tr>
      <w:tr>
        <w:tc>
          <w:tcPr>
            <w:tcW w:type="dxa" w:w="316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Meta-Description</w:t>
            </w:r>
          </w:p>
        </w:tc>
        <w:tc>
          <w:tcPr>
            <w:tcW w:type="dxa" w:w="619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Keine vorhanden — unsichtbar für Google</w:t>
            </w:r>
          </w:p>
        </w:tc>
      </w:tr>
      <w:tr>
        <w:tc>
          <w:tcPr>
            <w:tcW w:type="dxa" w:w="316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Responsive Design</w:t>
            </w:r>
          </w:p>
        </w:tc>
        <w:tc>
          <w:tcPr>
            <w:tcW w:type="dxa" w:w="619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Nicht implementiert — Desktop-only Layout</w:t>
            </w:r>
          </w:p>
        </w:tc>
      </w:tr>
      <w:tr>
        <w:tc>
          <w:tcPr>
            <w:tcW w:type="dxa" w:w="316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SSL-Zertifikat</w:t>
            </w:r>
          </w:p>
        </w:tc>
        <w:tc>
          <w:tcPr>
            <w:tcW w:type="dxa" w:w="619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HTTPS aktiv</w:t>
            </w:r>
          </w:p>
        </w:tc>
      </w:tr>
      <w:tr>
        <w:tc>
          <w:tcPr>
            <w:tcW w:type="dxa" w:w="316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Ladezeit</w:t>
            </w:r>
          </w:p>
        </w:tc>
        <w:tc>
          <w:tcPr>
            <w:tcW w:type="dxa" w:w="619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Nicht optimiert (kein Lazy Loading, keine Bildkompression)</w:t>
            </w:r>
          </w:p>
        </w:tc>
      </w:tr>
      <w:tr>
        <w:tc>
          <w:tcPr>
            <w:tcW w:type="dxa" w:w="316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Therapeutensuche</w:t>
            </w:r>
          </w:p>
        </w:tc>
        <w:tc>
          <w:tcPr>
            <w:tcW w:type="dxa" w:w="619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Nur statische Liste ohne Filter- oder Suchfunktion</w:t>
            </w:r>
          </w:p>
        </w:tc>
      </w:tr>
      <w:tr>
        <w:tc>
          <w:tcPr>
            <w:tcW w:type="dxa" w:w="316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Veranstaltungen</w:t>
            </w:r>
          </w:p>
        </w:tc>
        <w:tc>
          <w:tcPr>
            <w:tcW w:type="dxa" w:w="619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Preise erst auf Detailseite sichtbar</w:t>
            </w:r>
          </w:p>
        </w:tc>
      </w:tr>
      <w:tr>
        <w:tc>
          <w:tcPr>
            <w:tcW w:type="dxa" w:w="316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Barrierefreiheit</w:t>
            </w:r>
          </w:p>
        </w:tc>
        <w:tc>
          <w:tcPr>
            <w:tcW w:type="dxa" w:w="619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Keine ARIA-Labels, kein Fokus-Management</w:t>
            </w:r>
          </w:p>
        </w:tc>
      </w:tr>
      <w:tr>
        <w:tc>
          <w:tcPr>
            <w:tcW w:type="dxa" w:w="316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WordPress-Theme</w:t>
            </w:r>
          </w:p>
        </w:tc>
        <w:tc>
          <w:tcPr>
            <w:tcW w:type="dxa" w:w="619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Veraltet (2017), keine Updates</w:t>
            </w:r>
          </w:p>
        </w:tc>
      </w:tr>
      <w:tr>
        <w:tc>
          <w:tcPr>
            <w:tcW w:type="dxa" w:w="316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Content-Struktur</w:t>
            </w:r>
          </w:p>
        </w:tc>
        <w:tc>
          <w:tcPr>
            <w:tcW w:type="dxa" w:w="619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 Unstrukturiert, keine klare Nutzerführung</w:t>
            </w:r>
          </w:p>
        </w:tc>
      </w:tr>
    </w:tbl>
    <w:p/>
    <w:p>
      <w:pPr/>
      <w:r>
        <w:t>Die Website erfüllt damit weder aktuelle technische Standards noch die ab Juni 2025 geltenden Anforderungen des Barrierefreiheitsstärkungsgesetzes (BFSG).</w:t>
      </w:r>
    </w:p>
    <w:p>
      <w:r>
        <w:br w:type="page"/>
      </w:r>
    </w:p>
    <w:p>
      <w:pPr>
        <w:pStyle w:val="Heading1"/>
      </w:pPr>
      <w:r>
        <w:rPr>
          <w:rFonts w:ascii="Calibri" w:hAnsi="Calibri"/>
          <w:color w:val="0F1B3D"/>
        </w:rPr>
        <w:t>3. ZIELGRUPPENANALYSE</w:t>
      </w:r>
    </w:p>
    <w:p>
      <w:pPr>
        <w:spacing w:before="0" w:after="0"/>
        <w:pBdr>
          <w:bottom w:val="single" w:sz="6" w:space="1" w:color="b4436c"/>
        </w:pBdr>
      </w:pPr>
    </w:p>
    <w:p>
      <w:pPr>
        <w:pStyle w:val="Heading2"/>
      </w:pPr>
      <w:r>
        <w:rPr>
          <w:rFonts w:ascii="Calibri" w:hAnsi="Calibri"/>
          <w:color w:val="0F1B3D"/>
        </w:rPr>
        <w:t>3.1 Primäre Zielgruppe: Osteopathen mit christlichem Hintergrund</w:t>
      </w:r>
    </w:p>
    <w:tbl>
      <w:tblPr>
        <w:tblW w:type="auto" w:w="0"/>
        <w:jc w:val="center"/>
        <w:tblLayout w:type="fixed"/>
        <w:tblLook w:firstColumn="1" w:firstRow="1" w:lastColumn="0" w:lastRow="0" w:noHBand="0" w:noVBand="1" w:val="04A0"/>
      </w:tblPr>
      <w:tblGrid>
        <w:gridCol w:w="4680"/>
        <w:gridCol w:w="4680"/>
      </w:tblGrid>
      <w:tr>
        <w:tc>
          <w:tcPr>
            <w:tcW w:type="dxa" w:w="288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Merkmal</w:t>
            </w:r>
          </w:p>
        </w:tc>
        <w:tc>
          <w:tcPr>
            <w:tcW w:type="dxa" w:w="648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Detail</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Alter</w:t>
            </w:r>
          </w:p>
        </w:tc>
        <w:tc>
          <w:tcPr>
            <w:tcW w:type="dxa" w:w="64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35–55 Jahre (Schwerpunkt 40–50)</w:t>
            </w:r>
          </w:p>
        </w:tc>
      </w:tr>
      <w:tr>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Geschlecht</w:t>
            </w:r>
          </w:p>
        </w:tc>
        <w:tc>
          <w:tcPr>
            <w:tcW w:type="dxa" w:w="64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Überwiegend weiblich (ca. 70%)</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Berufsgruppe</w:t>
            </w:r>
          </w:p>
        </w:tc>
        <w:tc>
          <w:tcPr>
            <w:tcW w:type="dxa" w:w="64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Selbstständige Osteopathen, HP-Physio, Heilpraktiker</w:t>
            </w:r>
          </w:p>
        </w:tc>
      </w:tr>
      <w:tr>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Ausbildung</w:t>
            </w:r>
          </w:p>
        </w:tc>
        <w:tc>
          <w:tcPr>
            <w:tcW w:type="dxa" w:w="64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Mind. 4 Jahre (1.350+ Stunden), akademisch orientiert</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Digitalkompetenz</w:t>
            </w:r>
          </w:p>
        </w:tc>
        <w:tc>
          <w:tcPr>
            <w:tcW w:type="dxa" w:w="64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Mittel bis hoch (89–97% Internetnutzung in Altersgruppe)</w:t>
            </w:r>
          </w:p>
        </w:tc>
      </w:tr>
      <w:tr>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Geräte-Nutzung</w:t>
            </w:r>
          </w:p>
        </w:tc>
        <w:tc>
          <w:tcPr>
            <w:tcW w:type="dxa" w:w="64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Desktop primär (Praxis-PC), Smartphone sekundär</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Social Media</w:t>
            </w:r>
          </w:p>
        </w:tc>
        <w:tc>
          <w:tcPr>
            <w:tcW w:type="dxa" w:w="64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Facebook aktiv, Instagram zunehmend, LinkedIn beruflich</w:t>
            </w:r>
          </w:p>
        </w:tc>
      </w:tr>
      <w:tr>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Werte</w:t>
            </w:r>
          </w:p>
        </w:tc>
        <w:tc>
          <w:tcPr>
            <w:tcW w:type="dxa" w:w="64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Glaube, Fachkompetenz, Gemeinschaft, evidenzbasierte Medizin</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Motivation</w:t>
            </w:r>
          </w:p>
        </w:tc>
        <w:tc>
          <w:tcPr>
            <w:tcW w:type="dxa" w:w="64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Fachliche Fortbildung + geistlicher Austausch</w:t>
            </w:r>
          </w:p>
        </w:tc>
      </w:tr>
    </w:tbl>
    <w:p/>
    <w:p>
      <w:pPr>
        <w:pStyle w:val="Heading2"/>
      </w:pPr>
      <w:r>
        <w:rPr>
          <w:rFonts w:ascii="Calibri" w:hAnsi="Calibri"/>
          <w:color w:val="0F1B3D"/>
        </w:rPr>
        <w:t>3.2 Sekundäre Zielgruppe: Patienten</w:t>
      </w:r>
    </w:p>
    <w:tbl>
      <w:tblPr>
        <w:tblW w:type="auto" w:w="0"/>
        <w:jc w:val="center"/>
        <w:tblLayout w:type="fixed"/>
        <w:tblLook w:firstColumn="1" w:firstRow="1" w:lastColumn="0" w:lastRow="0" w:noHBand="0" w:noVBand="1" w:val="04A0"/>
      </w:tblPr>
      <w:tblGrid>
        <w:gridCol w:w="4680"/>
        <w:gridCol w:w="4680"/>
      </w:tblGrid>
      <w:tr>
        <w:tc>
          <w:tcPr>
            <w:tcW w:type="dxa" w:w="288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Merkmal</w:t>
            </w:r>
          </w:p>
        </w:tc>
        <w:tc>
          <w:tcPr>
            <w:tcW w:type="dxa" w:w="648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Detail</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Alter</w:t>
            </w:r>
          </w:p>
        </w:tc>
        <w:tc>
          <w:tcPr>
            <w:tcW w:type="dxa" w:w="64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30–65 Jahre</w:t>
            </w:r>
          </w:p>
        </w:tc>
      </w:tr>
      <w:tr>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Suchverhalten</w:t>
            </w:r>
          </w:p>
        </w:tc>
        <w:tc>
          <w:tcPr>
            <w:tcW w:type="dxa" w:w="64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„Osteopath + [Stadt]“, „christlicher Osteopath“</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Bedürfnis</w:t>
            </w:r>
          </w:p>
        </w:tc>
        <w:tc>
          <w:tcPr>
            <w:tcW w:type="dxa" w:w="64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Therapeut finden, der Werte teilt</w:t>
            </w:r>
          </w:p>
        </w:tc>
      </w:tr>
      <w:tr>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Geräte</w:t>
            </w:r>
          </w:p>
        </w:tc>
        <w:tc>
          <w:tcPr>
            <w:tcW w:type="dxa" w:w="64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Überwiegend Smartphone (Google-Suche)</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Entscheidungsfaktor</w:t>
            </w:r>
          </w:p>
        </w:tc>
        <w:tc>
          <w:tcPr>
            <w:tcW w:type="dxa" w:w="64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Nähe, Qualifikation, Vertrauenssignale</w:t>
            </w:r>
          </w:p>
        </w:tc>
      </w:tr>
    </w:tbl>
    <w:p/>
    <w:p>
      <w:pPr>
        <w:pStyle w:val="Heading2"/>
      </w:pPr>
      <w:r>
        <w:rPr>
          <w:rFonts w:ascii="Calibri" w:hAnsi="Calibri"/>
          <w:color w:val="0F1B3D"/>
        </w:rPr>
        <w:t>3.3 Marktkontext</w:t>
      </w:r>
    </w:p>
    <w:p>
      <w:pPr/>
      <w:r>
        <w:t>In Deutschland praktizieren ca. 7.000–10.000 Osteopathen. Der VOD (Verband der Osteopathen Deutschland) hat über 6.500 Mitglieder, der BVO ca. 1.400. CiO bedient eine spezifische Nische: die Verbindung von osteopathischer Fachkompetenz mit christlichem Glauben.</w:t>
      </w:r>
    </w:p>
    <w:p>
      <w:pPr/>
      <w:r>
        <w:t>Vergleichbare christliche Gesundheitsnetzwerke:</w:t>
      </w:r>
    </w:p>
    <w:p>
      <w:pPr>
        <w:pStyle w:val="ListBullet"/>
      </w:pPr>
      <w:r>
        <w:rPr>
          <w:rFonts w:ascii="Calibri" w:hAnsi="Calibri"/>
          <w:sz w:val="22"/>
        </w:rPr>
        <w:t>Christen im Gesundheitswesen (CiG) — größtes Netzwerk, breiter Ansatz</w:t>
      </w:r>
    </w:p>
    <w:p>
      <w:pPr>
        <w:pStyle w:val="ListBullet"/>
      </w:pPr>
      <w:r>
        <w:rPr>
          <w:rFonts w:ascii="Calibri" w:hAnsi="Calibri"/>
          <w:sz w:val="22"/>
        </w:rPr>
        <w:t>C-STAB — Christliche Heilpraktiker</w:t>
      </w:r>
    </w:p>
    <w:p>
      <w:pPr>
        <w:pStyle w:val="ListBullet"/>
      </w:pPr>
      <w:r>
        <w:rPr>
          <w:rFonts w:ascii="Calibri" w:hAnsi="Calibri"/>
          <w:sz w:val="22"/>
        </w:rPr>
        <w:t>DGCN — Christliche Naturheilkunde</w:t>
      </w:r>
    </w:p>
    <w:p>
      <w:pPr>
        <w:pStyle w:val="ListBullet"/>
      </w:pPr>
      <w:r>
        <w:rPr>
          <w:rFonts w:ascii="Calibri" w:hAnsi="Calibri"/>
          <w:sz w:val="22"/>
        </w:rPr>
        <w:t>ACM — Akademie für christliche Medizin</w:t>
      </w:r>
    </w:p>
    <w:p>
      <w:r>
        <w:br w:type="page"/>
      </w:r>
    </w:p>
    <w:p>
      <w:pPr>
        <w:pStyle w:val="Heading1"/>
      </w:pPr>
      <w:r>
        <w:rPr>
          <w:rFonts w:ascii="Calibri" w:hAnsi="Calibri"/>
          <w:color w:val="0F1B3D"/>
        </w:rPr>
        <w:t>4. BENCHMARKS &amp; WETTBEWERB</w:t>
      </w:r>
    </w:p>
    <w:p>
      <w:pPr>
        <w:spacing w:before="0" w:after="0"/>
        <w:pBdr>
          <w:bottom w:val="single" w:sz="6" w:space="1" w:color="b4436c"/>
        </w:pBdr>
      </w:pPr>
    </w:p>
    <w:tbl>
      <w:tblPr>
        <w:tblW w:type="auto" w:w="0"/>
        <w:jc w:val="center"/>
        <w:tblLayout w:type="fixed"/>
        <w:tblLook w:firstColumn="1" w:firstRow="1" w:lastColumn="0" w:lastRow="0" w:noHBand="0" w:noVBand="1" w:val="04A0"/>
      </w:tblPr>
      <w:tblGrid>
        <w:gridCol w:w="3120"/>
        <w:gridCol w:w="3120"/>
        <w:gridCol w:w="3120"/>
      </w:tblGrid>
      <w:tr>
        <w:tc>
          <w:tcPr>
            <w:tcW w:type="dxa" w:w="3312"/>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Website</w:t>
            </w:r>
          </w:p>
        </w:tc>
        <w:tc>
          <w:tcPr>
            <w:tcW w:type="dxa" w:w="3168"/>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Stärken</w:t>
            </w:r>
          </w:p>
        </w:tc>
        <w:tc>
          <w:tcPr>
            <w:tcW w:type="dxa" w:w="288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Schwächen</w:t>
            </w:r>
          </w:p>
        </w:tc>
      </w:tr>
      <w:tr>
        <w:tc>
          <w:tcPr>
            <w:tcW w:type="dxa" w:w="331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osteopathie.de (VOD)</w:t>
            </w:r>
          </w:p>
        </w:tc>
        <w:tc>
          <w:tcPr>
            <w:tcW w:type="dxa" w:w="316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Therapeutensuche mit PLZ, professionelles Design</w:t>
            </w:r>
          </w:p>
        </w:tc>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Kein religiöser Bezug, sehr funktional</w:t>
            </w:r>
          </w:p>
        </w:tc>
      </w:tr>
      <w:tr>
        <w:tc>
          <w:tcPr>
            <w:tcW w:type="dxa" w:w="331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bv-osteopathie.de (BVO)</w:t>
            </w:r>
          </w:p>
        </w:tc>
        <w:tc>
          <w:tcPr>
            <w:tcW w:type="dxa" w:w="316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Moderne Optik, gute Struktur</w:t>
            </w:r>
          </w:p>
        </w:tc>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Wenig Community-Fokus</w:t>
            </w:r>
          </w:p>
        </w:tc>
      </w:tr>
      <w:tr>
        <w:tc>
          <w:tcPr>
            <w:tcW w:type="dxa" w:w="331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christenimgesundheitswesen.de</w:t>
            </w:r>
          </w:p>
        </w:tc>
        <w:tc>
          <w:tcPr>
            <w:tcW w:type="dxa" w:w="316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Starke Community, Events</w:t>
            </w:r>
          </w:p>
        </w:tc>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Veraltetes Design, langsam</w:t>
            </w:r>
          </w:p>
        </w:tc>
      </w:tr>
      <w:tr>
        <w:tc>
          <w:tcPr>
            <w:tcW w:type="dxa" w:w="331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dgcn.de</w:t>
            </w:r>
          </w:p>
        </w:tc>
        <w:tc>
          <w:tcPr>
            <w:tcW w:type="dxa" w:w="316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Nischen-Positionierung</w:t>
            </w:r>
          </w:p>
        </w:tc>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Minimal-Design, wenig Funktionalität</w:t>
            </w:r>
          </w:p>
        </w:tc>
      </w:tr>
    </w:tbl>
    <w:p>
      <w:r>
        <w:br w:type="page"/>
      </w:r>
    </w:p>
    <w:p>
      <w:pPr>
        <w:pStyle w:val="Heading1"/>
      </w:pPr>
      <w:r>
        <w:rPr>
          <w:rFonts w:ascii="Calibri" w:hAnsi="Calibri"/>
          <w:color w:val="0F1B3D"/>
        </w:rPr>
        <w:t>5. RECHTLICHE ANFORDERUNGEN</w:t>
      </w:r>
    </w:p>
    <w:p>
      <w:pPr>
        <w:spacing w:before="0" w:after="0"/>
        <w:pBdr>
          <w:bottom w:val="single" w:sz="6" w:space="1" w:color="b4436c"/>
        </w:pBdr>
      </w:pPr>
    </w:p>
    <w:p>
      <w:pPr>
        <w:pStyle w:val="Heading2"/>
      </w:pPr>
      <w:r>
        <w:rPr>
          <w:rFonts w:ascii="Calibri" w:hAnsi="Calibri"/>
          <w:color w:val="0F1B3D"/>
        </w:rPr>
        <w:t>5.1 DSGVO (Datenschutz-Grundverordnung)</w:t>
      </w:r>
    </w:p>
    <w:p>
      <w:pPr>
        <w:pStyle w:val="ListBullet"/>
      </w:pPr>
      <w:r>
        <w:rPr>
          <w:rFonts w:ascii="Calibri" w:hAnsi="Calibri"/>
          <w:sz w:val="22"/>
        </w:rPr>
        <w:t>Datenschutzerklärung nach Art. 13 DSGVO</w:t>
      </w:r>
    </w:p>
    <w:p>
      <w:pPr>
        <w:pStyle w:val="ListBullet"/>
      </w:pPr>
      <w:r>
        <w:rPr>
          <w:rFonts w:ascii="Calibri" w:hAnsi="Calibri"/>
          <w:sz w:val="22"/>
        </w:rPr>
        <w:t>Cookie-Consent-Banner mit Opt-in</w:t>
      </w:r>
    </w:p>
    <w:p>
      <w:pPr>
        <w:pStyle w:val="ListBullet"/>
      </w:pPr>
      <w:r>
        <w:rPr>
          <w:rFonts w:ascii="Calibri" w:hAnsi="Calibri"/>
          <w:sz w:val="22"/>
        </w:rPr>
        <w:t>Auftragsverarbeitungsverträge (AVV) für alle Drittanbieter</w:t>
      </w:r>
    </w:p>
    <w:p>
      <w:pPr>
        <w:pStyle w:val="ListBullet"/>
      </w:pPr>
      <w:r>
        <w:rPr>
          <w:rFonts w:ascii="Calibri" w:hAnsi="Calibri"/>
          <w:sz w:val="22"/>
        </w:rPr>
        <w:t>SSL-Verschlüsselung (bereits vorhanden)</w:t>
      </w:r>
    </w:p>
    <w:p>
      <w:pPr>
        <w:pStyle w:val="ListBullet"/>
      </w:pPr>
      <w:r>
        <w:rPr>
          <w:rFonts w:ascii="Calibri" w:hAnsi="Calibri"/>
          <w:sz w:val="22"/>
        </w:rPr>
        <w:t>Recht auf Auskunft, Löschung, Datenportabilität</w:t>
      </w:r>
    </w:p>
    <w:p>
      <w:pPr>
        <w:pStyle w:val="Heading2"/>
      </w:pPr>
      <w:r>
        <w:rPr>
          <w:rFonts w:ascii="Calibri" w:hAnsi="Calibri"/>
          <w:color w:val="0F1B3D"/>
        </w:rPr>
        <w:t>5.2 Heilmittelwerbegesetz (HWG)</w:t>
      </w:r>
    </w:p>
    <w:p>
      <w:pPr>
        <w:pStyle w:val="ListBullet"/>
      </w:pPr>
      <w:r>
        <w:rPr>
          <w:rFonts w:ascii="Calibri" w:hAnsi="Calibri"/>
          <w:sz w:val="22"/>
        </w:rPr>
        <w:t>Keine Heilversprechen oder Erfolgsgarantien</w:t>
      </w:r>
    </w:p>
    <w:p>
      <w:pPr>
        <w:pStyle w:val="ListBullet"/>
      </w:pPr>
      <w:r>
        <w:rPr>
          <w:rFonts w:ascii="Calibri" w:hAnsi="Calibri"/>
          <w:sz w:val="22"/>
        </w:rPr>
        <w:t>Keine irreführenden Vorher-Nachher-Darstellungen</w:t>
      </w:r>
    </w:p>
    <w:p>
      <w:pPr>
        <w:pStyle w:val="ListBullet"/>
      </w:pPr>
      <w:r>
        <w:rPr>
          <w:rFonts w:ascii="Calibri" w:hAnsi="Calibri"/>
          <w:sz w:val="22"/>
        </w:rPr>
        <w:t>Sachliche Darstellung der Osteopathie</w:t>
      </w:r>
    </w:p>
    <w:p>
      <w:pPr>
        <w:pStyle w:val="ListBullet"/>
      </w:pPr>
      <w:r>
        <w:rPr>
          <w:rFonts w:ascii="Calibri" w:hAnsi="Calibri"/>
          <w:sz w:val="22"/>
        </w:rPr>
        <w:t>Therapeutenliste ohne werbliche Übertreibung</w:t>
      </w:r>
    </w:p>
    <w:p>
      <w:pPr>
        <w:pStyle w:val="Heading2"/>
      </w:pPr>
      <w:r>
        <w:rPr>
          <w:rFonts w:ascii="Calibri" w:hAnsi="Calibri"/>
          <w:color w:val="0F1B3D"/>
        </w:rPr>
        <w:t>5.3 Barrierefreiheitsstärkungsgesetz (BFSG)</w:t>
      </w:r>
    </w:p>
    <w:p>
      <w:pPr/>
      <w:r>
        <w:t>Ab 28. Juni 2025 gelten erweiterte Barrierefreiheitsanforderungen:</w:t>
      </w:r>
    </w:p>
    <w:p>
      <w:pPr>
        <w:pStyle w:val="ListBullet"/>
      </w:pPr>
      <w:r>
        <w:rPr>
          <w:rFonts w:ascii="Calibri" w:hAnsi="Calibri"/>
          <w:sz w:val="22"/>
        </w:rPr>
        <w:t>WCAG 2.1 Level AA als Mindeststandard</w:t>
      </w:r>
    </w:p>
    <w:p>
      <w:pPr>
        <w:pStyle w:val="ListBullet"/>
      </w:pPr>
      <w:r>
        <w:rPr>
          <w:rFonts w:ascii="Calibri" w:hAnsi="Calibri"/>
          <w:sz w:val="22"/>
        </w:rPr>
        <w:t>Tastaturbedienbarkeit aller Funktionen</w:t>
      </w:r>
    </w:p>
    <w:p>
      <w:pPr>
        <w:pStyle w:val="ListBullet"/>
      </w:pPr>
      <w:r>
        <w:rPr>
          <w:rFonts w:ascii="Calibri" w:hAnsi="Calibri"/>
          <w:sz w:val="22"/>
        </w:rPr>
        <w:t>Screenreader-Kompatibilität (ARIA-Labels)</w:t>
      </w:r>
    </w:p>
    <w:p>
      <w:pPr>
        <w:pStyle w:val="ListBullet"/>
      </w:pPr>
      <w:r>
        <w:rPr>
          <w:rFonts w:ascii="Calibri" w:hAnsi="Calibri"/>
          <w:sz w:val="22"/>
        </w:rPr>
        <w:t>Ausreichende Kontrastverhältnisse (min. 4.5:1)</w:t>
      </w:r>
    </w:p>
    <w:p>
      <w:pPr>
        <w:pStyle w:val="ListBullet"/>
      </w:pPr>
      <w:r>
        <w:rPr>
          <w:rFonts w:ascii="Calibri" w:hAnsi="Calibri"/>
          <w:sz w:val="22"/>
        </w:rPr>
        <w:t>Skalierbare Schriften (bis 200% ohne Funktionsverlust)</w:t>
      </w:r>
    </w:p>
    <w:p>
      <w:pPr>
        <w:pStyle w:val="ListBullet"/>
      </w:pPr>
      <w:r>
        <w:rPr>
          <w:rFonts w:ascii="Calibri" w:hAnsi="Calibri"/>
          <w:sz w:val="22"/>
        </w:rPr>
        <w:t>Alternative Texte für alle Bilder</w:t>
      </w:r>
    </w:p>
    <w:p>
      <w:pPr>
        <w:pStyle w:val="Heading2"/>
      </w:pPr>
      <w:r>
        <w:rPr>
          <w:rFonts w:ascii="Calibri" w:hAnsi="Calibri"/>
          <w:color w:val="0F1B3D"/>
        </w:rPr>
        <w:t>5.4 Impressumspflicht (TMG/DDG)</w:t>
      </w:r>
    </w:p>
    <w:p>
      <w:pPr>
        <w:pStyle w:val="ListBullet"/>
      </w:pPr>
      <w:r>
        <w:rPr>
          <w:rFonts w:ascii="Calibri" w:hAnsi="Calibri"/>
          <w:sz w:val="22"/>
        </w:rPr>
        <w:t>Vollständiges Impressum nach § 5 DDG</w:t>
      </w:r>
    </w:p>
    <w:p>
      <w:pPr>
        <w:pStyle w:val="ListBullet"/>
      </w:pPr>
      <w:r>
        <w:rPr>
          <w:rFonts w:ascii="Calibri" w:hAnsi="Calibri"/>
          <w:sz w:val="22"/>
        </w:rPr>
        <w:t>Angabe der zuständigen Aufsichtsbehörde</w:t>
      </w:r>
    </w:p>
    <w:p>
      <w:pPr>
        <w:pStyle w:val="ListBullet"/>
      </w:pPr>
      <w:r>
        <w:rPr>
          <w:rFonts w:ascii="Calibri" w:hAnsi="Calibri"/>
          <w:sz w:val="22"/>
        </w:rPr>
        <w:t>Berufsbezeichnung und Kammerzugehörigkeit</w:t>
      </w:r>
    </w:p>
    <w:p>
      <w:r>
        <w:br w:type="page"/>
      </w:r>
    </w:p>
    <w:p>
      <w:pPr>
        <w:pStyle w:val="Heading1"/>
      </w:pPr>
      <w:r>
        <w:rPr>
          <w:rFonts w:ascii="Calibri" w:hAnsi="Calibri"/>
          <w:color w:val="0F1B3D"/>
        </w:rPr>
        <w:t>6. UX-EMPFEHLUNGEN FÜR DIE ZIELGRUPPE</w:t>
      </w:r>
    </w:p>
    <w:p>
      <w:pPr>
        <w:spacing w:before="0" w:after="0"/>
        <w:pBdr>
          <w:bottom w:val="single" w:sz="6" w:space="1" w:color="b4436c"/>
        </w:pBdr>
      </w:pPr>
    </w:p>
    <w:tbl>
      <w:tblPr>
        <w:tblW w:type="auto" w:w="0"/>
        <w:jc w:val="center"/>
        <w:tblLayout w:type="fixed"/>
        <w:tblLook w:firstColumn="1" w:firstRow="1" w:lastColumn="0" w:lastRow="0" w:noHBand="0" w:noVBand="1" w:val="04A0"/>
      </w:tblPr>
      <w:tblGrid>
        <w:gridCol w:w="3120"/>
        <w:gridCol w:w="3120"/>
        <w:gridCol w:w="3120"/>
      </w:tblGrid>
      <w:tr>
        <w:tc>
          <w:tcPr>
            <w:tcW w:type="dxa" w:w="3312"/>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Empfehlung</w:t>
            </w:r>
          </w:p>
        </w:tc>
        <w:tc>
          <w:tcPr>
            <w:tcW w:type="dxa" w:w="432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Begründung</w:t>
            </w:r>
          </w:p>
        </w:tc>
        <w:tc>
          <w:tcPr>
            <w:tcW w:type="dxa" w:w="1728"/>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Priorität</w:t>
            </w:r>
          </w:p>
        </w:tc>
      </w:tr>
      <w:tr>
        <w:tc>
          <w:tcPr>
            <w:tcW w:type="dxa" w:w="331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Mobile-First Design</w:t>
            </w:r>
          </w:p>
        </w:tc>
        <w:tc>
          <w:tcPr>
            <w:tcW w:type="dxa" w:w="432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89-97% der Zielgruppe nutzt das Internet, zunehmend mobil</w:t>
            </w:r>
          </w:p>
        </w:tc>
        <w:tc>
          <w:tcPr>
            <w:tcW w:type="dxa" w:w="172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Kritisch</w:t>
            </w:r>
          </w:p>
        </w:tc>
      </w:tr>
      <w:tr>
        <w:tc>
          <w:tcPr>
            <w:tcW w:type="dxa" w:w="331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Große, lesbare Schriften (min. 16px)</w:t>
            </w:r>
          </w:p>
        </w:tc>
        <w:tc>
          <w:tcPr>
            <w:tcW w:type="dxa" w:w="432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Altersgruppe 40-55, Lesbarkeit am Bildschirm</w:t>
            </w:r>
          </w:p>
        </w:tc>
        <w:tc>
          <w:tcPr>
            <w:tcW w:type="dxa" w:w="172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Hoch</w:t>
            </w:r>
          </w:p>
        </w:tc>
      </w:tr>
      <w:tr>
        <w:tc>
          <w:tcPr>
            <w:tcW w:type="dxa" w:w="331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Klare Navigation (max. 6 Hauptpunkte)</w:t>
            </w:r>
          </w:p>
        </w:tc>
        <w:tc>
          <w:tcPr>
            <w:tcW w:type="dxa" w:w="432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Mittlere Digitalkompetenz, schnelle Orientierung</w:t>
            </w:r>
          </w:p>
        </w:tc>
        <w:tc>
          <w:tcPr>
            <w:tcW w:type="dxa" w:w="172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Hoch</w:t>
            </w:r>
          </w:p>
        </w:tc>
      </w:tr>
      <w:tr>
        <w:tc>
          <w:tcPr>
            <w:tcW w:type="dxa" w:w="331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Therapeutensuche mit PLZ-Filter</w:t>
            </w:r>
          </w:p>
        </w:tc>
        <w:tc>
          <w:tcPr>
            <w:tcW w:type="dxa" w:w="432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Kernfunktion für Patienten, Benchmark bei VOD</w:t>
            </w:r>
          </w:p>
        </w:tc>
        <w:tc>
          <w:tcPr>
            <w:tcW w:type="dxa" w:w="172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Kritisch</w:t>
            </w:r>
          </w:p>
        </w:tc>
      </w:tr>
      <w:tr>
        <w:tc>
          <w:tcPr>
            <w:tcW w:type="dxa" w:w="331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Veranstaltungskalender mit Preisen</w:t>
            </w:r>
          </w:p>
        </w:tc>
        <w:tc>
          <w:tcPr>
            <w:tcW w:type="dxa" w:w="432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Transparenz als Vertrauensfaktor</w:t>
            </w:r>
          </w:p>
        </w:tc>
        <w:tc>
          <w:tcPr>
            <w:tcW w:type="dxa" w:w="172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Hoch</w:t>
            </w:r>
          </w:p>
        </w:tc>
      </w:tr>
      <w:tr>
        <w:tc>
          <w:tcPr>
            <w:tcW w:type="dxa" w:w="331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Kontaktformular statt nur E-Mail</w:t>
            </w:r>
          </w:p>
        </w:tc>
        <w:tc>
          <w:tcPr>
            <w:tcW w:type="dxa" w:w="432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Niedrigschwelliger Erstkontakt</w:t>
            </w:r>
          </w:p>
        </w:tc>
        <w:tc>
          <w:tcPr>
            <w:tcW w:type="dxa" w:w="172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Mittel</w:t>
            </w:r>
          </w:p>
        </w:tc>
      </w:tr>
      <w:tr>
        <w:tc>
          <w:tcPr>
            <w:tcW w:type="dxa" w:w="3312"/>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Testimonials / Erfahrungsberichte</w:t>
            </w:r>
          </w:p>
        </w:tc>
        <w:tc>
          <w:tcPr>
            <w:tcW w:type="dxa" w:w="432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Social Proof für beide Zielgruppen</w:t>
            </w:r>
          </w:p>
        </w:tc>
        <w:tc>
          <w:tcPr>
            <w:tcW w:type="dxa" w:w="1728"/>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Mittel</w:t>
            </w:r>
          </w:p>
        </w:tc>
      </w:tr>
      <w:tr>
        <w:tc>
          <w:tcPr>
            <w:tcW w:type="dxa" w:w="3312"/>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Blog / Aktuelles</w:t>
            </w:r>
          </w:p>
        </w:tc>
        <w:tc>
          <w:tcPr>
            <w:tcW w:type="dxa" w:w="432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SEO-Boost, Wiederkehrbesucher</w:t>
            </w:r>
          </w:p>
        </w:tc>
        <w:tc>
          <w:tcPr>
            <w:tcW w:type="dxa" w:w="1728"/>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Niedrig</w:t>
            </w:r>
          </w:p>
        </w:tc>
      </w:tr>
    </w:tbl>
    <w:p>
      <w:r>
        <w:br w:type="page"/>
      </w:r>
    </w:p>
    <w:p>
      <w:pPr>
        <w:pStyle w:val="Heading1"/>
      </w:pPr>
      <w:r>
        <w:rPr>
          <w:rFonts w:ascii="Calibri" w:hAnsi="Calibri"/>
          <w:color w:val="0F1B3D"/>
        </w:rPr>
        <w:t>7. STÄRKEN DER AKTUELLEN WEBSITE</w:t>
      </w:r>
    </w:p>
    <w:p>
      <w:pPr>
        <w:spacing w:before="0" w:after="0"/>
        <w:pBdr>
          <w:bottom w:val="single" w:sz="6" w:space="1" w:color="b4436c"/>
        </w:pBdr>
      </w:pPr>
    </w:p>
    <w:p>
      <w:pPr>
        <w:pStyle w:val="ListBullet"/>
      </w:pPr>
      <w:r>
        <w:rPr>
          <w:rFonts w:ascii="Calibri" w:hAnsi="Calibri"/>
          <w:sz w:val="22"/>
        </w:rPr>
        <w:t>Einzigartige Positionierung: Einziges Netzwerk für christliche Osteopathen im DACH-Raum</w:t>
      </w:r>
    </w:p>
    <w:p>
      <w:pPr>
        <w:pStyle w:val="ListBullet"/>
      </w:pPr>
      <w:r>
        <w:rPr>
          <w:rFonts w:ascii="Calibri" w:hAnsi="Calibri"/>
          <w:sz w:val="22"/>
        </w:rPr>
        <w:t>Authentischer Content: Persönliche Ansprache, klare Wertebasis</w:t>
      </w:r>
    </w:p>
    <w:p>
      <w:pPr>
        <w:pStyle w:val="ListBullet"/>
      </w:pPr>
      <w:r>
        <w:rPr>
          <w:rFonts w:ascii="Calibri" w:hAnsi="Calibri"/>
          <w:sz w:val="22"/>
        </w:rPr>
        <w:t>Starkes Fortbildungsprogramm: 6 Seminare + 2 Netzwerktreffen in 2026/2027</w:t>
      </w:r>
    </w:p>
    <w:p>
      <w:pPr>
        <w:pStyle w:val="ListBullet"/>
      </w:pPr>
      <w:r>
        <w:rPr>
          <w:rFonts w:ascii="Calibri" w:hAnsi="Calibri"/>
          <w:sz w:val="22"/>
        </w:rPr>
        <w:t>Zertifizierung: VOD- und BVO-anerkannte Fortbildungspunkte</w:t>
      </w:r>
    </w:p>
    <w:p>
      <w:pPr>
        <w:pStyle w:val="ListBullet"/>
      </w:pPr>
      <w:r>
        <w:rPr>
          <w:rFonts w:ascii="Calibri" w:hAnsi="Calibri"/>
          <w:sz w:val="22"/>
        </w:rPr>
        <w:t>Etabliertes Netzwerk: 40+ Therapeuten aus Deutschland, Österreich und der Schweiz</w:t>
      </w:r>
    </w:p>
    <w:p>
      <w:pPr>
        <w:pStyle w:val="ListBullet"/>
      </w:pPr>
      <w:r>
        <w:rPr>
          <w:rFonts w:ascii="Calibri" w:hAnsi="Calibri"/>
          <w:sz w:val="22"/>
        </w:rPr>
        <w:t>SSL-Verschlüsselung: Grundlegende Sicherheit vorhanden</w:t>
      </w:r>
    </w:p>
    <w:p>
      <w:pPr>
        <w:pStyle w:val="ListBullet"/>
      </w:pPr>
      <w:r>
        <w:rPr>
          <w:rFonts w:ascii="Calibri" w:hAnsi="Calibri"/>
          <w:sz w:val="22"/>
        </w:rPr>
        <w:t>Klare Abgrenzung: Explizite Distanzierung von Esoterik, naturwissenschaftliche Basis</w:t>
      </w:r>
    </w:p>
    <w:p>
      <w:r>
        <w:br w:type="page"/>
      </w:r>
    </w:p>
    <w:p>
      <w:pPr>
        <w:pStyle w:val="Heading1"/>
      </w:pPr>
      <w:r>
        <w:rPr>
          <w:rFonts w:ascii="Calibri" w:hAnsi="Calibri"/>
          <w:color w:val="0F1B3D"/>
        </w:rPr>
        <w:t>8. REDESIGN-MASSNAHMEN</w:t>
      </w:r>
    </w:p>
    <w:p>
      <w:pPr>
        <w:spacing w:before="0" w:after="0"/>
        <w:pBdr>
          <w:bottom w:val="single" w:sz="6" w:space="1" w:color="b4436c"/>
        </w:pBdr>
      </w:pPr>
    </w:p>
    <w:p>
      <w:pPr>
        <w:pStyle w:val="Heading2"/>
      </w:pPr>
      <w:r>
        <w:rPr>
          <w:rFonts w:ascii="Calibri" w:hAnsi="Calibri"/>
          <w:color w:val="0F1B3D"/>
        </w:rPr>
        <w:t>8.1 Technische Maßnahmen</w:t>
      </w:r>
    </w:p>
    <w:p>
      <w:pPr>
        <w:pStyle w:val="ListBullet"/>
      </w:pPr>
      <w:r>
        <w:rPr>
          <w:rFonts w:ascii="Calibri" w:hAnsi="Calibri"/>
          <w:sz w:val="22"/>
        </w:rPr>
        <w:t>Viewport Meta-Tag implementieren</w:t>
      </w:r>
    </w:p>
    <w:p>
      <w:pPr>
        <w:pStyle w:val="ListBullet"/>
      </w:pPr>
      <w:r>
        <w:rPr>
          <w:rFonts w:ascii="Calibri" w:hAnsi="Calibri"/>
          <w:sz w:val="22"/>
        </w:rPr>
        <w:t>Responsive Layout (Mobile-First)</w:t>
      </w:r>
    </w:p>
    <w:p>
      <w:pPr>
        <w:pStyle w:val="ListBullet"/>
      </w:pPr>
      <w:r>
        <w:rPr>
          <w:rFonts w:ascii="Calibri" w:hAnsi="Calibri"/>
          <w:sz w:val="22"/>
        </w:rPr>
        <w:t>Bildoptimierung (WebP, Lazy Loading)</w:t>
      </w:r>
    </w:p>
    <w:p>
      <w:pPr>
        <w:pStyle w:val="ListBullet"/>
      </w:pPr>
      <w:r>
        <w:rPr>
          <w:rFonts w:ascii="Calibri" w:hAnsi="Calibri"/>
          <w:sz w:val="22"/>
        </w:rPr>
        <w:t>Strukturierte Daten (Schema.org: MedicalOrganization, Event)</w:t>
      </w:r>
    </w:p>
    <w:p>
      <w:pPr>
        <w:pStyle w:val="ListBullet"/>
      </w:pPr>
      <w:r>
        <w:rPr>
          <w:rFonts w:ascii="Calibri" w:hAnsi="Calibri"/>
          <w:sz w:val="22"/>
        </w:rPr>
        <w:t>Performance-Optimierung (Core Web Vitals)</w:t>
      </w:r>
    </w:p>
    <w:p>
      <w:pPr>
        <w:pStyle w:val="ListBullet"/>
      </w:pPr>
      <w:r>
        <w:rPr>
          <w:rFonts w:ascii="Calibri" w:hAnsi="Calibri"/>
          <w:sz w:val="22"/>
        </w:rPr>
        <w:t>ARIA-Labels und Fokus-Management</w:t>
      </w:r>
    </w:p>
    <w:p>
      <w:pPr>
        <w:pStyle w:val="ListBullet"/>
      </w:pPr>
      <w:r>
        <w:rPr>
          <w:rFonts w:ascii="Calibri" w:hAnsi="Calibri"/>
          <w:sz w:val="22"/>
        </w:rPr>
        <w:t>Cookie-Consent-Integration</w:t>
      </w:r>
    </w:p>
    <w:p>
      <w:pPr>
        <w:pStyle w:val="Heading2"/>
      </w:pPr>
      <w:r>
        <w:rPr>
          <w:rFonts w:ascii="Calibri" w:hAnsi="Calibri"/>
          <w:color w:val="0F1B3D"/>
        </w:rPr>
        <w:t>8.2 Inhaltliche Maßnahmen</w:t>
      </w:r>
    </w:p>
    <w:p>
      <w:pPr>
        <w:pStyle w:val="ListBullet"/>
      </w:pPr>
      <w:r>
        <w:rPr>
          <w:rFonts w:ascii="Calibri" w:hAnsi="Calibri"/>
          <w:sz w:val="22"/>
        </w:rPr>
        <w:t>SEO-optimierte Meta-Descriptions für alle Seiten</w:t>
      </w:r>
    </w:p>
    <w:p>
      <w:pPr>
        <w:pStyle w:val="ListBullet"/>
      </w:pPr>
      <w:r>
        <w:rPr>
          <w:rFonts w:ascii="Calibri" w:hAnsi="Calibri"/>
          <w:sz w:val="22"/>
        </w:rPr>
        <w:t>Therapeutensuche mit PLZ-Filter und Kartenansicht</w:t>
      </w:r>
    </w:p>
    <w:p>
      <w:pPr>
        <w:pStyle w:val="ListBullet"/>
      </w:pPr>
      <w:r>
        <w:rPr>
          <w:rFonts w:ascii="Calibri" w:hAnsi="Calibri"/>
          <w:sz w:val="22"/>
        </w:rPr>
        <w:t>Veranstaltungsübersicht mit allen Preisen und Terminen</w:t>
      </w:r>
    </w:p>
    <w:p>
      <w:pPr>
        <w:pStyle w:val="ListBullet"/>
      </w:pPr>
      <w:r>
        <w:rPr>
          <w:rFonts w:ascii="Calibri" w:hAnsi="Calibri"/>
          <w:sz w:val="22"/>
        </w:rPr>
        <w:t>Klare Call-to-Actions (Anmeldung, Kontakt, Mitglied werden)</w:t>
      </w:r>
    </w:p>
    <w:p>
      <w:pPr>
        <w:pStyle w:val="ListBullet"/>
      </w:pPr>
      <w:r>
        <w:rPr>
          <w:rFonts w:ascii="Calibri" w:hAnsi="Calibri"/>
          <w:sz w:val="22"/>
        </w:rPr>
        <w:t>FAQ-Bereich für häufige Fragen</w:t>
      </w:r>
    </w:p>
    <w:p>
      <w:pPr>
        <w:pStyle w:val="ListBullet"/>
      </w:pPr>
      <w:r>
        <w:rPr>
          <w:rFonts w:ascii="Calibri" w:hAnsi="Calibri"/>
          <w:sz w:val="22"/>
        </w:rPr>
        <w:t>Download-Bereich (Flyer, Anmeldeformulare)</w:t>
      </w:r>
    </w:p>
    <w:p>
      <w:pPr>
        <w:pStyle w:val="Heading2"/>
      </w:pPr>
      <w:r>
        <w:rPr>
          <w:rFonts w:ascii="Calibri" w:hAnsi="Calibri"/>
          <w:color w:val="0F1B3D"/>
        </w:rPr>
        <w:t>8.3 Design-Maßnahmen</w:t>
      </w:r>
    </w:p>
    <w:p>
      <w:pPr>
        <w:pStyle w:val="ListBullet"/>
      </w:pPr>
      <w:r>
        <w:rPr>
          <w:rFonts w:ascii="Calibri" w:hAnsi="Calibri"/>
          <w:sz w:val="22"/>
        </w:rPr>
        <w:t>Modernes Farbschema: Navy (#0f1b3d) + Rose (#b4436c) + Gold (#c9a96e)</w:t>
      </w:r>
    </w:p>
    <w:p>
      <w:pPr>
        <w:pStyle w:val="ListBullet"/>
      </w:pPr>
      <w:r>
        <w:rPr>
          <w:rFonts w:ascii="Calibri" w:hAnsi="Calibri"/>
          <w:sz w:val="22"/>
        </w:rPr>
        <w:t>Professionelle Typografie: Cormorant Garamond + DM Sans</w:t>
      </w:r>
    </w:p>
    <w:p>
      <w:pPr>
        <w:pStyle w:val="ListBullet"/>
      </w:pPr>
      <w:r>
        <w:rPr>
          <w:rFonts w:ascii="Calibri" w:hAnsi="Calibri"/>
          <w:sz w:val="22"/>
        </w:rPr>
        <w:t>Scroll-Animationen (Intersection Observer)</w:t>
      </w:r>
    </w:p>
    <w:p>
      <w:pPr>
        <w:pStyle w:val="ListBullet"/>
      </w:pPr>
      <w:r>
        <w:rPr>
          <w:rFonts w:ascii="Calibri" w:hAnsi="Calibri"/>
          <w:sz w:val="22"/>
        </w:rPr>
        <w:t>Hero-Section mit animiertem Hintergrund</w:t>
      </w:r>
    </w:p>
    <w:p>
      <w:pPr>
        <w:pStyle w:val="ListBullet"/>
      </w:pPr>
      <w:r>
        <w:rPr>
          <w:rFonts w:ascii="Calibri" w:hAnsi="Calibri"/>
          <w:sz w:val="22"/>
        </w:rPr>
        <w:t>Sticky Navigation mit Blur-Effekt</w:t>
      </w:r>
    </w:p>
    <w:p>
      <w:pPr>
        <w:pStyle w:val="ListBullet"/>
      </w:pPr>
      <w:r>
        <w:rPr>
          <w:rFonts w:ascii="Calibri" w:hAnsi="Calibri"/>
          <w:sz w:val="22"/>
        </w:rPr>
        <w:t>Professionelle Bildsprache (Team, Seminare, Praxisräume)</w:t>
      </w:r>
    </w:p>
    <w:p>
      <w:r>
        <w:br w:type="page"/>
      </w:r>
    </w:p>
    <w:p>
      <w:pPr>
        <w:pStyle w:val="Heading1"/>
      </w:pPr>
      <w:r>
        <w:rPr>
          <w:rFonts w:ascii="Calibri" w:hAnsi="Calibri"/>
          <w:color w:val="0F1B3D"/>
        </w:rPr>
        <w:t>9. ZUSAMMENFASSUNG &amp; NÄCHSTE SCHRITTE</w:t>
      </w:r>
    </w:p>
    <w:p>
      <w:pPr>
        <w:spacing w:before="0" w:after="0"/>
        <w:pBdr>
          <w:bottom w:val="single" w:sz="6" w:space="1" w:color="b4436c"/>
        </w:pBdr>
      </w:pPr>
    </w:p>
    <w:p>
      <w:pPr/>
      <w:r>
        <w:t>Das Redesign der CiO-Website ist nicht nur ein visuelles Update, sondern eine strategische Neuausrichtung der digitalen Präsenz. Die Kombination aus technischer Modernisierung, zielgruppengerechter Gestaltung und rechtlicher Compliance schafft die Grundlage für nachhaltiges Wachstum des Netzwerks.</w:t>
      </w:r>
    </w:p>
    <w:p>
      <w:pPr>
        <w:pStyle w:val="Heading2"/>
      </w:pPr>
      <w:r>
        <w:rPr>
          <w:rFonts w:ascii="Calibri" w:hAnsi="Calibri"/>
          <w:color w:val="0F1B3D"/>
        </w:rPr>
        <w:t>Empfohlener Zeitplan</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Phase</w:t>
            </w:r>
          </w:p>
        </w:tc>
        <w:tc>
          <w:tcPr>
            <w:tcW w:type="dxa" w:w="216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Zeitraum</w:t>
            </w:r>
          </w:p>
        </w:tc>
        <w:tc>
          <w:tcPr>
            <w:tcW w:type="dxa" w:w="4320"/>
            <w:shd w:fill="1a2d5a" w:val="clear"/>
            <w:tcBorders>
              <w:top w:val="single" w:sz="4" w:space="0" w:color="0f1b3d"/>
              <w:left w:val="single" w:sz="4" w:space="0" w:color="0f1b3d"/>
              <w:bottom w:val="single" w:sz="4" w:space="0" w:color="0f1b3d"/>
              <w:right w:val="single" w:sz="4" w:space="0" w:color="0f1b3d"/>
            </w:tcBorders>
          </w:tcPr>
          <w:p>
            <w:pPr>
              <w:spacing w:before="80" w:after="80"/>
            </w:pPr>
            <w:r/>
            <w:r>
              <w:rPr>
                <w:rFonts w:ascii="Calibri" w:hAnsi="Calibri"/>
                <w:b/>
                <w:color w:val="FFFFFF"/>
                <w:sz w:val="20"/>
              </w:rPr>
              <w:t>Maßnahmen</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Phase 1: Konzeption</w:t>
            </w:r>
          </w:p>
        </w:tc>
        <w:tc>
          <w:tcPr>
            <w:tcW w:type="dxa" w:w="216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Juni 2026</w:t>
            </w:r>
          </w:p>
        </w:tc>
        <w:tc>
          <w:tcPr>
            <w:tcW w:type="dxa" w:w="432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Wireframes, Content-Strategie, Designsystem</w:t>
            </w:r>
          </w:p>
        </w:tc>
      </w:tr>
      <w:tr>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Phase 2: Design</w:t>
            </w:r>
          </w:p>
        </w:tc>
        <w:tc>
          <w:tcPr>
            <w:tcW w:type="dxa" w:w="216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Juli 2026</w:t>
            </w:r>
          </w:p>
        </w:tc>
        <w:tc>
          <w:tcPr>
            <w:tcW w:type="dxa" w:w="432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UI-Design, Prototyp, Abstimmung</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Phase 3: Entwicklung</w:t>
            </w:r>
          </w:p>
        </w:tc>
        <w:tc>
          <w:tcPr>
            <w:tcW w:type="dxa" w:w="216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Aug–Sep 2026</w:t>
            </w:r>
          </w:p>
        </w:tc>
        <w:tc>
          <w:tcPr>
            <w:tcW w:type="dxa" w:w="432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Frontend, CMS-Integration, Therapeuten-DB</w:t>
            </w:r>
          </w:p>
        </w:tc>
      </w:tr>
      <w:tr>
        <w:tc>
          <w:tcPr>
            <w:tcW w:type="dxa" w:w="288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Phase 4: Testing</w:t>
            </w:r>
          </w:p>
        </w:tc>
        <w:tc>
          <w:tcPr>
            <w:tcW w:type="dxa" w:w="216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Oktober 2026</w:t>
            </w:r>
          </w:p>
        </w:tc>
        <w:tc>
          <w:tcPr>
            <w:tcW w:type="dxa" w:w="4320"/>
            <w:shd w:fill="f5f5f5" w:val="clear"/>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Cross-Browser, Mobile, Barrierefreiheit, SEO</w:t>
            </w:r>
          </w:p>
        </w:tc>
      </w:tr>
      <w:tr>
        <w:tc>
          <w:tcPr>
            <w:tcW w:type="dxa" w:w="288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Phase 5: Launch</w:t>
            </w:r>
          </w:p>
        </w:tc>
        <w:tc>
          <w:tcPr>
            <w:tcW w:type="dxa" w:w="216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November 2026</w:t>
            </w:r>
          </w:p>
        </w:tc>
        <w:tc>
          <w:tcPr>
            <w:tcW w:type="dxa" w:w="4320"/>
            <w:tcBorders>
              <w:top w:val="single" w:sz="4" w:space="0" w:color="cccccc"/>
              <w:left w:val="single" w:sz="4" w:space="0" w:color="cccccc"/>
              <w:bottom w:val="single" w:sz="4" w:space="0" w:color="cccccc"/>
              <w:right w:val="single" w:sz="4" w:space="0" w:color="cccccc"/>
            </w:tcBorders>
          </w:tcPr>
          <w:p>
            <w:pPr>
              <w:spacing w:before="60" w:after="60"/>
            </w:pPr>
            <w:r/>
            <w:r>
              <w:rPr>
                <w:rFonts w:ascii="Calibri" w:hAnsi="Calibri"/>
                <w:color w:val="333333"/>
                <w:sz w:val="20"/>
              </w:rPr>
              <w:t>Go-Live, Monitoring, Optimierung</w:t>
            </w:r>
          </w:p>
        </w:tc>
      </w:tr>
    </w:tbl>
    <w:p/>
    <w:p>
      <w:pPr/>
      <w:r>
        <w:t>Mit diesem Redesign positioniert sich CiO als modernes, professionelles Netzwerk, das sowohl fachliche Exzellenz als auch christliche Werte authentisch kommuniziert.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F1B3D"/>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B3D"/>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1B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