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D428C" w14:textId="37A2F889" w:rsidR="00B10574" w:rsidRDefault="00B10574" w:rsidP="00B10574">
      <w:pPr>
        <w:rPr>
          <w:b/>
          <w:bCs/>
          <w:u w:val="single"/>
        </w:rPr>
      </w:pPr>
      <w:r>
        <w:rPr>
          <w:b/>
          <w:bCs/>
          <w:u w:val="single"/>
        </w:rPr>
        <w:t>RENTERS RIGHTS ACT &gt; CONNECTION WITH AIRBNB?</w:t>
      </w:r>
    </w:p>
    <w:p w14:paraId="20B042F5" w14:textId="1F51E079" w:rsidR="00A33C4A" w:rsidRPr="00A00B22" w:rsidRDefault="00A33C4A" w:rsidP="00B420F5">
      <w:pPr>
        <w:jc w:val="center"/>
        <w:rPr>
          <w:b/>
          <w:bCs/>
          <w:u w:val="single"/>
        </w:rPr>
      </w:pPr>
      <w:r w:rsidRPr="00A00B22">
        <w:rPr>
          <w:b/>
          <w:bCs/>
          <w:u w:val="single"/>
        </w:rPr>
        <w:t>Renters’ Rights Act 2025</w:t>
      </w:r>
    </w:p>
    <w:p w14:paraId="04239EB4" w14:textId="144873F4" w:rsidR="004C3C2C" w:rsidRPr="00B420F5" w:rsidRDefault="004C3C2C" w:rsidP="004C3C2C">
      <w:pPr>
        <w:pStyle w:val="ListParagraph"/>
        <w:numPr>
          <w:ilvl w:val="0"/>
          <w:numId w:val="2"/>
        </w:numPr>
      </w:pPr>
      <w:r w:rsidRPr="00B420F5">
        <w:t>Received Royal Assent 27 October 2025</w:t>
      </w:r>
      <w:r w:rsidR="00190D21" w:rsidRPr="00B420F5">
        <w:t xml:space="preserve"> </w:t>
      </w:r>
      <w:r w:rsidRPr="00B420F5">
        <w:t>but has not yet commenced (i.e. is not yet in force) – preparations can now be made, however.</w:t>
      </w:r>
      <w:r w:rsidR="00B420F5">
        <w:t xml:space="preserve"> (The commencement date for social housing will be later than that for private housing.</w:t>
      </w:r>
      <w:r w:rsidR="00B420F5">
        <w:rPr>
          <w:rStyle w:val="FootnoteReference"/>
        </w:rPr>
        <w:footnoteReference w:id="1"/>
      </w:r>
      <w:r w:rsidR="00B420F5">
        <w:t>)</w:t>
      </w:r>
    </w:p>
    <w:p w14:paraId="6BC2AC90" w14:textId="6E33FC60" w:rsidR="00B420F5" w:rsidRDefault="00B420F5" w:rsidP="004C3C2C">
      <w:pPr>
        <w:pStyle w:val="ListParagraph"/>
        <w:numPr>
          <w:ilvl w:val="0"/>
          <w:numId w:val="2"/>
        </w:numPr>
      </w:pPr>
      <w:r>
        <w:t>Size of the private rental sector (PRS) sector:</w:t>
      </w:r>
    </w:p>
    <w:p w14:paraId="41012A32" w14:textId="2BDE6E74" w:rsidR="00B420F5" w:rsidRDefault="00A00B22" w:rsidP="00B420F5">
      <w:pPr>
        <w:pStyle w:val="ListParagraph"/>
        <w:numPr>
          <w:ilvl w:val="1"/>
          <w:numId w:val="2"/>
        </w:numPr>
      </w:pPr>
      <w:r w:rsidRPr="00B420F5">
        <w:t>The Guide to the Act notes that at 6 November 2025, there were 11 million private renters and 2.3 million landlords in England</w:t>
      </w:r>
      <w:r w:rsidR="005E7126" w:rsidRPr="00B420F5">
        <w:t>.</w:t>
      </w:r>
      <w:r w:rsidRPr="00B420F5">
        <w:rPr>
          <w:rStyle w:val="FootnoteReference"/>
        </w:rPr>
        <w:footnoteReference w:id="2"/>
      </w:r>
    </w:p>
    <w:p w14:paraId="2BA2292D" w14:textId="4C06E89B" w:rsidR="00B420F5" w:rsidRDefault="00B420F5" w:rsidP="00B420F5">
      <w:pPr>
        <w:pStyle w:val="ListParagraph"/>
        <w:numPr>
          <w:ilvl w:val="1"/>
          <w:numId w:val="2"/>
        </w:numPr>
      </w:pPr>
      <w:r>
        <w:t>A 2024 UK Parliament research briefing stated that “</w:t>
      </w:r>
      <w:r w:rsidRPr="00B420F5">
        <w:t>In 2022/23, the private rented sector (PRS) comprised 19% of homes in England, around 4.6 million households.</w:t>
      </w:r>
      <w:r>
        <w:rPr>
          <w:rFonts w:ascii="Arial" w:hAnsi="Arial" w:cs="Arial"/>
        </w:rPr>
        <w:t>”</w:t>
      </w:r>
      <w:r>
        <w:rPr>
          <w:rStyle w:val="FootnoteReference"/>
          <w:rFonts w:ascii="Arial" w:hAnsi="Arial" w:cs="Arial"/>
        </w:rPr>
        <w:footnoteReference w:id="3"/>
      </w:r>
      <w:r>
        <w:rPr>
          <w:rFonts w:ascii="Arial" w:hAnsi="Arial" w:cs="Arial"/>
        </w:rPr>
        <w:t xml:space="preserve"> </w:t>
      </w:r>
    </w:p>
    <w:p w14:paraId="302E03E7" w14:textId="77777777" w:rsidR="00B420F5" w:rsidRDefault="00524817" w:rsidP="00B420F5">
      <w:pPr>
        <w:pStyle w:val="ListParagraph"/>
        <w:numPr>
          <w:ilvl w:val="1"/>
          <w:numId w:val="2"/>
        </w:numPr>
      </w:pPr>
      <w:r w:rsidRPr="00B420F5">
        <w:t>The Chartered Institute of Housing estimated that 28-30% of homes in London were privately rented, according to 2021 census data</w:t>
      </w:r>
      <w:r w:rsidR="005E7126" w:rsidRPr="00B420F5">
        <w:t>.</w:t>
      </w:r>
      <w:r w:rsidRPr="00B420F5">
        <w:rPr>
          <w:rStyle w:val="FootnoteReference"/>
        </w:rPr>
        <w:footnoteReference w:id="4"/>
      </w:r>
      <w:r w:rsidR="00022376" w:rsidRPr="00B420F5">
        <w:t xml:space="preserve"> </w:t>
      </w:r>
    </w:p>
    <w:p w14:paraId="5AA9591C" w14:textId="6F112BA7" w:rsidR="00A00B22" w:rsidRPr="00B420F5" w:rsidRDefault="00022376" w:rsidP="00B420F5">
      <w:pPr>
        <w:pStyle w:val="ListParagraph"/>
        <w:numPr>
          <w:ilvl w:val="1"/>
          <w:numId w:val="2"/>
        </w:numPr>
      </w:pPr>
      <w:r w:rsidRPr="00B420F5">
        <w:t xml:space="preserve">The Joseph Rowntree Foundation writes that the </w:t>
      </w:r>
      <w:r w:rsidR="00B420F5">
        <w:t xml:space="preserve">PRS </w:t>
      </w:r>
      <w:r w:rsidRPr="00B420F5">
        <w:t>more than doubled between 2000 and 2015, from 2.1million to around 4.8 million homes, and has held “relatively constant in size since then”.</w:t>
      </w:r>
      <w:r w:rsidRPr="00B420F5">
        <w:rPr>
          <w:rStyle w:val="FootnoteReference"/>
        </w:rPr>
        <w:footnoteReference w:id="5"/>
      </w:r>
    </w:p>
    <w:p w14:paraId="4ED13E25" w14:textId="67726055" w:rsidR="00190D21" w:rsidRPr="00B420F5" w:rsidRDefault="004C3C2C" w:rsidP="00190D21">
      <w:pPr>
        <w:pStyle w:val="ListParagraph"/>
        <w:numPr>
          <w:ilvl w:val="0"/>
          <w:numId w:val="2"/>
        </w:numPr>
      </w:pPr>
      <w:r w:rsidRPr="00B420F5">
        <w:t>For purposes of considering links with Airbnb, perhaps the key reform is the abolition of section 21 notices</w:t>
      </w:r>
      <w:r w:rsidR="005E7126" w:rsidRPr="00B420F5">
        <w:t>;</w:t>
      </w:r>
      <w:r w:rsidR="00A00B22" w:rsidRPr="00B420F5">
        <w:rPr>
          <w:rStyle w:val="FootnoteReference"/>
        </w:rPr>
        <w:footnoteReference w:id="6"/>
      </w:r>
      <w:r w:rsidR="00524817" w:rsidRPr="00B420F5">
        <w:t xml:space="preserve"> those </w:t>
      </w:r>
      <w:r w:rsidR="00B420F5">
        <w:t xml:space="preserve">served </w:t>
      </w:r>
      <w:r w:rsidR="00524817" w:rsidRPr="00B420F5">
        <w:t>from 1 May 2026 onwards will not be valid</w:t>
      </w:r>
      <w:r w:rsidRPr="00B420F5">
        <w:t xml:space="preserve">. </w:t>
      </w:r>
      <w:r w:rsidR="00190D21" w:rsidRPr="00B420F5">
        <w:t>It’s possible there will be an uptick in service of section 21 notices before then, as private landlords decide that they wish to exit a more complicated</w:t>
      </w:r>
      <w:r w:rsidR="00B420F5">
        <w:t>/restrictive</w:t>
      </w:r>
      <w:r w:rsidR="00190D21" w:rsidRPr="00B420F5">
        <w:t xml:space="preserve"> system.</w:t>
      </w:r>
      <w:r w:rsidR="005063BF">
        <w:t xml:space="preserve"> </w:t>
      </w:r>
      <w:r w:rsidR="005063BF">
        <w:rPr>
          <w:i/>
          <w:iCs/>
        </w:rPr>
        <w:t>[See below Private Landlord Survey notes]</w:t>
      </w:r>
    </w:p>
    <w:p w14:paraId="0C66FDA3" w14:textId="2B55DD8E" w:rsidR="004C3C2C" w:rsidRPr="00B420F5" w:rsidRDefault="004C3C2C" w:rsidP="00190D21">
      <w:pPr>
        <w:pStyle w:val="ListParagraph"/>
        <w:numPr>
          <w:ilvl w:val="0"/>
          <w:numId w:val="2"/>
        </w:numPr>
      </w:pPr>
      <w:r w:rsidRPr="00B420F5">
        <w:t>Section 21 notices are what is used by landlords to commence a “no fault” eviction</w:t>
      </w:r>
      <w:r w:rsidR="00A00B22" w:rsidRPr="00B420F5">
        <w:t xml:space="preserve"> (the tenant usually has two months to leave the property)</w:t>
      </w:r>
      <w:r w:rsidRPr="00B420F5">
        <w:t>. Landlords don’t need to give tenants a reason for evicting them; they might, for example, want to use the property as an Airbnb letting on the grounds that they think it will be more profitable.</w:t>
      </w:r>
      <w:r w:rsidR="00524817" w:rsidRPr="00B420F5">
        <w:rPr>
          <w:rStyle w:val="FootnoteReference"/>
        </w:rPr>
        <w:footnoteReference w:id="7"/>
      </w:r>
    </w:p>
    <w:p w14:paraId="2E07180C" w14:textId="5B7EEE33" w:rsidR="005E7126" w:rsidRPr="00B420F5" w:rsidRDefault="005E7126" w:rsidP="005E7126">
      <w:pPr>
        <w:pStyle w:val="ListParagraph"/>
        <w:numPr>
          <w:ilvl w:val="0"/>
          <w:numId w:val="2"/>
        </w:numPr>
      </w:pPr>
      <w:r w:rsidRPr="00B420F5">
        <w:t>There are also restrictions on “backdoor eviction”</w:t>
      </w:r>
      <w:r w:rsidR="00190D21" w:rsidRPr="00B420F5">
        <w:t>,</w:t>
      </w:r>
      <w:r w:rsidRPr="00B420F5">
        <w:t xml:space="preserve"> whereby landlords raise rents to push tenants out</w:t>
      </w:r>
      <w:r w:rsidR="00190D21" w:rsidRPr="00B420F5">
        <w:t>,</w:t>
      </w:r>
      <w:r w:rsidRPr="00B420F5">
        <w:t xml:space="preserve"> rather than officially evict them.</w:t>
      </w:r>
    </w:p>
    <w:p w14:paraId="56F8C8E2" w14:textId="4737F798" w:rsidR="005E7126" w:rsidRPr="00B420F5" w:rsidRDefault="005E7126" w:rsidP="00022376">
      <w:r w:rsidRPr="00B420F5">
        <w:rPr>
          <w:u w:val="single"/>
        </w:rPr>
        <w:t>Impact so far?</w:t>
      </w:r>
      <w:r w:rsidR="00022376" w:rsidRPr="00B420F5">
        <w:t xml:space="preserve"> </w:t>
      </w:r>
      <w:r w:rsidRPr="00B420F5">
        <w:t>Shelter (a housing charity) reported in August 2025 that 11,400 no-fault evictions had taken place in the year since the government committed to ban them; an 8% rise on the previous year.</w:t>
      </w:r>
      <w:r w:rsidRPr="00B420F5">
        <w:rPr>
          <w:rStyle w:val="FootnoteReference"/>
        </w:rPr>
        <w:footnoteReference w:id="8"/>
      </w:r>
    </w:p>
    <w:p w14:paraId="4AE8ACF2" w14:textId="77777777" w:rsidR="00B420F5" w:rsidRDefault="005E7126" w:rsidP="00524817">
      <w:r w:rsidRPr="00B420F5">
        <w:rPr>
          <w:u w:val="single"/>
        </w:rPr>
        <w:t>Airbnb comment (May 2023)</w:t>
      </w:r>
      <w:r w:rsidR="00B420F5">
        <w:rPr>
          <w:u w:val="single"/>
        </w:rPr>
        <w:t xml:space="preserve">: </w:t>
      </w:r>
      <w:r w:rsidRPr="00B420F5">
        <w:t>“Airbnb is an economic lifeline for families across the UK, allowing guests to travel affordably by staying with local Hosts sharing their homes to boost their income. The vast majority of UK Hosts share one listing and </w:t>
      </w:r>
      <w:hyperlink r:id="rId11" w:history="1">
        <w:r w:rsidRPr="00B420F5">
          <w:rPr>
            <w:rStyle w:val="Hyperlink"/>
          </w:rPr>
          <w:t>the typical Hosts earns just over £6,000 a year</w:t>
        </w:r>
      </w:hyperlink>
      <w:r w:rsidRPr="00B420F5">
        <w:t>; four in ten Hosts say the extra income helps them stay in their homes by affording rising living, energy and mortgage costs.”</w:t>
      </w:r>
      <w:r w:rsidRPr="00B420F5">
        <w:rPr>
          <w:rStyle w:val="FootnoteReference"/>
        </w:rPr>
        <w:footnoteReference w:id="9"/>
      </w:r>
      <w:r w:rsidRPr="00B420F5">
        <w:t xml:space="preserve">  </w:t>
      </w:r>
    </w:p>
    <w:p w14:paraId="4B07DCF8" w14:textId="2792EF07" w:rsidR="005E7126" w:rsidRPr="00B420F5" w:rsidRDefault="005E7126" w:rsidP="00524817">
      <w:r w:rsidRPr="00B420F5">
        <w:t xml:space="preserve">See also: </w:t>
      </w:r>
    </w:p>
    <w:p w14:paraId="56C3E1F7" w14:textId="0DE38C1D" w:rsidR="005E7126" w:rsidRPr="00B420F5" w:rsidRDefault="005E7126" w:rsidP="005E7126">
      <w:pPr>
        <w:pStyle w:val="ListParagraph"/>
        <w:numPr>
          <w:ilvl w:val="0"/>
          <w:numId w:val="4"/>
        </w:numPr>
      </w:pPr>
      <w:hyperlink r:id="rId12" w:history="1">
        <w:r w:rsidRPr="00B420F5">
          <w:rPr>
            <w:rStyle w:val="Hyperlink"/>
          </w:rPr>
          <w:t>Healthy Tourism Commitment: Supporting the UK’s sustainable tourism recovery </w:t>
        </w:r>
      </w:hyperlink>
    </w:p>
    <w:p w14:paraId="4C34C149" w14:textId="78911895" w:rsidR="005E7126" w:rsidRPr="00B420F5" w:rsidRDefault="005E7126" w:rsidP="005E7126">
      <w:pPr>
        <w:pStyle w:val="ListParagraph"/>
        <w:numPr>
          <w:ilvl w:val="0"/>
          <w:numId w:val="4"/>
        </w:numPr>
      </w:pPr>
      <w:hyperlink r:id="rId13" w:history="1">
        <w:r w:rsidRPr="00B420F5">
          <w:rPr>
            <w:rStyle w:val="Hyperlink"/>
          </w:rPr>
          <w:t>Our Commitment to Help Make UK Communities Stronger</w:t>
        </w:r>
      </w:hyperlink>
    </w:p>
    <w:p w14:paraId="0850BD27" w14:textId="3CDF7ECA" w:rsidR="00A33C4A" w:rsidRPr="00B420F5" w:rsidRDefault="00945386" w:rsidP="00B420F5">
      <w:pPr>
        <w:jc w:val="center"/>
        <w:rPr>
          <w:b/>
          <w:bCs/>
          <w:u w:val="single"/>
        </w:rPr>
      </w:pPr>
      <w:r w:rsidRPr="00B420F5">
        <w:rPr>
          <w:b/>
          <w:bCs/>
          <w:u w:val="single"/>
        </w:rPr>
        <w:t>Joseph Rowntree Foundation: Rebalancing the housing market through tax reform</w:t>
      </w:r>
    </w:p>
    <w:p w14:paraId="2AEE2F01" w14:textId="5DD768DA" w:rsidR="00945386" w:rsidRDefault="00B420F5" w:rsidP="00524817">
      <w:r>
        <w:t>P</w:t>
      </w:r>
      <w:r w:rsidR="00945386">
        <w:t>otentially useful headlines and figures from a respected source:</w:t>
      </w:r>
    </w:p>
    <w:p w14:paraId="673920B1" w14:textId="290F637C" w:rsidR="00945386" w:rsidRPr="00945386" w:rsidRDefault="47F8BD94" w:rsidP="00945386">
      <w:pPr>
        <w:pStyle w:val="FootnoteText"/>
        <w:numPr>
          <w:ilvl w:val="0"/>
          <w:numId w:val="7"/>
        </w:numPr>
        <w:rPr>
          <w:sz w:val="24"/>
          <w:szCs w:val="24"/>
        </w:rPr>
      </w:pPr>
      <w:r w:rsidRPr="6B59DC02">
        <w:rPr>
          <w:sz w:val="24"/>
          <w:szCs w:val="24"/>
        </w:rPr>
        <w:t>Pages 6-7: “Regulation has not kept pace with the growth of the PRS. As a result, a growing number of tenants have ended up exposed to insecure, low-quality and high-cost housing. … Several piecemeal reforms targeting quality and security in the PRS took place over the 2010</w:t>
      </w:r>
      <w:r w:rsidR="6300D2F7" w:rsidRPr="6B59DC02">
        <w:rPr>
          <w:sz w:val="24"/>
          <w:szCs w:val="24"/>
        </w:rPr>
        <w:t>s</w:t>
      </w:r>
      <w:r w:rsidRPr="6B59DC02">
        <w:rPr>
          <w:sz w:val="24"/>
          <w:szCs w:val="24"/>
        </w:rPr>
        <w:t>, culminating in the introduction of the Renters Rights Bill…in 2024.”</w:t>
      </w:r>
    </w:p>
    <w:p w14:paraId="0435859E" w14:textId="5AD9F699" w:rsidR="00945386" w:rsidRDefault="00945386" w:rsidP="00945386">
      <w:pPr>
        <w:pStyle w:val="FootnoteText"/>
        <w:numPr>
          <w:ilvl w:val="0"/>
          <w:numId w:val="5"/>
        </w:numPr>
        <w:rPr>
          <w:sz w:val="24"/>
          <w:szCs w:val="24"/>
        </w:rPr>
      </w:pPr>
      <w:r w:rsidRPr="00945386">
        <w:rPr>
          <w:sz w:val="24"/>
          <w:szCs w:val="24"/>
        </w:rPr>
        <w:t>Pages 27/28</w:t>
      </w:r>
      <w:r>
        <w:rPr>
          <w:sz w:val="24"/>
          <w:szCs w:val="24"/>
        </w:rPr>
        <w:t>,</w:t>
      </w:r>
      <w:r w:rsidRPr="00945386">
        <w:rPr>
          <w:sz w:val="24"/>
          <w:szCs w:val="24"/>
        </w:rPr>
        <w:t xml:space="preserve"> re tax advantages of incorporation &gt; tripling of private lettings companies since 2015.</w:t>
      </w:r>
      <w:r>
        <w:rPr>
          <w:sz w:val="24"/>
          <w:szCs w:val="24"/>
        </w:rPr>
        <w:t xml:space="preserve"> </w:t>
      </w:r>
      <w:r>
        <w:rPr>
          <w:i/>
          <w:iCs/>
          <w:sz w:val="24"/>
          <w:szCs w:val="24"/>
        </w:rPr>
        <w:t>[</w:t>
      </w:r>
      <w:r w:rsidR="00B420F5">
        <w:rPr>
          <w:i/>
          <w:iCs/>
          <w:sz w:val="24"/>
          <w:szCs w:val="24"/>
        </w:rPr>
        <w:t>i.e. s</w:t>
      </w:r>
      <w:r>
        <w:rPr>
          <w:i/>
          <w:iCs/>
          <w:sz w:val="24"/>
          <w:szCs w:val="24"/>
        </w:rPr>
        <w:t>ome of the “companies” on Airbnb may be ‘umbrellas’ for individuals.]</w:t>
      </w:r>
    </w:p>
    <w:p w14:paraId="2E82B0DC" w14:textId="77777777" w:rsidR="00945386" w:rsidRDefault="00945386" w:rsidP="00945386">
      <w:pPr>
        <w:pStyle w:val="FootnoteText"/>
        <w:numPr>
          <w:ilvl w:val="0"/>
          <w:numId w:val="5"/>
        </w:numPr>
        <w:rPr>
          <w:sz w:val="24"/>
          <w:szCs w:val="24"/>
        </w:rPr>
      </w:pPr>
      <w:r>
        <w:rPr>
          <w:sz w:val="24"/>
          <w:szCs w:val="24"/>
        </w:rPr>
        <w:t xml:space="preserve">Pages 29-30: </w:t>
      </w:r>
    </w:p>
    <w:p w14:paraId="14F46EF6" w14:textId="77777777" w:rsidR="00945386" w:rsidRDefault="00945386" w:rsidP="00945386">
      <w:pPr>
        <w:pStyle w:val="FootnoteText"/>
        <w:ind w:left="720"/>
        <w:rPr>
          <w:sz w:val="24"/>
          <w:szCs w:val="24"/>
        </w:rPr>
      </w:pPr>
    </w:p>
    <w:p w14:paraId="4AF06519" w14:textId="66C7AAE8" w:rsidR="00945386" w:rsidRDefault="00945386" w:rsidP="00945386">
      <w:pPr>
        <w:pStyle w:val="FootnoteText"/>
        <w:ind w:left="720"/>
        <w:rPr>
          <w:sz w:val="24"/>
          <w:szCs w:val="24"/>
        </w:rPr>
      </w:pPr>
      <w:r>
        <w:rPr>
          <w:sz w:val="24"/>
          <w:szCs w:val="24"/>
        </w:rPr>
        <w:t>“</w:t>
      </w:r>
      <w:r w:rsidRPr="00945386">
        <w:rPr>
          <w:sz w:val="24"/>
          <w:szCs w:val="24"/>
        </w:rPr>
        <w:t xml:space="preserve">Shifting the use of dwellings from private rentals to short </w:t>
      </w:r>
      <w:proofErr w:type="spellStart"/>
      <w:r w:rsidRPr="00945386">
        <w:rPr>
          <w:sz w:val="24"/>
          <w:szCs w:val="24"/>
        </w:rPr>
        <w:t>lets</w:t>
      </w:r>
      <w:proofErr w:type="spellEnd"/>
      <w:r w:rsidRPr="00945386">
        <w:rPr>
          <w:sz w:val="24"/>
          <w:szCs w:val="24"/>
        </w:rPr>
        <w:t>, which until 2025 retained preferential tax treatment as finance (mortgage interest) costs had been fully deductible from tax liabilities, has also been a strategy of some investors. Although they incur higher management and maintenance costs, short lets can prove more lucrative than private rentals for those with property in desirable locations. Although the number is still very small compared with the PRS, HMRC data shows the number of furnished holiday lets rising from 100,000 in</w:t>
      </w:r>
      <w:r>
        <w:rPr>
          <w:sz w:val="24"/>
          <w:szCs w:val="24"/>
        </w:rPr>
        <w:t xml:space="preserve"> </w:t>
      </w:r>
      <w:r w:rsidRPr="00945386">
        <w:rPr>
          <w:sz w:val="24"/>
          <w:szCs w:val="24"/>
        </w:rPr>
        <w:t>2018/19 to 130,000 in 2022/23, with declared income up 70% to £2.3 billion. Other sources suggest the scale of the short-lets industry is more substantial, with one source estimating that there were over half a million listings on Airbnb alone across the United Kingdom in 2024 (Demand Sage, 2025)</w:t>
      </w:r>
      <w:r>
        <w:rPr>
          <w:rStyle w:val="FootnoteReference"/>
          <w:sz w:val="24"/>
          <w:szCs w:val="24"/>
        </w:rPr>
        <w:footnoteReference w:id="10"/>
      </w:r>
      <w:r>
        <w:rPr>
          <w:sz w:val="24"/>
          <w:szCs w:val="24"/>
        </w:rPr>
        <w:t>.</w:t>
      </w:r>
    </w:p>
    <w:p w14:paraId="5141CE90" w14:textId="77777777" w:rsidR="00945386" w:rsidRDefault="00945386" w:rsidP="00945386">
      <w:pPr>
        <w:pStyle w:val="FootnoteText"/>
        <w:ind w:left="720"/>
        <w:rPr>
          <w:sz w:val="24"/>
          <w:szCs w:val="24"/>
        </w:rPr>
      </w:pPr>
    </w:p>
    <w:p w14:paraId="2E9E11ED" w14:textId="649E5C5A" w:rsidR="00945386" w:rsidRDefault="00945386" w:rsidP="00945386">
      <w:pPr>
        <w:pStyle w:val="FootnoteText"/>
        <w:ind w:left="720"/>
        <w:rPr>
          <w:sz w:val="24"/>
          <w:szCs w:val="24"/>
        </w:rPr>
      </w:pPr>
      <w:r w:rsidRPr="00945386">
        <w:rPr>
          <w:sz w:val="24"/>
          <w:szCs w:val="24"/>
        </w:rPr>
        <w:t>Ownership of private rentals has also become more concentrated in the hands of a smaller group of landlords. The share of homes owned by ‘one property’ landlords halved between 2010 and 2024 (from 40% to 20%) while the share owned by those with 2 to 4 properties increased from 20% to 30%, and by landlords owning 5 or more properties increased from 40% to 50%</w:t>
      </w:r>
      <w:r>
        <w:rPr>
          <w:sz w:val="24"/>
          <w:szCs w:val="24"/>
        </w:rPr>
        <w:t>.</w:t>
      </w:r>
    </w:p>
    <w:p w14:paraId="5FC55C7A" w14:textId="77777777" w:rsidR="00945386" w:rsidRDefault="00945386" w:rsidP="00945386">
      <w:pPr>
        <w:pStyle w:val="FootnoteText"/>
        <w:ind w:left="720"/>
        <w:rPr>
          <w:sz w:val="24"/>
          <w:szCs w:val="24"/>
        </w:rPr>
      </w:pPr>
    </w:p>
    <w:p w14:paraId="72599B84" w14:textId="7307D427" w:rsidR="00945386" w:rsidRPr="00945386" w:rsidRDefault="00945386" w:rsidP="00945386">
      <w:pPr>
        <w:pStyle w:val="FootnoteText"/>
        <w:ind w:left="720"/>
        <w:rPr>
          <w:i/>
          <w:iCs/>
          <w:sz w:val="24"/>
          <w:szCs w:val="24"/>
        </w:rPr>
      </w:pPr>
      <w:r w:rsidRPr="00945386">
        <w:rPr>
          <w:sz w:val="24"/>
          <w:szCs w:val="24"/>
        </w:rPr>
        <w:t xml:space="preserve">This may point to ownership of private rentals shifting towards those who are better capitalised and more financially resilient, and an increasing professionalisation of the sector, with a move away from more amateur and small-scale </w:t>
      </w:r>
      <w:proofErr w:type="spellStart"/>
      <w:r w:rsidRPr="00945386">
        <w:rPr>
          <w:sz w:val="24"/>
          <w:szCs w:val="24"/>
        </w:rPr>
        <w:t>landlordship</w:t>
      </w:r>
      <w:proofErr w:type="spellEnd"/>
      <w:r w:rsidRPr="00945386">
        <w:rPr>
          <w:sz w:val="24"/>
          <w:szCs w:val="24"/>
        </w:rPr>
        <w:t>. This may be driven by a combination of tax changes and increased regulation. If this reflects an increasing professionalisation of the PRS, it should be welcomed, as a more professional sector is more likely to provide better-quality homes and better-managed housing services to its tenants, more akin to the better-regulated private rental sector we see across Europe</w:t>
      </w:r>
      <w:r>
        <w:rPr>
          <w:sz w:val="24"/>
          <w:szCs w:val="24"/>
        </w:rPr>
        <w:t>.</w:t>
      </w:r>
      <w:r w:rsidR="00B420F5">
        <w:rPr>
          <w:sz w:val="24"/>
          <w:szCs w:val="24"/>
        </w:rPr>
        <w:t>”</w:t>
      </w:r>
      <w:r>
        <w:rPr>
          <w:sz w:val="24"/>
          <w:szCs w:val="24"/>
        </w:rPr>
        <w:t xml:space="preserve"> </w:t>
      </w:r>
      <w:r>
        <w:rPr>
          <w:i/>
          <w:iCs/>
          <w:sz w:val="24"/>
          <w:szCs w:val="24"/>
        </w:rPr>
        <w:t>[Source: English Private Landlord Survey, MHC</w:t>
      </w:r>
      <w:r w:rsidR="00B90341">
        <w:rPr>
          <w:i/>
          <w:iCs/>
          <w:sz w:val="24"/>
          <w:szCs w:val="24"/>
        </w:rPr>
        <w:t>L</w:t>
      </w:r>
      <w:r>
        <w:rPr>
          <w:i/>
          <w:iCs/>
          <w:sz w:val="24"/>
          <w:szCs w:val="24"/>
        </w:rPr>
        <w:t>G?; page 31: fig</w:t>
      </w:r>
      <w:r w:rsidR="00B90341">
        <w:rPr>
          <w:i/>
          <w:iCs/>
          <w:sz w:val="24"/>
          <w:szCs w:val="24"/>
        </w:rPr>
        <w:t xml:space="preserve"> &gt; see below more from this survey and a link to it</w:t>
      </w:r>
      <w:r>
        <w:rPr>
          <w:i/>
          <w:iCs/>
          <w:sz w:val="24"/>
          <w:szCs w:val="24"/>
        </w:rPr>
        <w:t>]</w:t>
      </w:r>
    </w:p>
    <w:p w14:paraId="6C689BFF" w14:textId="77777777" w:rsidR="00945386" w:rsidRDefault="00945386" w:rsidP="00524817"/>
    <w:p w14:paraId="73BF9B71" w14:textId="5D094424" w:rsidR="00B10574" w:rsidRPr="00DF3504" w:rsidRDefault="00DF3504" w:rsidP="00524817">
      <w:pPr>
        <w:rPr>
          <w:b/>
          <w:bCs/>
          <w:u w:val="single"/>
        </w:rPr>
      </w:pPr>
      <w:r w:rsidRPr="00DF3504">
        <w:rPr>
          <w:b/>
          <w:bCs/>
          <w:u w:val="single"/>
        </w:rPr>
        <w:t>Reports on housing/tenure etc</w:t>
      </w:r>
      <w:r w:rsidR="001F6DF2">
        <w:rPr>
          <w:b/>
          <w:bCs/>
          <w:u w:val="single"/>
        </w:rPr>
        <w:t>: searching for “sentiment” but found mostly more facts and figures</w:t>
      </w:r>
    </w:p>
    <w:p w14:paraId="6729AE2D" w14:textId="43B2D2B8" w:rsidR="00B10574" w:rsidRDefault="00B10574" w:rsidP="00B10574">
      <w:pPr>
        <w:jc w:val="center"/>
        <w:rPr>
          <w:b/>
          <w:bCs/>
          <w:u w:val="single"/>
        </w:rPr>
      </w:pPr>
      <w:r>
        <w:rPr>
          <w:b/>
          <w:bCs/>
          <w:u w:val="single"/>
        </w:rPr>
        <w:t>National Centre for Social Research</w:t>
      </w:r>
    </w:p>
    <w:p w14:paraId="15C9625F" w14:textId="5ECE82EB" w:rsidR="00B10574" w:rsidRDefault="00B10574" w:rsidP="00B10574">
      <w:pPr>
        <w:rPr>
          <w:b/>
          <w:bCs/>
        </w:rPr>
      </w:pPr>
      <w:hyperlink r:id="rId14" w:history="1">
        <w:r w:rsidRPr="00B10574">
          <w:rPr>
            <w:rStyle w:val="Hyperlink"/>
            <w:b/>
            <w:bCs/>
          </w:rPr>
          <w:t>National Centre for Social Research</w:t>
        </w:r>
      </w:hyperlink>
    </w:p>
    <w:p w14:paraId="533DEA05" w14:textId="019606D6" w:rsidR="00B10574" w:rsidRPr="00330E38" w:rsidRDefault="00B10574" w:rsidP="00B10574">
      <w:pPr>
        <w:rPr>
          <w:i/>
          <w:iCs/>
          <w:u w:val="single"/>
        </w:rPr>
      </w:pPr>
      <w:r w:rsidRPr="00B10574">
        <w:rPr>
          <w:b/>
          <w:bCs/>
        </w:rPr>
        <w:t>BSA 42: Repairing Britain: Attitudes towards the economy, taxation and public services</w:t>
      </w:r>
      <w:r w:rsidR="00330E38">
        <w:rPr>
          <w:b/>
          <w:bCs/>
        </w:rPr>
        <w:t xml:space="preserve"> (25 June 2025)</w:t>
      </w:r>
      <w:r w:rsidR="00B75055">
        <w:rPr>
          <w:b/>
          <w:bCs/>
        </w:rPr>
        <w:t xml:space="preserve"> </w:t>
      </w:r>
      <w:hyperlink r:id="rId15" w:history="1">
        <w:r w:rsidR="00B75055" w:rsidRPr="00B75055">
          <w:rPr>
            <w:rStyle w:val="Hyperlink"/>
          </w:rPr>
          <w:t>bsa-42-|-repairing-britain-1676.pdf</w:t>
        </w:r>
      </w:hyperlink>
      <w:r w:rsidR="00330E38">
        <w:rPr>
          <w:u w:val="single"/>
        </w:rPr>
        <w:t xml:space="preserve"> </w:t>
      </w:r>
      <w:r w:rsidR="00B90341">
        <w:rPr>
          <w:sz w:val="22"/>
          <w:szCs w:val="22"/>
          <w:u w:val="single"/>
        </w:rPr>
        <w:t>[</w:t>
      </w:r>
      <w:r w:rsidR="00330E38">
        <w:rPr>
          <w:i/>
          <w:iCs/>
          <w:u w:val="single"/>
        </w:rPr>
        <w:t>Doesn’t talk much about housing but some helpful figures citing good sources below]</w:t>
      </w:r>
    </w:p>
    <w:p w14:paraId="0D258E8D" w14:textId="43053DB0" w:rsidR="00330E38" w:rsidRDefault="00B10574" w:rsidP="00B10574">
      <w:r>
        <w:t>P26/50: “</w:t>
      </w:r>
      <w:r w:rsidRPr="00B10574">
        <w:t xml:space="preserve">According to the Office for National Statistics, people in full-time employment in England can expect to pay 7.7 times their earnings to purchase a home in the local authority area within which they currently work, double the equivalent figure for 1997 (Office for National Statistics, </w:t>
      </w:r>
      <w:hyperlink r:id="rId16" w:history="1">
        <w:r w:rsidRPr="00B10574">
          <w:rPr>
            <w:rStyle w:val="Hyperlink"/>
          </w:rPr>
          <w:t>2025c</w:t>
        </w:r>
      </w:hyperlink>
      <w:r w:rsidRPr="00B10574">
        <w:t xml:space="preserve">). Meanwhile, private sector rents increased by 24% between January 2022 and December 2024, far outstripping increases in wages (Office for National Statistics, </w:t>
      </w:r>
      <w:hyperlink r:id="rId17" w:history="1">
        <w:r w:rsidRPr="00B10574">
          <w:rPr>
            <w:rStyle w:val="Hyperlink"/>
          </w:rPr>
          <w:t>2025d</w:t>
        </w:r>
      </w:hyperlink>
      <w:r w:rsidRPr="00B10574">
        <w:t>)</w:t>
      </w:r>
      <w:r>
        <w:t>.”</w:t>
      </w:r>
    </w:p>
    <w:p w14:paraId="7A16C861" w14:textId="78BFF697" w:rsidR="00330E38" w:rsidRPr="00330E38" w:rsidRDefault="00330E38" w:rsidP="00B10574">
      <w:pPr>
        <w:rPr>
          <w:b/>
          <w:bCs/>
        </w:rPr>
      </w:pPr>
      <w:r w:rsidRPr="00330E38">
        <w:rPr>
          <w:b/>
          <w:bCs/>
        </w:rPr>
        <w:t xml:space="preserve">BSA 41: Five years of unprecedented challenges </w:t>
      </w:r>
      <w:r>
        <w:rPr>
          <w:b/>
          <w:bCs/>
        </w:rPr>
        <w:t xml:space="preserve">(12 June 2024) </w:t>
      </w:r>
      <w:hyperlink r:id="rId18" w:history="1">
        <w:r w:rsidRPr="00330E38">
          <w:rPr>
            <w:rStyle w:val="Hyperlink"/>
          </w:rPr>
          <w:t>british-social-attitudes-41-|-five-years-of-unprecedented-challenges-1303.pdf</w:t>
        </w:r>
      </w:hyperlink>
    </w:p>
    <w:p w14:paraId="041535E4" w14:textId="415E3DF0" w:rsidR="00330E38" w:rsidRDefault="00330E38" w:rsidP="00B10574">
      <w:r>
        <w:t xml:space="preserve">P20/61 et </w:t>
      </w:r>
      <w:proofErr w:type="spellStart"/>
      <w:r>
        <w:t>seq</w:t>
      </w:r>
      <w:proofErr w:type="spellEnd"/>
      <w:r>
        <w:t>: discusses views on building more housing in local area. Also, by way of background: “</w:t>
      </w:r>
      <w:r w:rsidRPr="00330E38">
        <w:t xml:space="preserve">Ahead of the onset of the </w:t>
      </w:r>
      <w:r>
        <w:rPr>
          <w:i/>
          <w:iCs/>
        </w:rPr>
        <w:t xml:space="preserve">[COVID] </w:t>
      </w:r>
      <w:r w:rsidRPr="00330E38">
        <w:t>crisis, over four million people in the UK lived in homes that failed to meet the government’s minimum definition of a ‘decent home’ (MHCLG 2019), while average house prices had risen by over 40% in the decade to November 2019 (ONS, 2020) and over one million households remained on local authority waiting lists for social housing across Britain (MHCLG, 2021). Construction output fell by 40% at the start of the pandemic (OECD, 2020), placing further pressure on existing housing stocks and contributing to a shortage of around 1.5 million homes (Shelter, 2024)</w:t>
      </w:r>
      <w:r>
        <w:t>”</w:t>
      </w:r>
    </w:p>
    <w:p w14:paraId="5B3489D8" w14:textId="0A99AD0F" w:rsidR="00B10574" w:rsidRDefault="00B10574" w:rsidP="00524817">
      <w:pPr>
        <w:rPr>
          <w:b/>
          <w:bCs/>
          <w:u w:val="single"/>
        </w:rPr>
      </w:pPr>
      <w:r w:rsidRPr="00B75055">
        <w:rPr>
          <w:b/>
          <w:bCs/>
          <w:u w:val="single"/>
        </w:rPr>
        <w:t>English Housing Survey | National Centre for Social Research</w:t>
      </w:r>
    </w:p>
    <w:p w14:paraId="041C9B8E" w14:textId="0F4B30CE" w:rsidR="00B75055" w:rsidRPr="00B75055" w:rsidRDefault="00B75055" w:rsidP="00524817">
      <w:pPr>
        <w:rPr>
          <w:u w:val="single"/>
        </w:rPr>
      </w:pPr>
      <w:hyperlink r:id="rId19" w:history="1">
        <w:r w:rsidRPr="008E3F1E">
          <w:rPr>
            <w:rStyle w:val="Hyperlink"/>
          </w:rPr>
          <w:t>https://natcen.ac.uk/publications/english-housing-survey</w:t>
        </w:r>
      </w:hyperlink>
      <w:r>
        <w:rPr>
          <w:u w:val="single"/>
        </w:rPr>
        <w:t xml:space="preserve"> </w:t>
      </w:r>
    </w:p>
    <w:p w14:paraId="2B28D7E5" w14:textId="230DBE09" w:rsidR="00945386" w:rsidRDefault="00B75055" w:rsidP="00524817">
      <w:pPr>
        <w:rPr>
          <w:i/>
          <w:iCs/>
        </w:rPr>
      </w:pPr>
      <w:r>
        <w:rPr>
          <w:i/>
          <w:iCs/>
        </w:rPr>
        <w:t>[This is the landing page for the survey</w:t>
      </w:r>
      <w:r w:rsidR="00B90341">
        <w:rPr>
          <w:i/>
          <w:iCs/>
        </w:rPr>
        <w:t xml:space="preserve"> which is rerun regularly</w:t>
      </w:r>
      <w:r>
        <w:rPr>
          <w:i/>
          <w:iCs/>
        </w:rPr>
        <w:t xml:space="preserve">; reports </w:t>
      </w:r>
      <w:r w:rsidR="00B90341">
        <w:rPr>
          <w:i/>
          <w:iCs/>
        </w:rPr>
        <w:t xml:space="preserve">on aspects of the latest iteration </w:t>
      </w:r>
      <w:r>
        <w:rPr>
          <w:i/>
          <w:iCs/>
        </w:rPr>
        <w:t xml:space="preserve">are periodically published. The landing page notes that </w:t>
      </w:r>
      <w:r w:rsidRPr="00B90341">
        <w:t>“This report [i.e. the landing page] will be followed by a series of more detailed topic reports in the spring and summer of 2025”</w:t>
      </w:r>
      <w:r>
        <w:rPr>
          <w:i/>
          <w:iCs/>
        </w:rPr>
        <w:t xml:space="preserve">. </w:t>
      </w:r>
      <w:r w:rsidRPr="00B90341">
        <w:rPr>
          <w:i/>
          <w:iCs/>
        </w:rPr>
        <w:t xml:space="preserve">The landing page </w:t>
      </w:r>
      <w:r w:rsidR="00B90341" w:rsidRPr="00B90341">
        <w:rPr>
          <w:i/>
          <w:iCs/>
        </w:rPr>
        <w:t xml:space="preserve">currently </w:t>
      </w:r>
      <w:r w:rsidRPr="00B90341">
        <w:rPr>
          <w:i/>
          <w:iCs/>
        </w:rPr>
        <w:t>includes points about the condition of housing rather than ownership etc</w:t>
      </w:r>
      <w:r>
        <w:t>.</w:t>
      </w:r>
      <w:r>
        <w:rPr>
          <w:i/>
          <w:iCs/>
        </w:rPr>
        <w:t>]</w:t>
      </w:r>
    </w:p>
    <w:p w14:paraId="3F75E9E0" w14:textId="50DE66D7" w:rsidR="00B75055" w:rsidRDefault="00B75055" w:rsidP="00524817">
      <w:r>
        <w:rPr>
          <w:i/>
          <w:iCs/>
        </w:rPr>
        <w:t>[For our purposes, more useful is probably:]</w:t>
      </w:r>
    </w:p>
    <w:p w14:paraId="4E515A01" w14:textId="29F326E9" w:rsidR="00B75055" w:rsidRDefault="00B75055" w:rsidP="00524817">
      <w:hyperlink r:id="rId20" w:history="1">
        <w:r w:rsidRPr="00B75055">
          <w:rPr>
            <w:rStyle w:val="Hyperlink"/>
          </w:rPr>
          <w:t>English Housing Survey 2023 to 2024: headline findings on demographics and household resilience. - GOV.UK</w:t>
        </w:r>
      </w:hyperlink>
    </w:p>
    <w:p w14:paraId="5AE152EA" w14:textId="77777777" w:rsidR="00B75055" w:rsidRPr="00B75055" w:rsidRDefault="00B75055" w:rsidP="00B75055">
      <w:pPr>
        <w:pStyle w:val="ListParagraph"/>
        <w:numPr>
          <w:ilvl w:val="0"/>
          <w:numId w:val="12"/>
        </w:numPr>
      </w:pPr>
      <w:r w:rsidRPr="00B75055">
        <w:t>Owner occupation remained the largest tenure group in England at 65% of households, with the social rented sector (16%) being the smallest, and the private rented sector remaining a similar proportion (19%) since 2013-14. </w:t>
      </w:r>
    </w:p>
    <w:p w14:paraId="4F4B1B06" w14:textId="77777777" w:rsidR="00B75055" w:rsidRPr="00B75055" w:rsidRDefault="00B75055" w:rsidP="00B75055">
      <w:pPr>
        <w:numPr>
          <w:ilvl w:val="0"/>
          <w:numId w:val="12"/>
        </w:numPr>
        <w:shd w:val="clear" w:color="auto" w:fill="FFFFFF"/>
        <w:spacing w:after="150" w:line="240" w:lineRule="auto"/>
      </w:pPr>
      <w:r w:rsidRPr="00B75055">
        <w:t>In 2023, there were 1.2 million vacant dwellings, making up 5% of dwellings in England. </w:t>
      </w:r>
    </w:p>
    <w:p w14:paraId="54769B1F" w14:textId="77777777" w:rsidR="00B75055" w:rsidRPr="00B75055" w:rsidRDefault="00B75055" w:rsidP="00B75055">
      <w:pPr>
        <w:numPr>
          <w:ilvl w:val="0"/>
          <w:numId w:val="12"/>
        </w:numPr>
        <w:shd w:val="clear" w:color="auto" w:fill="FFFFFF"/>
        <w:spacing w:after="150" w:line="240" w:lineRule="auto"/>
      </w:pPr>
      <w:r w:rsidRPr="00B75055">
        <w:t>In 2023-24 private renters and mortgagors saw the biggest increase in those reporting difficulty affording their housing costs compared to last year (2022-23), with private renters the most likely across all tenures to be struggling (32%), followed by social renters (27%) and mortgagors the least (14%).</w:t>
      </w:r>
    </w:p>
    <w:p w14:paraId="28DB0453" w14:textId="730C5135" w:rsidR="00DF3504" w:rsidRPr="00DF3504" w:rsidRDefault="00B75055" w:rsidP="00DF3504">
      <w:pPr>
        <w:rPr>
          <w:i/>
          <w:iCs/>
        </w:rPr>
      </w:pPr>
      <w:r>
        <w:rPr>
          <w:i/>
          <w:iCs/>
        </w:rPr>
        <w:t xml:space="preserve">[Full text of different sections of report is linked at: </w:t>
      </w:r>
      <w:hyperlink r:id="rId21" w:history="1">
        <w:r w:rsidRPr="00B75055">
          <w:rPr>
            <w:rStyle w:val="Hyperlink"/>
            <w:i/>
            <w:iCs/>
          </w:rPr>
          <w:t>Chapters for English Housing Survey 2023 to 2024: Headline findings on demographics and household resilience - GOV.UK</w:t>
        </w:r>
      </w:hyperlink>
      <w:r>
        <w:rPr>
          <w:i/>
          <w:iCs/>
        </w:rPr>
        <w:t xml:space="preserve">]. See for tenure etc: </w:t>
      </w:r>
      <w:hyperlink r:id="rId22" w:history="1">
        <w:r w:rsidRPr="00B75055">
          <w:rPr>
            <w:rStyle w:val="Hyperlink"/>
            <w:i/>
            <w:iCs/>
          </w:rPr>
          <w:t>Annex_A_-_2023-24_EHS_Headline_Report_on_household_demographics_and_resilience.pdf</w:t>
        </w:r>
      </w:hyperlink>
    </w:p>
    <w:p w14:paraId="5165A32D" w14:textId="7AD96551" w:rsidR="001F6DF2" w:rsidRPr="001F6DF2" w:rsidRDefault="001F6DF2" w:rsidP="00DF3504">
      <w:pPr>
        <w:rPr>
          <w:b/>
          <w:bCs/>
          <w:u w:val="single"/>
        </w:rPr>
      </w:pPr>
      <w:r w:rsidRPr="001F6DF2">
        <w:rPr>
          <w:b/>
          <w:bCs/>
          <w:u w:val="single"/>
        </w:rPr>
        <w:t>English Private Landlord Survey (EPLS) (5 December 2024)</w:t>
      </w:r>
      <w:r>
        <w:rPr>
          <w:b/>
          <w:bCs/>
          <w:u w:val="single"/>
        </w:rPr>
        <w:t xml:space="preserve"> </w:t>
      </w:r>
      <w:hyperlink r:id="rId23" w:history="1">
        <w:r w:rsidRPr="001F6DF2">
          <w:rPr>
            <w:rStyle w:val="Hyperlink"/>
            <w:b/>
            <w:bCs/>
          </w:rPr>
          <w:t>The English Private Landlord Survey | National Centre for Social Research</w:t>
        </w:r>
      </w:hyperlink>
      <w:r>
        <w:rPr>
          <w:rStyle w:val="FootnoteReference"/>
          <w:b/>
          <w:bCs/>
          <w:u w:val="single"/>
        </w:rPr>
        <w:footnoteReference w:id="11"/>
      </w:r>
    </w:p>
    <w:p w14:paraId="3CC702DB" w14:textId="77777777" w:rsidR="001F6DF2" w:rsidRPr="001F6DF2" w:rsidRDefault="001F6DF2" w:rsidP="001F6DF2">
      <w:pPr>
        <w:pStyle w:val="ListParagraph"/>
        <w:numPr>
          <w:ilvl w:val="0"/>
          <w:numId w:val="12"/>
        </w:numPr>
      </w:pPr>
      <w:r w:rsidRPr="001F6DF2">
        <w:t>Just under half (45%) of all landlords owned one rental property, representing 21% of tenancies. Nearly half of tenancies (49%) were owned by landlords with five or more properties.</w:t>
      </w:r>
    </w:p>
    <w:p w14:paraId="631F7F69" w14:textId="77777777" w:rsidR="001F6DF2" w:rsidRPr="001F6DF2" w:rsidRDefault="001F6DF2" w:rsidP="001F6DF2">
      <w:pPr>
        <w:pStyle w:val="ListParagraph"/>
        <w:numPr>
          <w:ilvl w:val="0"/>
          <w:numId w:val="12"/>
        </w:numPr>
      </w:pPr>
      <w:r w:rsidRPr="001F6DF2">
        <w:t>Around three in five landlords had some form of borrowing on at least one of their properties, 30% had borrowing on only one property and a further 30% had borrowing on more than one property.</w:t>
      </w:r>
    </w:p>
    <w:p w14:paraId="0C28441B" w14:textId="77777777" w:rsidR="001F6DF2" w:rsidRPr="001F6DF2" w:rsidRDefault="001F6DF2" w:rsidP="001F6DF2">
      <w:pPr>
        <w:pStyle w:val="ListParagraph"/>
        <w:numPr>
          <w:ilvl w:val="0"/>
          <w:numId w:val="12"/>
        </w:numPr>
      </w:pPr>
      <w:r w:rsidRPr="001F6DF2">
        <w:t>Landlords were more likely to increase the rent on new lettings (58%) than when renewing or extending a tenancy (52%).</w:t>
      </w:r>
    </w:p>
    <w:p w14:paraId="7FC98351" w14:textId="77777777" w:rsidR="001F6DF2" w:rsidRPr="001F6DF2" w:rsidRDefault="001F6DF2" w:rsidP="001F6DF2">
      <w:pPr>
        <w:pStyle w:val="ListParagraph"/>
        <w:numPr>
          <w:ilvl w:val="0"/>
          <w:numId w:val="12"/>
        </w:numPr>
      </w:pPr>
      <w:r w:rsidRPr="001F6DF2">
        <w:t>Tenants were more likely to initiate ending a tenancy than landlords. 44% of landlords reported their last tenancy ended because the tenant gave notice, while 8% of landlords said they asked the tenant to leave.</w:t>
      </w:r>
    </w:p>
    <w:p w14:paraId="01B895E2" w14:textId="77777777" w:rsidR="001F6DF2" w:rsidRDefault="001F6DF2" w:rsidP="001F6DF2">
      <w:pPr>
        <w:pStyle w:val="ListParagraph"/>
        <w:numPr>
          <w:ilvl w:val="0"/>
          <w:numId w:val="12"/>
        </w:numPr>
      </w:pPr>
      <w:r w:rsidRPr="001F6DF2">
        <w:t>More landlords in 2024 reported planning to decrease the size of their portfolio than in 2018 and 2021, 31% of landlords reported planning to decrease the size of their portfolio over the next two years compared to 22% in 2021 and 16% in 2018.</w:t>
      </w:r>
    </w:p>
    <w:p w14:paraId="25CF133B" w14:textId="1B51B0BB" w:rsidR="001F6DF2" w:rsidRPr="001F6DF2" w:rsidRDefault="001F6DF2" w:rsidP="001F6DF2">
      <w:r w:rsidRPr="001F6DF2">
        <w:rPr>
          <w:rFonts w:ascii="Arial" w:eastAsia="Times New Roman" w:hAnsi="Arial" w:cs="Arial"/>
          <w:i/>
          <w:iCs/>
          <w:color w:val="000000"/>
          <w:kern w:val="0"/>
          <w:sz w:val="22"/>
          <w:szCs w:val="22"/>
          <w:lang w:eastAsia="en-GB"/>
          <w14:ligatures w14:val="none"/>
        </w:rPr>
        <w:t>In relation to the last bullet point, I’ve</w:t>
      </w:r>
      <w:r>
        <w:rPr>
          <w:rFonts w:ascii="Arial" w:eastAsia="Times New Roman" w:hAnsi="Arial" w:cs="Arial"/>
          <w:i/>
          <w:iCs/>
          <w:color w:val="000000"/>
          <w:kern w:val="0"/>
          <w:sz w:val="22"/>
          <w:szCs w:val="22"/>
          <w:lang w:eastAsia="en-GB"/>
          <w14:ligatures w14:val="none"/>
        </w:rPr>
        <w:t xml:space="preserve"> searched</w:t>
      </w:r>
      <w:r w:rsidRPr="001F6DF2">
        <w:rPr>
          <w:rFonts w:ascii="Arial" w:eastAsia="Times New Roman" w:hAnsi="Arial" w:cs="Arial"/>
          <w:i/>
          <w:iCs/>
          <w:color w:val="000000"/>
          <w:kern w:val="0"/>
          <w:sz w:val="22"/>
          <w:szCs w:val="22"/>
          <w:lang w:eastAsia="en-GB"/>
          <w14:ligatures w14:val="none"/>
        </w:rPr>
        <w:t xml:space="preserve"> the full report for “section 21”. Results (emphasis added):</w:t>
      </w:r>
      <w:r w:rsidRPr="001F6DF2">
        <w:rPr>
          <w:rFonts w:ascii="Arial" w:hAnsi="Arial" w:cs="Arial"/>
          <w:color w:val="0B0C0C"/>
          <w:sz w:val="29"/>
          <w:szCs w:val="29"/>
          <w:shd w:val="clear" w:color="auto" w:fill="FFFFFF"/>
        </w:rPr>
        <w:t xml:space="preserve"> </w:t>
      </w:r>
    </w:p>
    <w:p w14:paraId="533C2691" w14:textId="24EA218C" w:rsidR="001F6DF2" w:rsidRPr="001F6DF2" w:rsidRDefault="001F6DF2" w:rsidP="001F6DF2">
      <w:pPr>
        <w:shd w:val="clear" w:color="auto" w:fill="FFFFFF"/>
        <w:spacing w:before="480" w:after="0" w:line="240" w:lineRule="auto"/>
        <w:textAlignment w:val="baseline"/>
        <w:rPr>
          <w:rFonts w:ascii="Arial" w:eastAsia="Times New Roman" w:hAnsi="Arial" w:cs="Arial"/>
          <w:color w:val="000000"/>
          <w:kern w:val="0"/>
          <w:sz w:val="22"/>
          <w:szCs w:val="22"/>
          <w:lang w:eastAsia="en-GB"/>
          <w14:ligatures w14:val="none"/>
        </w:rPr>
      </w:pPr>
      <w:r w:rsidRPr="001F6DF2">
        <w:rPr>
          <w:rFonts w:ascii="Arial" w:eastAsia="Times New Roman" w:hAnsi="Arial" w:cs="Arial"/>
          <w:color w:val="000000"/>
          <w:kern w:val="0"/>
          <w:sz w:val="22"/>
          <w:szCs w:val="22"/>
          <w:lang w:eastAsia="en-GB"/>
          <w14:ligatures w14:val="none"/>
        </w:rPr>
        <w:t xml:space="preserve">The most common way a landlord evicted a tenant was via a Section 21 notice (70%) while 26% said they issued a Section 8 notice and 24% said they asked the tenants to leave informally. This was similar to 2021, Annex Table 4.13. Among landlords who initiated the end of their last tenancy, the most common reasons given for doing so were that the property was not cared for (43%) or the tenant was in arrears (42%). Around one in four said they had ended their last tenancy because the tenants engaged in anti-social behaviour (27%) or because they wanted to sell the property (26%). </w:t>
      </w:r>
      <w:r w:rsidRPr="001F6DF2">
        <w:rPr>
          <w:rFonts w:ascii="Arial" w:eastAsia="Times New Roman" w:hAnsi="Arial" w:cs="Arial"/>
          <w:b/>
          <w:bCs/>
          <w:color w:val="000000"/>
          <w:kern w:val="0"/>
          <w:sz w:val="22"/>
          <w:szCs w:val="22"/>
          <w:lang w:eastAsia="en-GB"/>
          <w14:ligatures w14:val="none"/>
        </w:rPr>
        <w:t xml:space="preserve">Around one in 10 landlords (9%) said they ended their last tenancy because they wanted to let the property at a higher rate, an increase since 2021 when this reason was given by 2% of landlords, </w:t>
      </w:r>
      <w:r w:rsidRPr="001F6DF2">
        <w:rPr>
          <w:rFonts w:ascii="Arial" w:eastAsia="Times New Roman" w:hAnsi="Arial" w:cs="Arial"/>
          <w:color w:val="000000"/>
          <w:kern w:val="0"/>
          <w:sz w:val="22"/>
          <w:szCs w:val="22"/>
          <w:lang w:eastAsia="en-GB"/>
          <w14:ligatures w14:val="none"/>
        </w:rPr>
        <w:t>Annex Table 4.14, Figure 4.8.</w:t>
      </w:r>
    </w:p>
    <w:p w14:paraId="5B3586E8" w14:textId="23FB4958" w:rsidR="001F6DF2" w:rsidRPr="001F6DF2" w:rsidRDefault="001F6DF2" w:rsidP="001F6DF2">
      <w:pPr>
        <w:shd w:val="clear" w:color="auto" w:fill="FFFFFF"/>
        <w:spacing w:before="480" w:after="0" w:line="240" w:lineRule="auto"/>
        <w:textAlignment w:val="baseline"/>
        <w:rPr>
          <w:rFonts w:ascii="Arial" w:eastAsia="Times New Roman" w:hAnsi="Arial" w:cs="Arial"/>
          <w:color w:val="000000"/>
          <w:kern w:val="0"/>
          <w:sz w:val="22"/>
          <w:szCs w:val="22"/>
          <w:lang w:eastAsia="en-GB"/>
          <w14:ligatures w14:val="none"/>
        </w:rPr>
      </w:pPr>
      <w:r w:rsidRPr="001F6DF2">
        <w:rPr>
          <w:rFonts w:ascii="Arial" w:eastAsia="Times New Roman" w:hAnsi="Arial" w:cs="Arial"/>
          <w:color w:val="000000"/>
          <w:kern w:val="0"/>
          <w:sz w:val="22"/>
          <w:szCs w:val="22"/>
          <w:lang w:eastAsia="en-GB"/>
          <w14:ligatures w14:val="none"/>
        </w:rPr>
        <w:t xml:space="preserve">The most common reason for not being willing to let to tenants in receipt of housing support – mentioned by 73% of landlords not willing to let to this group - was a perceived greater risk of delays in payment or unpaid rent. Two thirds (65%) of those not willing to let to tenants on housing benefits also reported a perceived risk that the benefits would not cover all the rent. Over half of landlords who reported being unwilling to let to people in receipt of housing support (55%) were concerned that benefits would be paid directly to the tenant and not to the landlord or agent. </w:t>
      </w:r>
      <w:r w:rsidRPr="001F6DF2">
        <w:rPr>
          <w:rFonts w:ascii="Arial" w:eastAsia="Times New Roman" w:hAnsi="Arial" w:cs="Arial"/>
          <w:b/>
          <w:bCs/>
          <w:color w:val="000000"/>
          <w:kern w:val="0"/>
          <w:sz w:val="22"/>
          <w:szCs w:val="22"/>
          <w:lang w:eastAsia="en-GB"/>
          <w14:ligatures w14:val="none"/>
        </w:rPr>
        <w:t>A similar proportion reported a perceived greater risk due to plans to remove Section 21 of the Housing Act (59%)</w:t>
      </w:r>
      <w:r w:rsidRPr="001F6DF2">
        <w:rPr>
          <w:rFonts w:ascii="Arial" w:eastAsia="Times New Roman" w:hAnsi="Arial" w:cs="Arial"/>
          <w:color w:val="000000"/>
          <w:kern w:val="0"/>
          <w:sz w:val="22"/>
          <w:szCs w:val="22"/>
          <w:lang w:eastAsia="en-GB"/>
          <w14:ligatures w14:val="none"/>
        </w:rPr>
        <w:t xml:space="preserve"> and a perceived greater risk of disturbance or anti-social behaviour or damage to property or furnishings (55%), Figure 5.2. </w:t>
      </w:r>
      <w:r w:rsidRPr="001F6DF2">
        <w:rPr>
          <w:rFonts w:ascii="Arial" w:eastAsia="Times New Roman" w:hAnsi="Arial" w:cs="Arial"/>
          <w:b/>
          <w:bCs/>
          <w:color w:val="000000"/>
          <w:kern w:val="0"/>
          <w:sz w:val="22"/>
          <w:szCs w:val="22"/>
          <w:lang w:eastAsia="en-GB"/>
          <w14:ligatures w14:val="none"/>
        </w:rPr>
        <w:t>The reasons given for not being willing to let to tenants on housing support were similar to in 2021, though the proportion saying it was because of plans to remove Section 21 of the housing act has increased (from 50% in 2021 to 59% in 2024),</w:t>
      </w:r>
      <w:r w:rsidRPr="001F6DF2">
        <w:rPr>
          <w:rFonts w:ascii="Arial" w:eastAsia="Times New Roman" w:hAnsi="Arial" w:cs="Arial"/>
          <w:color w:val="000000"/>
          <w:kern w:val="0"/>
          <w:sz w:val="22"/>
          <w:szCs w:val="22"/>
          <w:lang w:eastAsia="en-GB"/>
          <w14:ligatures w14:val="none"/>
        </w:rPr>
        <w:t xml:space="preserve"> Annex Table 5.2.</w:t>
      </w:r>
    </w:p>
    <w:p w14:paraId="35A26B9C" w14:textId="77777777" w:rsidR="001F6DF2" w:rsidRDefault="001F6DF2" w:rsidP="001F6DF2">
      <w:pPr>
        <w:shd w:val="clear" w:color="auto" w:fill="FFFFFF"/>
        <w:spacing w:before="480" w:after="0" w:line="240" w:lineRule="auto"/>
        <w:textAlignment w:val="baseline"/>
        <w:rPr>
          <w:rFonts w:ascii="Arial" w:eastAsia="Times New Roman" w:hAnsi="Arial" w:cs="Arial"/>
          <w:color w:val="000000"/>
          <w:kern w:val="0"/>
          <w:lang w:eastAsia="en-GB"/>
          <w14:ligatures w14:val="none"/>
        </w:rPr>
      </w:pPr>
    </w:p>
    <w:p w14:paraId="17066C18" w14:textId="77777777" w:rsidR="001F6DF2" w:rsidRDefault="001F6DF2" w:rsidP="001F6DF2">
      <w:pPr>
        <w:shd w:val="clear" w:color="auto" w:fill="FFFFFF"/>
        <w:spacing w:before="480" w:after="0" w:line="240" w:lineRule="auto"/>
        <w:textAlignment w:val="baseline"/>
        <w:rPr>
          <w:rFonts w:ascii="Arial" w:eastAsia="Times New Roman" w:hAnsi="Arial" w:cs="Arial"/>
          <w:color w:val="000000"/>
          <w:kern w:val="0"/>
          <w:lang w:eastAsia="en-GB"/>
          <w14:ligatures w14:val="none"/>
        </w:rPr>
      </w:pPr>
    </w:p>
    <w:p w14:paraId="435EDD32" w14:textId="77777777" w:rsidR="001F6DF2" w:rsidRPr="001F6DF2" w:rsidRDefault="001F6DF2" w:rsidP="001F6DF2">
      <w:pPr>
        <w:shd w:val="clear" w:color="auto" w:fill="FFFFFF"/>
        <w:spacing w:before="480" w:after="0" w:line="240" w:lineRule="auto"/>
        <w:textAlignment w:val="baseline"/>
        <w:rPr>
          <w:rFonts w:ascii="Arial" w:eastAsia="Times New Roman" w:hAnsi="Arial" w:cs="Arial"/>
          <w:color w:val="000000"/>
          <w:kern w:val="0"/>
          <w:lang w:eastAsia="en-GB"/>
          <w14:ligatures w14:val="none"/>
        </w:rPr>
      </w:pPr>
    </w:p>
    <w:p w14:paraId="43C91145" w14:textId="4331DA80" w:rsidR="00DF3504" w:rsidRPr="00DF3504" w:rsidRDefault="00DF3504" w:rsidP="00DF3504">
      <w:pPr>
        <w:rPr>
          <w:b/>
          <w:bCs/>
          <w:u w:val="single"/>
        </w:rPr>
      </w:pPr>
      <w:r>
        <w:rPr>
          <w:b/>
          <w:bCs/>
          <w:u w:val="single"/>
        </w:rPr>
        <w:t>SENTIMENT</w:t>
      </w:r>
    </w:p>
    <w:p w14:paraId="1CC68EA2" w14:textId="7B6D3D71" w:rsidR="00B75055" w:rsidRDefault="00B75055" w:rsidP="00B75055">
      <w:pPr>
        <w:jc w:val="center"/>
        <w:rPr>
          <w:b/>
          <w:bCs/>
        </w:rPr>
      </w:pPr>
      <w:r>
        <w:rPr>
          <w:b/>
          <w:bCs/>
        </w:rPr>
        <w:t>IPSOS</w:t>
      </w:r>
    </w:p>
    <w:p w14:paraId="5245C5FB" w14:textId="29304865" w:rsidR="00B75055" w:rsidRDefault="00B75055" w:rsidP="00B75055">
      <w:pPr>
        <w:rPr>
          <w:b/>
          <w:bCs/>
        </w:rPr>
      </w:pPr>
      <w:r>
        <w:rPr>
          <w:b/>
          <w:bCs/>
        </w:rPr>
        <w:t>June 2024</w:t>
      </w:r>
      <w:r w:rsidR="00DF3504">
        <w:rPr>
          <w:b/>
          <w:bCs/>
        </w:rPr>
        <w:t xml:space="preserve"> (i.e. pre-election, with Conservatives in power)</w:t>
      </w:r>
      <w:r>
        <w:rPr>
          <w:b/>
          <w:bCs/>
        </w:rPr>
        <w:t xml:space="preserve">: </w:t>
      </w:r>
    </w:p>
    <w:p w14:paraId="427192EE" w14:textId="3E7D15BB" w:rsidR="00B75055" w:rsidRDefault="00B75055" w:rsidP="00B75055">
      <w:hyperlink r:id="rId24" w:history="1">
        <w:r w:rsidRPr="00B75055">
          <w:rPr>
            <w:rStyle w:val="Hyperlink"/>
          </w:rPr>
          <w:t>Rent controls and expanding social housing are popular with public | Ipsos</w:t>
        </w:r>
      </w:hyperlink>
    </w:p>
    <w:p w14:paraId="018571F0" w14:textId="37FB40AF" w:rsidR="00B75055" w:rsidRPr="00B75055" w:rsidRDefault="00B75055" w:rsidP="00B75055">
      <w:pPr>
        <w:pStyle w:val="ListParagraph"/>
        <w:numPr>
          <w:ilvl w:val="0"/>
          <w:numId w:val="17"/>
        </w:numPr>
      </w:pPr>
      <w:r w:rsidRPr="00DF3504">
        <w:t>70% of Britons agree the country has a housing crisis.</w:t>
      </w:r>
    </w:p>
    <w:p w14:paraId="6034EE48" w14:textId="77777777" w:rsidR="00B75055" w:rsidRPr="00B75055" w:rsidRDefault="00B75055" w:rsidP="00B75055">
      <w:pPr>
        <w:pStyle w:val="ListParagraph"/>
        <w:numPr>
          <w:ilvl w:val="0"/>
          <w:numId w:val="17"/>
        </w:numPr>
      </w:pPr>
      <w:r w:rsidRPr="00DF3504">
        <w:t>44% think that the issue has been discussed too little in the last few months.</w:t>
      </w:r>
    </w:p>
    <w:p w14:paraId="2979866B" w14:textId="315C7852" w:rsidR="00B75055" w:rsidRDefault="00B75055" w:rsidP="00B75055">
      <w:pPr>
        <w:pStyle w:val="ListParagraph"/>
        <w:numPr>
          <w:ilvl w:val="0"/>
          <w:numId w:val="17"/>
        </w:numPr>
      </w:pPr>
      <w:r w:rsidRPr="00DF3504">
        <w:t>52% rate the Conservative Government’s record negatively, 14% rate it positively.</w:t>
      </w:r>
    </w:p>
    <w:p w14:paraId="3E51DDCF" w14:textId="77777777" w:rsidR="00DF3504" w:rsidRPr="00DF3504" w:rsidRDefault="00B75055" w:rsidP="00DF3504">
      <w:pPr>
        <w:pStyle w:val="ListParagraph"/>
        <w:numPr>
          <w:ilvl w:val="0"/>
          <w:numId w:val="17"/>
        </w:numPr>
      </w:pPr>
      <w:r w:rsidRPr="00DF3504">
        <w:t>Seven in ten support rent controls and the expansion of social housing.</w:t>
      </w:r>
    </w:p>
    <w:p w14:paraId="5EA8BB81" w14:textId="77777777" w:rsidR="00DF3504" w:rsidRDefault="00DF3504" w:rsidP="00DF3504">
      <w:pPr>
        <w:pStyle w:val="ListParagraph"/>
        <w:numPr>
          <w:ilvl w:val="0"/>
          <w:numId w:val="17"/>
        </w:numPr>
      </w:pPr>
      <w:r w:rsidRPr="00DF3504">
        <w:t>Two-thirds or more consider each one of seven housing issues to be a very or fairly serious issue, ranging from the condition of rented properties in the private sector (67%) to the amount of homelessness in Britain, and the amount of affordable properties to rent (both 77%).</w:t>
      </w:r>
    </w:p>
    <w:p w14:paraId="4CDABB5F" w14:textId="77777777" w:rsidR="00DF3504" w:rsidRDefault="00DF3504" w:rsidP="00DF3504">
      <w:pPr>
        <w:pStyle w:val="ListParagraph"/>
        <w:numPr>
          <w:ilvl w:val="0"/>
          <w:numId w:val="17"/>
        </w:numPr>
      </w:pPr>
      <w:r w:rsidRPr="00DF3504">
        <w:t>The amount of homelessness and affordable properties to rent are considered very serious problems by four in ten – 39% and 40% respectively.</w:t>
      </w:r>
    </w:p>
    <w:p w14:paraId="037837CB" w14:textId="7B439EEE" w:rsidR="00DF3504" w:rsidRPr="00B75055" w:rsidRDefault="00DF3504" w:rsidP="00DF3504">
      <w:pPr>
        <w:pStyle w:val="ListParagraph"/>
        <w:numPr>
          <w:ilvl w:val="0"/>
          <w:numId w:val="17"/>
        </w:numPr>
      </w:pPr>
      <w:r w:rsidRPr="00DF3504">
        <w:t>Labour and Conservative voters, and different tenure groups, see these as problems to a similar degree.</w:t>
      </w:r>
    </w:p>
    <w:sectPr w:rsidR="00DF3504" w:rsidRPr="00B75055">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5F142" w14:textId="77777777" w:rsidR="008134CA" w:rsidRDefault="008134CA" w:rsidP="00A33C4A">
      <w:pPr>
        <w:spacing w:after="0" w:line="240" w:lineRule="auto"/>
      </w:pPr>
      <w:r>
        <w:separator/>
      </w:r>
    </w:p>
  </w:endnote>
  <w:endnote w:type="continuationSeparator" w:id="0">
    <w:p w14:paraId="3956D0AA" w14:textId="77777777" w:rsidR="008134CA" w:rsidRDefault="008134CA" w:rsidP="00A33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775F7" w14:textId="77777777" w:rsidR="008134CA" w:rsidRDefault="008134CA" w:rsidP="00A33C4A">
      <w:pPr>
        <w:spacing w:after="0" w:line="240" w:lineRule="auto"/>
      </w:pPr>
      <w:r>
        <w:separator/>
      </w:r>
    </w:p>
  </w:footnote>
  <w:footnote w:type="continuationSeparator" w:id="0">
    <w:p w14:paraId="589E6E1B" w14:textId="77777777" w:rsidR="008134CA" w:rsidRDefault="008134CA" w:rsidP="00A33C4A">
      <w:pPr>
        <w:spacing w:after="0" w:line="240" w:lineRule="auto"/>
      </w:pPr>
      <w:r>
        <w:continuationSeparator/>
      </w:r>
    </w:p>
  </w:footnote>
  <w:footnote w:id="1">
    <w:p w14:paraId="20EA11A9" w14:textId="15A6C6A3" w:rsidR="00B420F5" w:rsidRDefault="00B420F5">
      <w:pPr>
        <w:pStyle w:val="FootnoteText"/>
      </w:pPr>
      <w:r>
        <w:rPr>
          <w:rStyle w:val="FootnoteReference"/>
        </w:rPr>
        <w:footnoteRef/>
      </w:r>
      <w:r>
        <w:t xml:space="preserve"> </w:t>
      </w:r>
      <w:hyperlink r:id="rId1" w:history="1">
        <w:r w:rsidRPr="00B420F5">
          <w:rPr>
            <w:rStyle w:val="Hyperlink"/>
          </w:rPr>
          <w:t>National Housing Federation - The Renters' Rights Act</w:t>
        </w:r>
      </w:hyperlink>
      <w:r>
        <w:t>.</w:t>
      </w:r>
    </w:p>
  </w:footnote>
  <w:footnote w:id="2">
    <w:p w14:paraId="2BADAE16" w14:textId="127207E2" w:rsidR="00A00B22" w:rsidRDefault="00A00B22">
      <w:pPr>
        <w:pStyle w:val="FootnoteText"/>
      </w:pPr>
      <w:r>
        <w:rPr>
          <w:rStyle w:val="FootnoteReference"/>
        </w:rPr>
        <w:footnoteRef/>
      </w:r>
      <w:r>
        <w:t xml:space="preserve"> </w:t>
      </w:r>
      <w:hyperlink r:id="rId2" w:history="1">
        <w:r w:rsidRPr="00A00B22">
          <w:rPr>
            <w:rStyle w:val="Hyperlink"/>
          </w:rPr>
          <w:t>Guide to the Renters’ Rights Act - GOV.UK</w:t>
        </w:r>
      </w:hyperlink>
      <w:r>
        <w:t>.</w:t>
      </w:r>
      <w:r w:rsidR="00022376">
        <w:t xml:space="preserve"> Also see: </w:t>
      </w:r>
      <w:hyperlink r:id="rId3" w:history="1">
        <w:r w:rsidR="00022376" w:rsidRPr="00022376">
          <w:rPr>
            <w:rStyle w:val="Hyperlink"/>
          </w:rPr>
          <w:t>Coverage of the Renters’ Rights Act implementation roadmap – MHCLG in the Media</w:t>
        </w:r>
      </w:hyperlink>
      <w:r w:rsidR="00022376">
        <w:t>.</w:t>
      </w:r>
    </w:p>
  </w:footnote>
  <w:footnote w:id="3">
    <w:p w14:paraId="284A86BB" w14:textId="5387A737" w:rsidR="00B420F5" w:rsidRDefault="00B420F5">
      <w:pPr>
        <w:pStyle w:val="FootnoteText"/>
      </w:pPr>
      <w:r>
        <w:rPr>
          <w:rStyle w:val="FootnoteReference"/>
        </w:rPr>
        <w:footnoteRef/>
      </w:r>
      <w:r>
        <w:t xml:space="preserve"> </w:t>
      </w:r>
      <w:hyperlink r:id="rId4" w:history="1">
        <w:r w:rsidRPr="00B420F5">
          <w:rPr>
            <w:rStyle w:val="Hyperlink"/>
          </w:rPr>
          <w:t>Housing insecurity in the private rented sector in England: drivers and impacts - POST</w:t>
        </w:r>
      </w:hyperlink>
      <w:r>
        <w:t xml:space="preserve"> (report homepage).</w:t>
      </w:r>
      <w:r w:rsidR="00B10574">
        <w:t xml:space="preserve"> It also notes that “</w:t>
      </w:r>
      <w:r w:rsidR="00B10574" w:rsidRPr="00B10574">
        <w:t>Research indicates a limited supply of affordable PRS homes and increases in tenant demand. England rent prices as a share of disposable income are some of the highest in Europe.</w:t>
      </w:r>
      <w:r w:rsidR="00B10574">
        <w:t>” (ibid.)</w:t>
      </w:r>
      <w:r w:rsidR="00B10574" w:rsidRPr="00B10574">
        <w:t> </w:t>
      </w:r>
    </w:p>
  </w:footnote>
  <w:footnote w:id="4">
    <w:p w14:paraId="102BD0A5" w14:textId="047838C5" w:rsidR="00524817" w:rsidRDefault="00524817">
      <w:pPr>
        <w:pStyle w:val="FootnoteText"/>
      </w:pPr>
      <w:r>
        <w:rPr>
          <w:rStyle w:val="FootnoteReference"/>
        </w:rPr>
        <w:footnoteRef/>
      </w:r>
      <w:r>
        <w:t xml:space="preserve"> </w:t>
      </w:r>
      <w:hyperlink r:id="rId5" w:history="1">
        <w:r w:rsidRPr="00B420F5">
          <w:rPr>
            <w:rStyle w:val="Hyperlink"/>
          </w:rPr>
          <w:t>Housing insecurity in the private rented sector in England: drivers and impacts</w:t>
        </w:r>
      </w:hyperlink>
      <w:r w:rsidR="00B420F5">
        <w:t xml:space="preserve"> (full report</w:t>
      </w:r>
      <w:r w:rsidRPr="00524817">
        <w:t xml:space="preserve">, p2 </w:t>
      </w:r>
      <w:proofErr w:type="spellStart"/>
      <w:r w:rsidRPr="00524817">
        <w:t>fn</w:t>
      </w:r>
      <w:proofErr w:type="spellEnd"/>
      <w:r w:rsidRPr="00524817">
        <w:t xml:space="preserve"> a.</w:t>
      </w:r>
      <w:r w:rsidR="00B420F5">
        <w:t>)</w:t>
      </w:r>
    </w:p>
  </w:footnote>
  <w:footnote w:id="5">
    <w:p w14:paraId="362DEA21" w14:textId="1BA12012" w:rsidR="00022376" w:rsidRDefault="00022376">
      <w:pPr>
        <w:pStyle w:val="FootnoteText"/>
      </w:pPr>
      <w:r>
        <w:rPr>
          <w:rStyle w:val="FootnoteReference"/>
        </w:rPr>
        <w:footnoteRef/>
      </w:r>
      <w:r>
        <w:t xml:space="preserve"> JRF, “</w:t>
      </w:r>
      <w:hyperlink r:id="rId6" w:history="1">
        <w:r w:rsidRPr="00022376">
          <w:rPr>
            <w:rStyle w:val="Hyperlink"/>
          </w:rPr>
          <w:t>Rebalancing the housing market through tax reform</w:t>
        </w:r>
      </w:hyperlink>
      <w:r>
        <w:t xml:space="preserve">”, 11 September 2025, p5. (Not read all; looks helpful for </w:t>
      </w:r>
      <w:r w:rsidR="00945386">
        <w:t xml:space="preserve">summary of/confirming </w:t>
      </w:r>
      <w:r>
        <w:t>background</w:t>
      </w:r>
      <w:r w:rsidR="00945386">
        <w:t>: see next page for a couple of headlines/figures)</w:t>
      </w:r>
      <w:r>
        <w:t>.</w:t>
      </w:r>
    </w:p>
  </w:footnote>
  <w:footnote w:id="6">
    <w:p w14:paraId="501B0ABD" w14:textId="0FC53387" w:rsidR="00A00B22" w:rsidRDefault="00A00B22">
      <w:pPr>
        <w:pStyle w:val="FootnoteText"/>
      </w:pPr>
      <w:r>
        <w:rPr>
          <w:rStyle w:val="FootnoteReference"/>
        </w:rPr>
        <w:footnoteRef/>
      </w:r>
      <w:r>
        <w:t xml:space="preserve"> </w:t>
      </w:r>
      <w:hyperlink r:id="rId7" w:history="1">
        <w:r w:rsidRPr="00A00B22">
          <w:rPr>
            <w:rStyle w:val="Hyperlink"/>
          </w:rPr>
          <w:t>If you get a ‘section 21’ eviction notice - Citizens Advice</w:t>
        </w:r>
      </w:hyperlink>
      <w:r>
        <w:t xml:space="preserve">; </w:t>
      </w:r>
      <w:hyperlink r:id="rId8" w:history="1">
        <w:r w:rsidRPr="00A00B22">
          <w:rPr>
            <w:rStyle w:val="Hyperlink"/>
          </w:rPr>
          <w:t>Evicting tenants in England: Section 21 and Section 8 notices - GOV.UK</w:t>
        </w:r>
      </w:hyperlink>
      <w:r w:rsidR="00524817">
        <w:t xml:space="preserve">; </w:t>
      </w:r>
      <w:hyperlink r:id="rId9" w:history="1">
        <w:r w:rsidR="00524817" w:rsidRPr="00524817">
          <w:rPr>
            <w:rStyle w:val="Hyperlink"/>
          </w:rPr>
          <w:t>Renters Rights Act: private tenants - Shelter England</w:t>
        </w:r>
      </w:hyperlink>
      <w:r w:rsidR="00524817">
        <w:t>.</w:t>
      </w:r>
    </w:p>
  </w:footnote>
  <w:footnote w:id="7">
    <w:p w14:paraId="158E3D29" w14:textId="51D2D6CA" w:rsidR="00524817" w:rsidRDefault="00524817">
      <w:pPr>
        <w:pStyle w:val="FootnoteText"/>
      </w:pPr>
      <w:r>
        <w:rPr>
          <w:rStyle w:val="FootnoteReference"/>
        </w:rPr>
        <w:footnoteRef/>
      </w:r>
      <w:r>
        <w:t xml:space="preserve"> See for example: </w:t>
      </w:r>
      <w:hyperlink r:id="rId10" w:history="1">
        <w:r w:rsidRPr="00524817">
          <w:rPr>
            <w:rStyle w:val="Hyperlink"/>
          </w:rPr>
          <w:t>Mass Section 21 evictions</w:t>
        </w:r>
      </w:hyperlink>
      <w:r>
        <w:t>, where the question is asked of the Mayor: “Le</w:t>
      </w:r>
      <w:r w:rsidRPr="00524817">
        <w:t>wisham Council, among others, have warned there might be an increased use of Section 21 in the coming months, while landlords still have this power available to them before being scrapped by the Renters’ Rights Bill.</w:t>
      </w:r>
      <w:r>
        <w:t>”</w:t>
      </w:r>
    </w:p>
  </w:footnote>
  <w:footnote w:id="8">
    <w:p w14:paraId="32A24436" w14:textId="43EFDDC8" w:rsidR="005E7126" w:rsidRDefault="005E7126">
      <w:pPr>
        <w:pStyle w:val="FootnoteText"/>
      </w:pPr>
      <w:r>
        <w:rPr>
          <w:rStyle w:val="FootnoteReference"/>
        </w:rPr>
        <w:footnoteRef/>
      </w:r>
      <w:r>
        <w:t xml:space="preserve"> </w:t>
      </w:r>
      <w:hyperlink r:id="rId11" w:history="1">
        <w:r w:rsidRPr="005E7126">
          <w:rPr>
            <w:rStyle w:val="Hyperlink"/>
          </w:rPr>
          <w:t>11,400 no-fault evictions this year - Shelter England</w:t>
        </w:r>
      </w:hyperlink>
      <w:r>
        <w:t>.</w:t>
      </w:r>
    </w:p>
  </w:footnote>
  <w:footnote w:id="9">
    <w:p w14:paraId="2CAE2B58" w14:textId="239825D0" w:rsidR="005E7126" w:rsidRPr="005E7126" w:rsidRDefault="005E7126" w:rsidP="005E7126">
      <w:pPr>
        <w:pStyle w:val="FootnoteText"/>
      </w:pPr>
      <w:r>
        <w:rPr>
          <w:rStyle w:val="FootnoteReference"/>
        </w:rPr>
        <w:footnoteRef/>
      </w:r>
      <w:r>
        <w:t xml:space="preserve"> </w:t>
      </w:r>
      <w:hyperlink r:id="rId12" w:history="1">
        <w:r w:rsidRPr="005E7126">
          <w:rPr>
            <w:rStyle w:val="Hyperlink"/>
          </w:rPr>
          <w:t>Airbnb welcomes Government ban of no-fault evictions</w:t>
        </w:r>
      </w:hyperlink>
      <w:r>
        <w:t>. Source given for this statement: “</w:t>
      </w:r>
      <w:r w:rsidRPr="005E7126">
        <w:t>Based on a survey of 3,465 Hosts surveyed between July 7, 2022 and Dec. 31, 2022. Margin of error under 2%.</w:t>
      </w:r>
      <w:r>
        <w:t>”</w:t>
      </w:r>
    </w:p>
    <w:p w14:paraId="543B2D11" w14:textId="30C19E8B" w:rsidR="005E7126" w:rsidRDefault="005E7126">
      <w:pPr>
        <w:pStyle w:val="FootnoteText"/>
      </w:pPr>
      <w:r>
        <w:t xml:space="preserve"> </w:t>
      </w:r>
    </w:p>
  </w:footnote>
  <w:footnote w:id="10">
    <w:p w14:paraId="3A88E8FE" w14:textId="32560668" w:rsidR="00945386" w:rsidRDefault="00945386">
      <w:pPr>
        <w:pStyle w:val="FootnoteText"/>
      </w:pPr>
      <w:r>
        <w:rPr>
          <w:rStyle w:val="FootnoteReference"/>
        </w:rPr>
        <w:footnoteRef/>
      </w:r>
      <w:r>
        <w:t xml:space="preserve"> Query how good this source is.</w:t>
      </w:r>
    </w:p>
  </w:footnote>
  <w:footnote w:id="11">
    <w:p w14:paraId="0110DB60" w14:textId="52F82E9A" w:rsidR="001F6DF2" w:rsidRDefault="001F6DF2">
      <w:pPr>
        <w:pStyle w:val="FootnoteText"/>
      </w:pPr>
      <w:r>
        <w:rPr>
          <w:rStyle w:val="FootnoteReference"/>
        </w:rPr>
        <w:footnoteRef/>
      </w:r>
      <w:r>
        <w:t xml:space="preserve"> </w:t>
      </w:r>
      <w:r w:rsidRPr="001F6DF2">
        <w:t>The 2024 survey was conducted April – May 2024 and received responses from 9,216 landlords and 685 agents acting on behalf of landlords.  The report covers direct landlords only.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88F65" w14:textId="675B2CEE" w:rsidR="00A33C4A" w:rsidRPr="005063BF" w:rsidRDefault="00A33C4A">
    <w:pPr>
      <w:pStyle w:val="Header"/>
    </w:pPr>
    <w:r>
      <w:t>161125: AS notes on Renters’ Rights Act 2025 and public sentiment data</w:t>
    </w:r>
    <w:r w:rsidR="005063BF">
      <w:t xml:space="preserve"> </w:t>
    </w:r>
    <w:r w:rsidR="005063BF">
      <w:rPr>
        <w:i/>
        <w:iCs/>
      </w:rPr>
      <w:t>[comments in square brackets]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042D"/>
    <w:multiLevelType w:val="hybridMultilevel"/>
    <w:tmpl w:val="9F9CB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B00367"/>
    <w:multiLevelType w:val="multilevel"/>
    <w:tmpl w:val="5A32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032A26"/>
    <w:multiLevelType w:val="hybridMultilevel"/>
    <w:tmpl w:val="52F04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611BDF"/>
    <w:multiLevelType w:val="hybridMultilevel"/>
    <w:tmpl w:val="C3C62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B64837"/>
    <w:multiLevelType w:val="hybridMultilevel"/>
    <w:tmpl w:val="446434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4E361A"/>
    <w:multiLevelType w:val="hybridMultilevel"/>
    <w:tmpl w:val="6B5E8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3E5FE7"/>
    <w:multiLevelType w:val="multilevel"/>
    <w:tmpl w:val="F4F2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86FC1"/>
    <w:multiLevelType w:val="hybridMultilevel"/>
    <w:tmpl w:val="29F63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DF42F6"/>
    <w:multiLevelType w:val="multilevel"/>
    <w:tmpl w:val="547C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418AA"/>
    <w:multiLevelType w:val="hybridMultilevel"/>
    <w:tmpl w:val="3CE811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8A1649"/>
    <w:multiLevelType w:val="multilevel"/>
    <w:tmpl w:val="5A5E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F6AC3"/>
    <w:multiLevelType w:val="hybridMultilevel"/>
    <w:tmpl w:val="0F3262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321F1F"/>
    <w:multiLevelType w:val="multilevel"/>
    <w:tmpl w:val="56F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177B77"/>
    <w:multiLevelType w:val="multilevel"/>
    <w:tmpl w:val="D026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534DE"/>
    <w:multiLevelType w:val="hybridMultilevel"/>
    <w:tmpl w:val="E37CA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841936"/>
    <w:multiLevelType w:val="hybridMultilevel"/>
    <w:tmpl w:val="AC48E5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57814115"/>
    <w:multiLevelType w:val="multilevel"/>
    <w:tmpl w:val="077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A7289E"/>
    <w:multiLevelType w:val="multilevel"/>
    <w:tmpl w:val="E332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565A5"/>
    <w:multiLevelType w:val="hybridMultilevel"/>
    <w:tmpl w:val="6B6ED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723D1A"/>
    <w:multiLevelType w:val="multilevel"/>
    <w:tmpl w:val="9170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C4BAE"/>
    <w:multiLevelType w:val="multilevel"/>
    <w:tmpl w:val="23A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8778B1"/>
    <w:multiLevelType w:val="hybridMultilevel"/>
    <w:tmpl w:val="E0D4B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F45E7B"/>
    <w:multiLevelType w:val="hybridMultilevel"/>
    <w:tmpl w:val="D8B2C2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9C0078"/>
    <w:multiLevelType w:val="multilevel"/>
    <w:tmpl w:val="6E6C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10B19"/>
    <w:multiLevelType w:val="multilevel"/>
    <w:tmpl w:val="FB76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3914975">
    <w:abstractNumId w:val="0"/>
  </w:num>
  <w:num w:numId="2" w16cid:durableId="1352603794">
    <w:abstractNumId w:val="11"/>
  </w:num>
  <w:num w:numId="3" w16cid:durableId="1740862364">
    <w:abstractNumId w:val="1"/>
  </w:num>
  <w:num w:numId="4" w16cid:durableId="1112357165">
    <w:abstractNumId w:val="5"/>
  </w:num>
  <w:num w:numId="5" w16cid:durableId="830604141">
    <w:abstractNumId w:val="2"/>
  </w:num>
  <w:num w:numId="6" w16cid:durableId="1942569503">
    <w:abstractNumId w:val="15"/>
  </w:num>
  <w:num w:numId="7" w16cid:durableId="1739744437">
    <w:abstractNumId w:val="14"/>
  </w:num>
  <w:num w:numId="8" w16cid:durableId="1684236004">
    <w:abstractNumId w:val="19"/>
  </w:num>
  <w:num w:numId="9" w16cid:durableId="198009100">
    <w:abstractNumId w:val="17"/>
  </w:num>
  <w:num w:numId="10" w16cid:durableId="585840860">
    <w:abstractNumId w:val="9"/>
  </w:num>
  <w:num w:numId="11" w16cid:durableId="926159456">
    <w:abstractNumId w:val="4"/>
  </w:num>
  <w:num w:numId="12" w16cid:durableId="824584470">
    <w:abstractNumId w:val="21"/>
  </w:num>
  <w:num w:numId="13" w16cid:durableId="1356081092">
    <w:abstractNumId w:val="24"/>
  </w:num>
  <w:num w:numId="14" w16cid:durableId="1111440360">
    <w:abstractNumId w:val="12"/>
  </w:num>
  <w:num w:numId="15" w16cid:durableId="713165456">
    <w:abstractNumId w:val="20"/>
  </w:num>
  <w:num w:numId="16" w16cid:durableId="1480272347">
    <w:abstractNumId w:val="18"/>
  </w:num>
  <w:num w:numId="17" w16cid:durableId="1618566470">
    <w:abstractNumId w:val="3"/>
  </w:num>
  <w:num w:numId="18" w16cid:durableId="418526779">
    <w:abstractNumId w:val="6"/>
  </w:num>
  <w:num w:numId="19" w16cid:durableId="350029444">
    <w:abstractNumId w:val="8"/>
  </w:num>
  <w:num w:numId="20" w16cid:durableId="1667976506">
    <w:abstractNumId w:val="22"/>
  </w:num>
  <w:num w:numId="21" w16cid:durableId="1278411031">
    <w:abstractNumId w:val="23"/>
  </w:num>
  <w:num w:numId="22" w16cid:durableId="1481581870">
    <w:abstractNumId w:val="13"/>
  </w:num>
  <w:num w:numId="23" w16cid:durableId="1029067001">
    <w:abstractNumId w:val="16"/>
  </w:num>
  <w:num w:numId="24" w16cid:durableId="32468447">
    <w:abstractNumId w:val="10"/>
  </w:num>
  <w:num w:numId="25" w16cid:durableId="10381218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C4A"/>
    <w:rsid w:val="00022376"/>
    <w:rsid w:val="001401AC"/>
    <w:rsid w:val="00180FC2"/>
    <w:rsid w:val="00190D21"/>
    <w:rsid w:val="001F6DF2"/>
    <w:rsid w:val="00330E38"/>
    <w:rsid w:val="00355891"/>
    <w:rsid w:val="004C3C2C"/>
    <w:rsid w:val="005063BF"/>
    <w:rsid w:val="00524817"/>
    <w:rsid w:val="00590088"/>
    <w:rsid w:val="005E7126"/>
    <w:rsid w:val="00606732"/>
    <w:rsid w:val="007A15FF"/>
    <w:rsid w:val="008134CA"/>
    <w:rsid w:val="008E6871"/>
    <w:rsid w:val="00916184"/>
    <w:rsid w:val="00945386"/>
    <w:rsid w:val="00A00B22"/>
    <w:rsid w:val="00A33C4A"/>
    <w:rsid w:val="00B10574"/>
    <w:rsid w:val="00B420F5"/>
    <w:rsid w:val="00B75055"/>
    <w:rsid w:val="00B90341"/>
    <w:rsid w:val="00BB2FCA"/>
    <w:rsid w:val="00D466DD"/>
    <w:rsid w:val="00DF3504"/>
    <w:rsid w:val="00ED04D4"/>
    <w:rsid w:val="47F8BD94"/>
    <w:rsid w:val="6300D2F7"/>
    <w:rsid w:val="6B59DC0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F776C"/>
  <w15:chartTrackingRefBased/>
  <w15:docId w15:val="{B92D37E9-3564-49E9-A457-2F34AA17F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C4A"/>
    <w:rPr>
      <w:rFonts w:eastAsiaTheme="majorEastAsia" w:cstheme="majorBidi"/>
      <w:color w:val="272727" w:themeColor="text1" w:themeTint="D8"/>
    </w:rPr>
  </w:style>
  <w:style w:type="paragraph" w:styleId="Title">
    <w:name w:val="Title"/>
    <w:basedOn w:val="Normal"/>
    <w:next w:val="Normal"/>
    <w:link w:val="TitleChar"/>
    <w:uiPriority w:val="10"/>
    <w:qFormat/>
    <w:rsid w:val="00A33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C4A"/>
    <w:pPr>
      <w:spacing w:before="160"/>
      <w:jc w:val="center"/>
    </w:pPr>
    <w:rPr>
      <w:i/>
      <w:iCs/>
      <w:color w:val="404040" w:themeColor="text1" w:themeTint="BF"/>
    </w:rPr>
  </w:style>
  <w:style w:type="character" w:customStyle="1" w:styleId="QuoteChar">
    <w:name w:val="Quote Char"/>
    <w:basedOn w:val="DefaultParagraphFont"/>
    <w:link w:val="Quote"/>
    <w:uiPriority w:val="29"/>
    <w:rsid w:val="00A33C4A"/>
    <w:rPr>
      <w:i/>
      <w:iCs/>
      <w:color w:val="404040" w:themeColor="text1" w:themeTint="BF"/>
    </w:rPr>
  </w:style>
  <w:style w:type="paragraph" w:styleId="ListParagraph">
    <w:name w:val="List Paragraph"/>
    <w:basedOn w:val="Normal"/>
    <w:uiPriority w:val="34"/>
    <w:qFormat/>
    <w:rsid w:val="00A33C4A"/>
    <w:pPr>
      <w:ind w:left="720"/>
      <w:contextualSpacing/>
    </w:pPr>
  </w:style>
  <w:style w:type="character" w:styleId="IntenseEmphasis">
    <w:name w:val="Intense Emphasis"/>
    <w:basedOn w:val="DefaultParagraphFont"/>
    <w:uiPriority w:val="21"/>
    <w:qFormat/>
    <w:rsid w:val="00A33C4A"/>
    <w:rPr>
      <w:i/>
      <w:iCs/>
      <w:color w:val="0F4761" w:themeColor="accent1" w:themeShade="BF"/>
    </w:rPr>
  </w:style>
  <w:style w:type="paragraph" w:styleId="IntenseQuote">
    <w:name w:val="Intense Quote"/>
    <w:basedOn w:val="Normal"/>
    <w:next w:val="Normal"/>
    <w:link w:val="IntenseQuoteChar"/>
    <w:uiPriority w:val="30"/>
    <w:qFormat/>
    <w:rsid w:val="00A33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C4A"/>
    <w:rPr>
      <w:i/>
      <w:iCs/>
      <w:color w:val="0F4761" w:themeColor="accent1" w:themeShade="BF"/>
    </w:rPr>
  </w:style>
  <w:style w:type="character" w:styleId="IntenseReference">
    <w:name w:val="Intense Reference"/>
    <w:basedOn w:val="DefaultParagraphFont"/>
    <w:uiPriority w:val="32"/>
    <w:qFormat/>
    <w:rsid w:val="00A33C4A"/>
    <w:rPr>
      <w:b/>
      <w:bCs/>
      <w:smallCaps/>
      <w:color w:val="0F4761" w:themeColor="accent1" w:themeShade="BF"/>
      <w:spacing w:val="5"/>
    </w:rPr>
  </w:style>
  <w:style w:type="paragraph" w:styleId="Header">
    <w:name w:val="header"/>
    <w:basedOn w:val="Normal"/>
    <w:link w:val="HeaderChar"/>
    <w:uiPriority w:val="99"/>
    <w:unhideWhenUsed/>
    <w:rsid w:val="00A33C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3C4A"/>
  </w:style>
  <w:style w:type="paragraph" w:styleId="Footer">
    <w:name w:val="footer"/>
    <w:basedOn w:val="Normal"/>
    <w:link w:val="FooterChar"/>
    <w:uiPriority w:val="99"/>
    <w:unhideWhenUsed/>
    <w:rsid w:val="00A33C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3C4A"/>
  </w:style>
  <w:style w:type="character" w:styleId="Hyperlink">
    <w:name w:val="Hyperlink"/>
    <w:basedOn w:val="DefaultParagraphFont"/>
    <w:uiPriority w:val="99"/>
    <w:unhideWhenUsed/>
    <w:rsid w:val="00A33C4A"/>
    <w:rPr>
      <w:color w:val="467886" w:themeColor="hyperlink"/>
      <w:u w:val="single"/>
    </w:rPr>
  </w:style>
  <w:style w:type="character" w:styleId="UnresolvedMention">
    <w:name w:val="Unresolved Mention"/>
    <w:basedOn w:val="DefaultParagraphFont"/>
    <w:uiPriority w:val="99"/>
    <w:semiHidden/>
    <w:unhideWhenUsed/>
    <w:rsid w:val="00A33C4A"/>
    <w:rPr>
      <w:color w:val="605E5C"/>
      <w:shd w:val="clear" w:color="auto" w:fill="E1DFDD"/>
    </w:rPr>
  </w:style>
  <w:style w:type="paragraph" w:styleId="FootnoteText">
    <w:name w:val="footnote text"/>
    <w:basedOn w:val="Normal"/>
    <w:link w:val="FootnoteTextChar"/>
    <w:uiPriority w:val="99"/>
    <w:semiHidden/>
    <w:unhideWhenUsed/>
    <w:rsid w:val="00A00B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0B22"/>
    <w:rPr>
      <w:sz w:val="20"/>
      <w:szCs w:val="20"/>
    </w:rPr>
  </w:style>
  <w:style w:type="character" w:styleId="FootnoteReference">
    <w:name w:val="footnote reference"/>
    <w:basedOn w:val="DefaultParagraphFont"/>
    <w:uiPriority w:val="99"/>
    <w:semiHidden/>
    <w:unhideWhenUsed/>
    <w:rsid w:val="00A00B22"/>
    <w:rPr>
      <w:vertAlign w:val="superscript"/>
    </w:rPr>
  </w:style>
  <w:style w:type="character" w:styleId="Strong">
    <w:name w:val="Strong"/>
    <w:basedOn w:val="DefaultParagraphFont"/>
    <w:uiPriority w:val="22"/>
    <w:qFormat/>
    <w:rsid w:val="00DF3504"/>
    <w:rPr>
      <w:b/>
      <w:bCs/>
    </w:rPr>
  </w:style>
  <w:style w:type="paragraph" w:styleId="NormalWeb">
    <w:name w:val="Normal (Web)"/>
    <w:basedOn w:val="Normal"/>
    <w:uiPriority w:val="99"/>
    <w:semiHidden/>
    <w:unhideWhenUsed/>
    <w:rsid w:val="00DF3504"/>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ews.airbnb.com/en-uk/our-commitment-to-help-make-uk-communities-stronger/" TargetMode="External"/><Relationship Id="rId18" Type="http://schemas.openxmlformats.org/officeDocument/2006/relationships/hyperlink" Target="https://natcen.ac.uk/sites/default/files/2025-03/british-social-attitudes-41-%7C-five-years-of-unprecedented-challenges-1303.pdf"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gov.uk/government/statistics/chapters-for-english-housing-survey-2023-to-2024-headline-findings-on-demographics-and-household-resilience" TargetMode="External"/><Relationship Id="rId7" Type="http://schemas.openxmlformats.org/officeDocument/2006/relationships/settings" Target="settings.xml"/><Relationship Id="rId12" Type="http://schemas.openxmlformats.org/officeDocument/2006/relationships/hyperlink" Target="https://news.airbnb.com/en-uk/healthy-tourism-commitment-supporting-the-uks-sustainable-tourism-recovery/" TargetMode="External"/><Relationship Id="rId17" Type="http://schemas.openxmlformats.org/officeDocument/2006/relationships/hyperlink" Target="https://www.ons.gov.uk/economy/inflationandpriceindices/bulletins/privaterentandhousepricesuk/january2025"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ons.gov.uk/peoplepopulationandcommunity/housing/bulletins/housingaffordabilityinenglandandwales/2024" TargetMode="External"/><Relationship Id="rId20" Type="http://schemas.openxmlformats.org/officeDocument/2006/relationships/hyperlink" Target="https://www.gov.uk/government/collections/english-housing-survey-2023-to-2024-headline-findings-on-demographics-and-household-resilien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ews.airbnb.com/en-uk/new-data-shows-hosting-on-airbnb-equivalent-to-two-months-pay/" TargetMode="External"/><Relationship Id="rId24" Type="http://schemas.openxmlformats.org/officeDocument/2006/relationships/hyperlink" Target="https://www.ipsos.com/en-uk/rent-controls-and-expanding-social-housing-are-popular-public" TargetMode="External"/><Relationship Id="rId5" Type="http://schemas.openxmlformats.org/officeDocument/2006/relationships/numbering" Target="numbering.xml"/><Relationship Id="rId15" Type="http://schemas.openxmlformats.org/officeDocument/2006/relationships/hyperlink" Target="https://natcen.ac.uk/sites/default/files/2025-06/bsa-42-%7C-repairing-britain-1676.pdf" TargetMode="External"/><Relationship Id="rId23" Type="http://schemas.openxmlformats.org/officeDocument/2006/relationships/hyperlink" Target="https://natcen.ac.uk/publications/english-private-landlord-survey" TargetMode="External"/><Relationship Id="rId10" Type="http://schemas.openxmlformats.org/officeDocument/2006/relationships/endnotes" Target="endnotes.xml"/><Relationship Id="rId19" Type="http://schemas.openxmlformats.org/officeDocument/2006/relationships/hyperlink" Target="https://natcen.ac.uk/publications/english-housing-surve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atcen.ac.uk/" TargetMode="External"/><Relationship Id="rId22" Type="http://schemas.openxmlformats.org/officeDocument/2006/relationships/hyperlink" Target="https://assets.publishing.service.gov.uk/media/6746f3242cdbaeed4c527f5f/Annex_A_-_2023-24_EHS_Headline_Report_on_household_demographics_and_resilience.pdf"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gov.uk/evicting-tenants/section-21-and-section-8-notices" TargetMode="External"/><Relationship Id="rId3" Type="http://schemas.openxmlformats.org/officeDocument/2006/relationships/hyperlink" Target="https://mhclgmedia.blog.gov.uk/2025/11/14/coverage-of-the-renters-rights-act-implementation-roadmap/" TargetMode="External"/><Relationship Id="rId7" Type="http://schemas.openxmlformats.org/officeDocument/2006/relationships/hyperlink" Target="https://www.citizensadvice.org.uk/housing/eviction/getting-evicted/renting-privately/if-you-get-a-section-21-notice/" TargetMode="External"/><Relationship Id="rId12" Type="http://schemas.openxmlformats.org/officeDocument/2006/relationships/hyperlink" Target="https://news.airbnb.com/en-uk/airbnb-welcomes-government-ban-of-no-fault-evictions/" TargetMode="External"/><Relationship Id="rId2" Type="http://schemas.openxmlformats.org/officeDocument/2006/relationships/hyperlink" Target="https://www.gov.uk/government/publications/guide-to-the-renters-rights-act/guide-to-the-renters-rights-act" TargetMode="External"/><Relationship Id="rId1" Type="http://schemas.openxmlformats.org/officeDocument/2006/relationships/hyperlink" Target="https://www.housing.org.uk/resources/renters-rights-bill/" TargetMode="External"/><Relationship Id="rId6" Type="http://schemas.openxmlformats.org/officeDocument/2006/relationships/hyperlink" Target="https://www.jrf.org.uk/sites/default/files/pdfs/rebalancing-the-housing-market-through-tax-reform-e65bbc0caa61b5cae6f9bcfe67b22518.pdf" TargetMode="External"/><Relationship Id="rId11" Type="http://schemas.openxmlformats.org/officeDocument/2006/relationships/hyperlink" Target="https://england.shelter.org.uk/media/press_release/11400_no-fault_bailiff_evictions_in_the_year_since_government_committed_to_ban_them_" TargetMode="External"/><Relationship Id="rId5" Type="http://schemas.openxmlformats.org/officeDocument/2006/relationships/hyperlink" Target="https://researchbriefings.files.parliament.uk/documents/POST-PN-0729/POST-PN-0729.pdf" TargetMode="External"/><Relationship Id="rId10" Type="http://schemas.openxmlformats.org/officeDocument/2006/relationships/hyperlink" Target="https://www.london.gov.uk/who-we-are/what-london-assembly-does/questions-mayor/find-an-answer/mass-section-21-evictions" TargetMode="External"/><Relationship Id="rId4" Type="http://schemas.openxmlformats.org/officeDocument/2006/relationships/hyperlink" Target="https://post.parliament.uk/research-briefings/post-pn-0729/" TargetMode="External"/><Relationship Id="rId9" Type="http://schemas.openxmlformats.org/officeDocument/2006/relationships/hyperlink" Target="https://england.shelter.org.uk/housing_advice/private_renting/renters_rights_act_changes_for_private_rent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773EA11310C554FAA6F88669F636EE0" ma:contentTypeVersion="3" ma:contentTypeDescription="Create a new document." ma:contentTypeScope="" ma:versionID="55e9ba45597052574bba2321dbf67972">
  <xsd:schema xmlns:xsd="http://www.w3.org/2001/XMLSchema" xmlns:xs="http://www.w3.org/2001/XMLSchema" xmlns:p="http://schemas.microsoft.com/office/2006/metadata/properties" xmlns:ns2="eb88500a-909c-498f-9dc3-eebc9d27c494" targetNamespace="http://schemas.microsoft.com/office/2006/metadata/properties" ma:root="true" ma:fieldsID="b35ef79b59db6122d1f1fdb3491963b6" ns2:_="">
    <xsd:import namespace="eb88500a-909c-498f-9dc3-eebc9d27c49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8500a-909c-498f-9dc3-eebc9d27c4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F79210-30EF-497D-9197-9B637DF7D7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DB7F644-70C3-4DE0-ACE5-9E5C9E338E7B}">
  <ds:schemaRefs>
    <ds:schemaRef ds:uri="http://schemas.microsoft.com/sharepoint/v3/contenttype/forms"/>
  </ds:schemaRefs>
</ds:datastoreItem>
</file>

<file path=customXml/itemProps3.xml><?xml version="1.0" encoding="utf-8"?>
<ds:datastoreItem xmlns:ds="http://schemas.openxmlformats.org/officeDocument/2006/customXml" ds:itemID="{B04CC0AC-D84E-49B0-BE9E-487AD832C0F7}">
  <ds:schemaRefs>
    <ds:schemaRef ds:uri="http://schemas.openxmlformats.org/officeDocument/2006/bibliography"/>
  </ds:schemaRefs>
</ds:datastoreItem>
</file>

<file path=customXml/itemProps4.xml><?xml version="1.0" encoding="utf-8"?>
<ds:datastoreItem xmlns:ds="http://schemas.openxmlformats.org/officeDocument/2006/customXml" ds:itemID="{0FF1AFB8-028E-461C-B554-CCC1284DB9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8500a-909c-498f-9dc3-eebc9d27c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2111</Words>
  <Characters>12037</Characters>
  <Application>Microsoft Office Word</Application>
  <DocSecurity>4</DocSecurity>
  <Lines>100</Lines>
  <Paragraphs>28</Paragraphs>
  <ScaleCrop>false</ScaleCrop>
  <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Southall, Alice</dc:creator>
  <cp:keywords/>
  <dc:description/>
  <cp:lastModifiedBy>Southall, Alice</cp:lastModifiedBy>
  <cp:revision>5</cp:revision>
  <dcterms:created xsi:type="dcterms:W3CDTF">2025-11-16T14:25:00Z</dcterms:created>
  <dcterms:modified xsi:type="dcterms:W3CDTF">2025-11-17T13:10:00Z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0x0101009773EA11310C554FAA6F88669F636EE0</vt:lpwstr>
  </property>
</Properties>
</file>