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Interview Subject:</w:t>
      </w:r>
      <w:r>
        <w:rPr>
          <w:rFonts w:ascii="Arial" w:cs="Arial" w:eastAsia="Arial" w:hAnsi="Arial"/>
          <w:sz w:val="22"/>
          <w:szCs w:val="22"/>
        </w:rPr>
        <w:t xml:space="preserve">	IVD Sequencing Landscape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Interview Date:</w:t>
      </w:r>
      <w:r>
        <w:rPr>
          <w:rFonts w:ascii="Arial" w:cs="Arial" w:eastAsia="Arial" w:hAnsi="Arial"/>
          <w:sz w:val="22"/>
          <w:szCs w:val="22"/>
        </w:rPr>
        <w:t xml:space="preserve">	March 26,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Interviewee Demographics:</w:t>
      </w:r>
      <w:r>
        <w:rPr>
          <w:rFonts w:ascii="Arial" w:cs="Arial" w:eastAsia="Arial" w:hAnsi="Arial"/>
          <w:sz w:val="22"/>
          <w:szCs w:val="22"/>
        </w:rPr>
        <w:t xml:space="preserve">	Lab Director, Core Lab, AMC, US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DeciBio Moderator: </w:t>
      </w:r>
      <w:r>
        <w:rPr>
          <w:rFonts w:ascii="Arial" w:cs="Arial" w:eastAsia="Arial" w:hAnsi="Arial"/>
          <w:sz w:val="22"/>
          <w:szCs w:val="22"/>
        </w:rPr>
        <w:t xml:space="preserve">Thank you for joining us today. Can you tell me about your lab's current sequencing setup?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Stakeholder: </w:t>
      </w:r>
      <w:r>
        <w:rPr>
          <w:rFonts w:ascii="Arial" w:cs="Arial" w:eastAsia="Arial" w:hAnsi="Arial"/>
          <w:sz w:val="22"/>
          <w:szCs w:val="22"/>
        </w:rPr>
        <w:t xml:space="preserve">We're running mostly Illumina. We have the NovaSeq 6000 and a couple of MiSeqs for smaller runs. We do a lot of oncology panels, solid tumor primarily.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DeciBio Moderator: </w:t>
      </w:r>
      <w:r>
        <w:rPr>
          <w:rFonts w:ascii="Arial" w:cs="Arial" w:eastAsia="Arial" w:hAnsi="Arial"/>
          <w:sz w:val="22"/>
          <w:szCs w:val="22"/>
        </w:rPr>
        <w:t xml:space="preserve">How do you handle reimbursement for these panels?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Stakeholder: </w:t>
      </w:r>
      <w:r>
        <w:rPr>
          <w:rFonts w:ascii="Arial" w:cs="Arial" w:eastAsia="Arial" w:hAnsi="Arial"/>
          <w:sz w:val="22"/>
          <w:szCs w:val="22"/>
        </w:rPr>
        <w:t xml:space="preserve">We bill under CPT 81445 for solid tumor and 81455 for the larger panels. United and Cigna both require prior auth now, which has been challenging.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</w:rPr>
        <w:t xml:space="preserve">INTERVIEW NOTES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Key Themes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Lab runs Illumina NovaSeq 6000 and MiSeq instruments for oncology panels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Prior authorization requirements from major payers are a significant operational burden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Notable Quotes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"United and Cigna both require prior auth now, which has been challenging." — Stakeholder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IVD Platform &amp; Competitive Landscape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Primary platform: Illumina NovaSeq 6000 for high-throughput runs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MiSeq used for smaller, lower-volume testing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Workflow &amp; Utilization Patterns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Focus on solid tumor oncology panels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Reimbursement &amp; Coding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CPT 81445 for solid tumor panels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CPT 81455 for larger panel configurations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Prior auth required by United and Cigna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Forward-Looking Signals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forward-looking signals captured in this excerpt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2026-03-26T18:16:55.541Z</dcterms:created>
  <dcterms:modified xsi:type="dcterms:W3CDTF">2026-03-26T18:16:55.542Z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