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475953"/>
          <w:sz w:val="36"/>
        </w:rPr>
        <w:t>⛰  Joint Journey</w:t>
      </w:r>
    </w:p>
    <w:p>
      <w:pPr>
        <w:jc w:val="left"/>
      </w:pPr>
      <w:r>
        <w:rPr>
          <w:b/>
          <w:color w:val="1F2D28"/>
          <w:sz w:val="28"/>
        </w:rPr>
        <w:t>Conflict of Interest Policy</w:t>
      </w:r>
    </w:p>
    <w:p>
      <w:pPr>
        <w:spacing w:before="0" w:after="240"/>
      </w:pPr>
      <w:r>
        <w:rPr>
          <w:color w:val="CCCCCC"/>
          <w:sz w:val="16"/>
        </w:rPr>
        <w:t>------------------------------------------------------------------------</w:t>
      </w:r>
    </w:p>
    <w:p>
      <w:r>
        <w:rPr>
          <w:b/>
        </w:rPr>
        <w:t xml:space="preserve">Version: </w:t>
      </w:r>
      <w:r>
        <w:t>0.1 (draft)</w:t>
      </w:r>
      <w:r>
        <w:rPr>
          <w:b/>
        </w:rPr>
        <w:t xml:space="preserve">    Date: </w:t>
      </w:r>
      <w:r>
        <w:t>[        ]</w:t>
      </w:r>
    </w:p>
    <w:p>
      <w:r>
        <w:t>Applies to: Clinical Advisory Board members, the founder, and anyone advising or working on Joint Journey.</w:t>
      </w:r>
    </w:p>
    <w:p>
      <w:pPr>
        <w:pStyle w:val="Heading2"/>
      </w:pPr>
      <w:r>
        <w:t>1. Purpose</w:t>
      </w:r>
    </w:p>
    <w:p>
      <w:r>
        <w:t>To identify, declare and manage any interests that could (or could appear to) improperly influence the advice given to, or decisions made by, Joint Journey.</w:t>
      </w:r>
    </w:p>
    <w:p>
      <w:pPr>
        <w:pStyle w:val="Heading2"/>
      </w:pPr>
      <w:r>
        <w:t>2. What is a conflict of interest?</w:t>
      </w:r>
    </w:p>
    <w:p>
      <w:r>
        <w:t>An interest that might affect, or be seen to affect, a person's objectivity. Types:</w:t>
      </w:r>
    </w:p>
    <w:p>
      <w:r>
        <w:rPr>
          <w:b/>
        </w:rPr>
        <w:t xml:space="preserve">Financial - </w:t>
      </w:r>
      <w:r>
        <w:t>payments, equity, shares, consultancy with competitors or suppliers.</w:t>
      </w:r>
    </w:p>
    <w:p>
      <w:r>
        <w:rPr>
          <w:b/>
        </w:rPr>
        <w:t xml:space="preserve">Non-financial / personal - </w:t>
      </w:r>
      <w:r>
        <w:t>friendships, family relationships, reputation.</w:t>
      </w:r>
    </w:p>
    <w:p>
      <w:r>
        <w:rPr>
          <w:b/>
        </w:rPr>
        <w:t xml:space="preserve">Loyalty / role - </w:t>
      </w:r>
      <w:r>
        <w:t>employment or office at an NHS organisation that may commission or buy the product; roles with competing products.</w:t>
      </w:r>
    </w:p>
    <w:p>
      <w:r>
        <w:rPr>
          <w:b/>
        </w:rPr>
        <w:t xml:space="preserve">Indirect - </w:t>
      </w:r>
      <w:r>
        <w:t>interests of a close family member or close associate.</w:t>
      </w:r>
    </w:p>
    <w:p>
      <w:pPr>
        <w:pStyle w:val="Heading2"/>
      </w:pPr>
      <w:r>
        <w:t>3. Examples relevant to us</w:t>
      </w:r>
    </w:p>
    <w:p>
      <w:pPr>
        <w:pStyle w:val="ListBullet"/>
      </w:pPr>
      <w:r>
        <w:t>An advisor employed by a trust that might pilot or purchase Joint Journey.</w:t>
      </w:r>
    </w:p>
    <w:p>
      <w:pPr>
        <w:pStyle w:val="ListBullet"/>
      </w:pPr>
      <w:r>
        <w:t>An advisor with shares in, or paid by, a competing prehab/physio product.</w:t>
      </w:r>
    </w:p>
    <w:p>
      <w:pPr>
        <w:pStyle w:val="ListBullet"/>
      </w:pPr>
      <w:r>
        <w:t>A personal friendship between the founder and an advisor (declare it - it does not bar the role, but should be on record).</w:t>
      </w:r>
    </w:p>
    <w:p>
      <w:pPr>
        <w:pStyle w:val="Heading2"/>
      </w:pPr>
      <w:r>
        <w:t>4. Duties</w:t>
      </w:r>
    </w:p>
    <w:p>
      <w:r>
        <w:t>Everyone covered by this policy must:</w:t>
      </w:r>
    </w:p>
    <w:p>
      <w:r>
        <w:rPr>
          <w:b/>
        </w:rPr>
        <w:t xml:space="preserve">1. </w:t>
      </w:r>
      <w:r>
        <w:t>Declare relevant interests on joining, using the Conflict of Interest Declaration Form.</w:t>
      </w:r>
    </w:p>
    <w:p>
      <w:r>
        <w:rPr>
          <w:b/>
        </w:rPr>
        <w:t xml:space="preserve">2. </w:t>
      </w:r>
      <w:r>
        <w:t>Update the declaration promptly when interests change.</w:t>
      </w:r>
    </w:p>
    <w:p>
      <w:r>
        <w:rPr>
          <w:b/>
        </w:rPr>
        <w:t xml:space="preserve">3. </w:t>
      </w:r>
      <w:r>
        <w:t>Disclose at the start of each meeting any interest relevant to the agenda.</w:t>
      </w:r>
    </w:p>
    <w:p>
      <w:r>
        <w:rPr>
          <w:b/>
        </w:rPr>
        <w:t xml:space="preserve">4. </w:t>
      </w:r>
      <w:r>
        <w:t>Step back from any decision where they have a material conflict (the minutes must record this).</w:t>
      </w:r>
    </w:p>
    <w:p>
      <w:pPr>
        <w:pStyle w:val="Heading2"/>
      </w:pPr>
      <w:r>
        <w:t>5. Managing a conflict</w:t>
      </w:r>
    </w:p>
    <w:p>
      <w:r>
        <w:t>Depending on severity, the Board may:</w:t>
      </w:r>
    </w:p>
    <w:p>
      <w:pPr>
        <w:pStyle w:val="ListBullet"/>
      </w:pPr>
      <w:r>
        <w:t>Record and note it (minor / declared only); or</w:t>
      </w:r>
    </w:p>
    <w:p>
      <w:pPr>
        <w:pStyle w:val="ListBullet"/>
      </w:pPr>
      <w:r>
        <w:t>Exclude the person from the relevant discussion/decision; or</w:t>
      </w:r>
    </w:p>
    <w:p>
      <w:pPr>
        <w:pStyle w:val="ListBullet"/>
      </w:pPr>
      <w:r>
        <w:t>Remove the relevant item from their remit; or</w:t>
      </w:r>
    </w:p>
    <w:p>
      <w:pPr>
        <w:pStyle w:val="ListBullet"/>
      </w:pPr>
      <w:r>
        <w:t>In serious cases, end the advisory relationship.</w:t>
      </w:r>
    </w:p>
    <w:p>
      <w:r>
        <w:t>The Chair decides how each conflict is managed and records it in the meeting minutes.</w:t>
      </w:r>
    </w:p>
    <w:p>
      <w:pPr>
        <w:pStyle w:val="Heading2"/>
      </w:pPr>
      <w:r>
        <w:t>6. Review</w:t>
      </w:r>
    </w:p>
    <w:p>
      <w:r>
        <w:t>This policy is reviewed annually and updated as the company and its NHS relationships develop.</w:t>
      </w:r>
    </w:p>
    <w:p/>
    <w:p>
      <w:r>
        <w:t>--------------------------------------------------</w:t>
      </w:r>
    </w:p>
    <w:p>
      <w:r>
        <w:rPr>
          <w:b/>
          <w:sz w:val="22"/>
        </w:rPr>
        <w:t xml:space="preserve">Approved by: </w:t>
      </w:r>
      <w:r>
        <w:t>______________________________</w:t>
      </w:r>
    </w:p>
    <w:p>
      <w:r>
        <w:rPr>
          <w:b/>
          <w:sz w:val="22"/>
        </w:rPr>
        <w:t xml:space="preserve">Date: </w:t>
      </w:r>
      <w:r>
        <w:t>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F2D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47595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759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7595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