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B5F175" w14:textId="77777777" w:rsidR="00920509" w:rsidRDefault="00000000">
      <w:r>
        <w:rPr>
          <w:color w:val="666666"/>
          <w:sz w:val="44"/>
        </w:rPr>
        <w:t>Joint</w:t>
      </w:r>
      <w:r>
        <w:rPr>
          <w:b/>
          <w:color w:val="475953"/>
          <w:sz w:val="44"/>
        </w:rPr>
        <w:t>Journey</w:t>
      </w:r>
    </w:p>
    <w:p w14:paraId="1DFCFE55" w14:textId="77777777" w:rsidR="00920509" w:rsidRDefault="00000000">
      <w:pPr>
        <w:pStyle w:val="Heading1"/>
      </w:pPr>
      <w:r>
        <w:rPr>
          <w:color w:val="475953"/>
          <w:sz w:val="36"/>
        </w:rPr>
        <w:t>Clinical Advisory Board</w:t>
      </w:r>
      <w:r>
        <w:rPr>
          <w:color w:val="475953"/>
          <w:sz w:val="36"/>
        </w:rPr>
        <w:br/>
        <w:t>Terms of Reference</w:t>
      </w:r>
    </w:p>
    <w:p w14:paraId="0DB5BAC7" w14:textId="77777777" w:rsidR="00920509" w:rsidRDefault="00000000">
      <w:r>
        <w:rPr>
          <w:i/>
          <w:color w:val="666666"/>
          <w:sz w:val="20"/>
        </w:rPr>
        <w:t>Version 0.1 (draft)  ·  Owner: Mr Benjamin Zucker, Founder &amp; CSO</w:t>
      </w:r>
    </w:p>
    <w:p w14:paraId="0FCB2B1A" w14:textId="77777777" w:rsidR="00920509" w:rsidRDefault="00000000">
      <w:pPr>
        <w:spacing w:after="240"/>
      </w:pPr>
      <w:r>
        <w:rPr>
          <w:color w:val="2F855A"/>
          <w:sz w:val="12"/>
        </w:rPr>
        <w:t>────────────────────────────────────────────────────────────────────────────────</w:t>
      </w:r>
    </w:p>
    <w:p w14:paraId="004150E0" w14:textId="77777777" w:rsidR="00920509" w:rsidRDefault="00000000">
      <w:pPr>
        <w:spacing w:before="120"/>
      </w:pPr>
      <w:r>
        <w:rPr>
          <w:i/>
          <w:color w:val="6B4A00"/>
          <w:sz w:val="20"/>
        </w:rPr>
        <w:t>⚠️  Working draft. Review with the board at its first meeting and adopt formally.</w:t>
      </w:r>
    </w:p>
    <w:p w14:paraId="64C85F57" w14:textId="77777777" w:rsidR="00920509" w:rsidRDefault="00000000">
      <w:pPr>
        <w:pStyle w:val="Heading2"/>
      </w:pPr>
      <w:r>
        <w:rPr>
          <w:color w:val="475953"/>
          <w:sz w:val="28"/>
        </w:rPr>
        <w:t>1. Purpose</w:t>
      </w:r>
    </w:p>
    <w:p w14:paraId="75FE6EC3" w14:textId="77777777" w:rsidR="00920509" w:rsidRDefault="00000000">
      <w:r>
        <w:t>The Clinical Advisory Board ("the Board") provides independent, multidisciplinary clinical input to Joint Journey, a digital prehabilitation programme for adults awaiting hip or knee replacement. The Board exists to:</w:t>
      </w:r>
    </w:p>
    <w:p w14:paraId="3CEC151E" w14:textId="77777777" w:rsidR="00920509" w:rsidRDefault="00000000">
      <w:pPr>
        <w:pStyle w:val="ListBullet"/>
      </w:pPr>
      <w:r>
        <w:rPr>
          <w:b/>
        </w:rPr>
        <w:t>Assure clinical content</w:t>
      </w:r>
      <w:r>
        <w:t xml:space="preserve"> — ensure the exercise, nutrition and mental-health/pain-preparation content is safe, evidence-based and appropriate.</w:t>
      </w:r>
    </w:p>
    <w:p w14:paraId="47F2F77D" w14:textId="77777777" w:rsidR="00920509" w:rsidRDefault="00000000">
      <w:pPr>
        <w:pStyle w:val="ListBullet"/>
      </w:pPr>
      <w:r>
        <w:rPr>
          <w:b/>
        </w:rPr>
        <w:t>Support clinical risk management</w:t>
      </w:r>
      <w:r>
        <w:t xml:space="preserve"> — contribute to hazard identification and mitigation (feeding the DCB0129 clinical safety case).</w:t>
      </w:r>
    </w:p>
    <w:p w14:paraId="4F0D5D36" w14:textId="77777777" w:rsidR="00920509" w:rsidRDefault="00000000">
      <w:pPr>
        <w:pStyle w:val="ListBullet"/>
      </w:pPr>
      <w:r>
        <w:rPr>
          <w:b/>
        </w:rPr>
        <w:t>Guide claims</w:t>
      </w:r>
      <w:r>
        <w:t xml:space="preserve"> — advise on what can and cannot be claimed for the product.</w:t>
      </w:r>
    </w:p>
    <w:p w14:paraId="4EBDC28C" w14:textId="77777777" w:rsidR="00920509" w:rsidRDefault="00000000">
      <w:pPr>
        <w:pStyle w:val="ListBullet"/>
      </w:pPr>
      <w:r>
        <w:rPr>
          <w:b/>
        </w:rPr>
        <w:t>Lend credibility</w:t>
      </w:r>
      <w:r>
        <w:t xml:space="preserve"> — provide named clinical oversight for users, NHS trusts and funders.</w:t>
      </w:r>
    </w:p>
    <w:p w14:paraId="60DD5E35" w14:textId="77777777" w:rsidR="00920509" w:rsidRDefault="00000000">
      <w:pPr>
        <w:spacing w:before="120"/>
      </w:pPr>
      <w:r>
        <w:rPr>
          <w:b/>
        </w:rPr>
        <w:t>The Board is advisory</w:t>
      </w:r>
      <w:r>
        <w:t xml:space="preserve">: it informs decisions but does not direct the company. Final decisions rest with the company/founder, except that </w:t>
      </w:r>
      <w:r>
        <w:rPr>
          <w:b/>
        </w:rPr>
        <w:t>clinical content must not be published without the relevant advisor's documented sign-off.</w:t>
      </w:r>
    </w:p>
    <w:p w14:paraId="2773FFEE" w14:textId="77777777" w:rsidR="00920509" w:rsidRDefault="00000000">
      <w:pPr>
        <w:pStyle w:val="Heading2"/>
      </w:pPr>
      <w:r>
        <w:rPr>
          <w:color w:val="475953"/>
          <w:sz w:val="28"/>
        </w:rPr>
        <w:t>2. Membership</w:t>
      </w:r>
    </w:p>
    <w:tbl>
      <w:tblPr>
        <w:tblStyle w:val="TableGrid"/>
        <w:tblW w:w="0" w:type="auto"/>
        <w:jc w:val="center"/>
        <w:tblLook w:val="04A0" w:firstRow="1" w:lastRow="0" w:firstColumn="1" w:lastColumn="0" w:noHBand="0" w:noVBand="1"/>
      </w:tblPr>
      <w:tblGrid>
        <w:gridCol w:w="2141"/>
        <w:gridCol w:w="4936"/>
        <w:gridCol w:w="2545"/>
      </w:tblGrid>
      <w:tr w:rsidR="00920509" w14:paraId="0B635E5B" w14:textId="77777777" w:rsidTr="00560F5A">
        <w:trPr>
          <w:jc w:val="center"/>
        </w:trPr>
        <w:tc>
          <w:tcPr>
            <w:tcW w:w="2141" w:type="dxa"/>
            <w:shd w:val="clear" w:color="auto" w:fill="475953"/>
          </w:tcPr>
          <w:p w14:paraId="282E1DC9" w14:textId="77777777" w:rsidR="00920509" w:rsidRDefault="00000000">
            <w:r>
              <w:rPr>
                <w:b/>
                <w:color w:val="FFFFFF"/>
                <w:sz w:val="20"/>
              </w:rPr>
              <w:t>Seat</w:t>
            </w:r>
          </w:p>
        </w:tc>
        <w:tc>
          <w:tcPr>
            <w:tcW w:w="4936" w:type="dxa"/>
            <w:shd w:val="clear" w:color="auto" w:fill="475953"/>
          </w:tcPr>
          <w:p w14:paraId="0C397713" w14:textId="77777777" w:rsidR="00920509" w:rsidRDefault="00000000">
            <w:r>
              <w:rPr>
                <w:b/>
                <w:color w:val="FFFFFF"/>
                <w:sz w:val="20"/>
              </w:rPr>
              <w:t>Discipline</w:t>
            </w:r>
          </w:p>
        </w:tc>
        <w:tc>
          <w:tcPr>
            <w:tcW w:w="2545" w:type="dxa"/>
            <w:shd w:val="clear" w:color="auto" w:fill="475953"/>
          </w:tcPr>
          <w:p w14:paraId="1399B938" w14:textId="77777777" w:rsidR="00920509" w:rsidRDefault="00000000">
            <w:r>
              <w:rPr>
                <w:b/>
                <w:color w:val="FFFFFF"/>
                <w:sz w:val="20"/>
              </w:rPr>
              <w:t>Holder</w:t>
            </w:r>
          </w:p>
        </w:tc>
      </w:tr>
      <w:tr w:rsidR="00920509" w14:paraId="2296405C" w14:textId="77777777" w:rsidTr="00560F5A">
        <w:trPr>
          <w:jc w:val="center"/>
        </w:trPr>
        <w:tc>
          <w:tcPr>
            <w:tcW w:w="2141" w:type="dxa"/>
          </w:tcPr>
          <w:p w14:paraId="7E2787B2" w14:textId="77777777" w:rsidR="00920509" w:rsidRDefault="00000000">
            <w:r>
              <w:rPr>
                <w:sz w:val="20"/>
              </w:rPr>
              <w:t>Chair</w:t>
            </w:r>
          </w:p>
        </w:tc>
        <w:tc>
          <w:tcPr>
            <w:tcW w:w="4936" w:type="dxa"/>
          </w:tcPr>
          <w:p w14:paraId="4D8DB22C" w14:textId="77777777" w:rsidR="00920509" w:rsidRDefault="00000000">
            <w:r>
              <w:rPr>
                <w:sz w:val="20"/>
              </w:rPr>
              <w:t>Founder / surgical oversight (orthopaedics)</w:t>
            </w:r>
          </w:p>
        </w:tc>
        <w:tc>
          <w:tcPr>
            <w:tcW w:w="2545" w:type="dxa"/>
          </w:tcPr>
          <w:p w14:paraId="4FF91B39" w14:textId="77777777" w:rsidR="00920509" w:rsidRDefault="00000000">
            <w:r>
              <w:rPr>
                <w:sz w:val="20"/>
              </w:rPr>
              <w:t>Mr Benjamin Zucker</w:t>
            </w:r>
          </w:p>
        </w:tc>
      </w:tr>
      <w:tr w:rsidR="00920509" w14:paraId="10A19419" w14:textId="77777777" w:rsidTr="00560F5A">
        <w:trPr>
          <w:jc w:val="center"/>
        </w:trPr>
        <w:tc>
          <w:tcPr>
            <w:tcW w:w="2141" w:type="dxa"/>
            <w:shd w:val="clear" w:color="auto" w:fill="EEF3EC"/>
          </w:tcPr>
          <w:p w14:paraId="792FDD6A" w14:textId="77777777" w:rsidR="00920509" w:rsidRDefault="00000000">
            <w:r>
              <w:rPr>
                <w:sz w:val="20"/>
              </w:rPr>
              <w:t>Member</w:t>
            </w:r>
          </w:p>
        </w:tc>
        <w:tc>
          <w:tcPr>
            <w:tcW w:w="4936" w:type="dxa"/>
            <w:shd w:val="clear" w:color="auto" w:fill="EEF3EC"/>
          </w:tcPr>
          <w:p w14:paraId="3C4E1D1A" w14:textId="77777777" w:rsidR="00920509" w:rsidRDefault="00000000">
            <w:r>
              <w:rPr>
                <w:sz w:val="20"/>
              </w:rPr>
              <w:t>MSK / orthopaedic Physiotherapist (HCPC)</w:t>
            </w:r>
          </w:p>
        </w:tc>
        <w:tc>
          <w:tcPr>
            <w:tcW w:w="2545" w:type="dxa"/>
            <w:shd w:val="clear" w:color="auto" w:fill="EEF3EC"/>
          </w:tcPr>
          <w:p w14:paraId="1BBF3003" w14:textId="77777777" w:rsidR="00920509" w:rsidRDefault="00920509"/>
        </w:tc>
      </w:tr>
      <w:tr w:rsidR="00920509" w14:paraId="0FB8CEE7" w14:textId="77777777" w:rsidTr="00560F5A">
        <w:trPr>
          <w:jc w:val="center"/>
        </w:trPr>
        <w:tc>
          <w:tcPr>
            <w:tcW w:w="2141" w:type="dxa"/>
          </w:tcPr>
          <w:p w14:paraId="21BB2E9E" w14:textId="77777777" w:rsidR="00920509" w:rsidRDefault="00000000">
            <w:r>
              <w:rPr>
                <w:sz w:val="20"/>
              </w:rPr>
              <w:t>Member</w:t>
            </w:r>
          </w:p>
        </w:tc>
        <w:tc>
          <w:tcPr>
            <w:tcW w:w="4936" w:type="dxa"/>
          </w:tcPr>
          <w:p w14:paraId="24F82B55" w14:textId="77777777" w:rsidR="00920509" w:rsidRDefault="00000000">
            <w:r>
              <w:rPr>
                <w:sz w:val="20"/>
              </w:rPr>
              <w:t>Clinical / Health Psychologist (HCPC) or CBT therapist (BABCP)</w:t>
            </w:r>
          </w:p>
        </w:tc>
        <w:tc>
          <w:tcPr>
            <w:tcW w:w="2545" w:type="dxa"/>
          </w:tcPr>
          <w:p w14:paraId="5FA31DBD" w14:textId="77777777" w:rsidR="00920509" w:rsidRDefault="00920509"/>
        </w:tc>
      </w:tr>
      <w:tr w:rsidR="00560F5A" w14:paraId="7E242E5C" w14:textId="77777777" w:rsidTr="00560F5A">
        <w:trPr>
          <w:jc w:val="center"/>
        </w:trPr>
        <w:tc>
          <w:tcPr>
            <w:tcW w:w="2141" w:type="dxa"/>
            <w:shd w:val="clear" w:color="auto" w:fill="EEF3EC"/>
          </w:tcPr>
          <w:p w14:paraId="3FE63555" w14:textId="74093B9F" w:rsidR="00560F5A" w:rsidRDefault="00560F5A">
            <w:r>
              <w:rPr>
                <w:sz w:val="20"/>
              </w:rPr>
              <w:t>Member</w:t>
            </w:r>
          </w:p>
        </w:tc>
        <w:tc>
          <w:tcPr>
            <w:tcW w:w="4936" w:type="dxa"/>
            <w:shd w:val="clear" w:color="auto" w:fill="EEF3EC"/>
          </w:tcPr>
          <w:p w14:paraId="7D98C74E" w14:textId="5B630123" w:rsidR="00560F5A" w:rsidRDefault="00560F5A">
            <w:r>
              <w:rPr>
                <w:sz w:val="20"/>
              </w:rPr>
              <w:t>Consultant Orthopaedic Surgeon</w:t>
            </w:r>
          </w:p>
        </w:tc>
        <w:tc>
          <w:tcPr>
            <w:tcW w:w="2545" w:type="dxa"/>
            <w:shd w:val="clear" w:color="auto" w:fill="EEF3EC"/>
          </w:tcPr>
          <w:p w14:paraId="6922FBD6" w14:textId="77777777" w:rsidR="00560F5A" w:rsidRDefault="00560F5A"/>
        </w:tc>
      </w:tr>
    </w:tbl>
    <w:p w14:paraId="1BB445A3" w14:textId="77777777" w:rsidR="00920509" w:rsidRDefault="00920509"/>
    <w:p w14:paraId="6DE02BEB" w14:textId="77777777" w:rsidR="00920509" w:rsidRDefault="00000000">
      <w:pPr>
        <w:pStyle w:val="ListBullet"/>
      </w:pPr>
      <w:r>
        <w:t>All clinical members must hold current professional registration (HCPC/GMC/BABCP).</w:t>
      </w:r>
    </w:p>
    <w:p w14:paraId="4C01CEEE" w14:textId="77777777" w:rsidR="00920509" w:rsidRDefault="00000000">
      <w:pPr>
        <w:pStyle w:val="ListBullet"/>
      </w:pPr>
      <w:r>
        <w:t>Members serve a renewable term of 2 years.</w:t>
      </w:r>
    </w:p>
    <w:p w14:paraId="7C6C6456" w14:textId="77777777" w:rsidR="00920509" w:rsidRDefault="00000000">
      <w:pPr>
        <w:pStyle w:val="ListBullet"/>
      </w:pPr>
      <w:r>
        <w:t>The Clinical Safety Officer (CSO) for the product is Mr Benjamin Zucker. The Board supports, but does not replace, the CSO.</w:t>
      </w:r>
    </w:p>
    <w:p w14:paraId="65523C50" w14:textId="77777777" w:rsidR="00920509" w:rsidRDefault="00000000">
      <w:pPr>
        <w:pStyle w:val="Heading2"/>
      </w:pPr>
      <w:r>
        <w:rPr>
          <w:color w:val="475953"/>
          <w:sz w:val="28"/>
        </w:rPr>
        <w:t>3. Roles &amp; Responsibilities</w:t>
      </w:r>
    </w:p>
    <w:p w14:paraId="1EE0B9AF" w14:textId="77777777" w:rsidR="00920509" w:rsidRDefault="00000000">
      <w:r>
        <w:rPr>
          <w:b/>
        </w:rPr>
        <w:t>Members will:</w:t>
      </w:r>
    </w:p>
    <w:p w14:paraId="2E402247" w14:textId="77777777" w:rsidR="00920509" w:rsidRDefault="00000000">
      <w:pPr>
        <w:pStyle w:val="ListBullet"/>
      </w:pPr>
      <w:r>
        <w:lastRenderedPageBreak/>
        <w:t>Review the content for their pillar (initial and on material change) and record sign-off in the Content Review and Sign-off Log.</w:t>
      </w:r>
    </w:p>
    <w:p w14:paraId="6D6FBE01" w14:textId="77777777" w:rsidR="00920509" w:rsidRDefault="00000000">
      <w:pPr>
        <w:pStyle w:val="ListBullet"/>
      </w:pPr>
      <w:r>
        <w:t>Help identify hazards and mitigations in their domain (Hazard Log).</w:t>
      </w:r>
    </w:p>
    <w:p w14:paraId="72D91FC0" w14:textId="77777777" w:rsidR="00920509" w:rsidRDefault="00000000">
      <w:pPr>
        <w:pStyle w:val="ListBullet"/>
      </w:pPr>
      <w:r>
        <w:t>Declare conflicts of interest (CoI Register).</w:t>
      </w:r>
    </w:p>
    <w:p w14:paraId="0EA3FE77" w14:textId="77777777" w:rsidR="00920509" w:rsidRDefault="00000000">
      <w:pPr>
        <w:pStyle w:val="ListBullet"/>
      </w:pPr>
      <w:r>
        <w:t>Attend meetings (or send comments) and act within their professional scope.</w:t>
      </w:r>
    </w:p>
    <w:p w14:paraId="4465DC7E" w14:textId="77777777" w:rsidR="00920509" w:rsidRDefault="00000000">
      <w:r>
        <w:rPr>
          <w:b/>
        </w:rPr>
        <w:t>Members will NOT:</w:t>
      </w:r>
    </w:p>
    <w:p w14:paraId="12C8AFA2" w14:textId="77777777" w:rsidR="00920509" w:rsidRDefault="00000000">
      <w:pPr>
        <w:pStyle w:val="ListBullet"/>
      </w:pPr>
      <w:r>
        <w:t>Take responsibility for company decisions or operations.</w:t>
      </w:r>
    </w:p>
    <w:p w14:paraId="380695DF" w14:textId="77777777" w:rsidR="00920509" w:rsidRDefault="00000000">
      <w:pPr>
        <w:pStyle w:val="ListBullet"/>
      </w:pPr>
      <w:r>
        <w:t>Provide individual clinical care to users through this role.</w:t>
      </w:r>
    </w:p>
    <w:p w14:paraId="6FB05271" w14:textId="77777777" w:rsidR="00920509" w:rsidRDefault="00000000">
      <w:pPr>
        <w:pStyle w:val="Heading2"/>
      </w:pPr>
      <w:r>
        <w:rPr>
          <w:color w:val="475953"/>
          <w:sz w:val="28"/>
        </w:rPr>
        <w:t>4. Independence &amp; Conflicts of Interest</w:t>
      </w:r>
    </w:p>
    <w:p w14:paraId="5A57AF5C" w14:textId="77777777" w:rsidR="00920509" w:rsidRDefault="00000000">
      <w:r>
        <w:t>Members should be independent of any NHS organisation that may later commission or purchase Joint Journey, to avoid procurement conflicts. Where a member has such a connection, it must be declared and managed (see CoI Policy).</w:t>
      </w:r>
    </w:p>
    <w:p w14:paraId="70EF556E" w14:textId="77777777" w:rsidR="00920509" w:rsidRDefault="00000000">
      <w:r>
        <w:t>Conflicts are declared on joining, recorded in the register, and revisited at every meeting.</w:t>
      </w:r>
    </w:p>
    <w:p w14:paraId="28AD4437" w14:textId="77777777" w:rsidR="00920509" w:rsidRDefault="00000000">
      <w:pPr>
        <w:pStyle w:val="Heading2"/>
      </w:pPr>
      <w:r>
        <w:rPr>
          <w:color w:val="475953"/>
          <w:sz w:val="28"/>
        </w:rPr>
        <w:t>5. Meetings</w:t>
      </w:r>
    </w:p>
    <w:p w14:paraId="1A1EB0FF" w14:textId="77777777" w:rsidR="00920509" w:rsidRDefault="00000000">
      <w:pPr>
        <w:pStyle w:val="ListBullet"/>
      </w:pPr>
      <w:r>
        <w:rPr>
          <w:b/>
        </w:rPr>
        <w:t>Frequency:</w:t>
      </w:r>
      <w:r>
        <w:t xml:space="preserve"> Quarterly (≈4/year), plus async reviews as content is developed.</w:t>
      </w:r>
    </w:p>
    <w:p w14:paraId="2678F743" w14:textId="77777777" w:rsidR="00920509" w:rsidRDefault="00000000">
      <w:pPr>
        <w:pStyle w:val="ListBullet"/>
      </w:pPr>
      <w:r>
        <w:rPr>
          <w:b/>
        </w:rPr>
        <w:t>Quorum:</w:t>
      </w:r>
      <w:r>
        <w:t xml:space="preserve"> The Chair plus at least 2 members; the relevant pillar's advisor must be present (or have commented) for any decision on that pillar.</w:t>
      </w:r>
    </w:p>
    <w:p w14:paraId="09B289E7" w14:textId="77777777" w:rsidR="00920509" w:rsidRDefault="00000000">
      <w:pPr>
        <w:pStyle w:val="ListBullet"/>
      </w:pPr>
      <w:r>
        <w:rPr>
          <w:b/>
        </w:rPr>
        <w:t>Minutes:</w:t>
      </w:r>
      <w:r>
        <w:t xml:space="preserve"> Taken for every meeting, recording attendance, decisions, sign-offs, actions and declared interests.</w:t>
      </w:r>
    </w:p>
    <w:p w14:paraId="21611E1D" w14:textId="77777777" w:rsidR="00920509" w:rsidRDefault="00000000">
      <w:pPr>
        <w:pStyle w:val="ListBullet"/>
      </w:pPr>
      <w:r>
        <w:rPr>
          <w:b/>
        </w:rPr>
        <w:t>Decisions:</w:t>
      </w:r>
      <w:r>
        <w:t xml:space="preserve"> By consensus; the Chair holds a casting view on non-clinical matters. Clinical content sign-off rests with the relevant registered advisor.</w:t>
      </w:r>
    </w:p>
    <w:p w14:paraId="25CD050B" w14:textId="77777777" w:rsidR="00920509" w:rsidRDefault="00000000">
      <w:pPr>
        <w:pStyle w:val="Heading2"/>
      </w:pPr>
      <w:r>
        <w:rPr>
          <w:color w:val="475953"/>
          <w:sz w:val="28"/>
        </w:rPr>
        <w:t>6. Compensation</w:t>
      </w:r>
    </w:p>
    <w:p w14:paraId="45474DEA" w14:textId="77777777" w:rsidR="00920509" w:rsidRDefault="00000000">
      <w:r>
        <w:t>As set out in each member's Advisor Agreement. Default approach: honoraria and/or pro-bono initially; equity (FAST-style vesting) once the company is incorporated. Confirm per member.</w:t>
      </w:r>
    </w:p>
    <w:p w14:paraId="5B84D875" w14:textId="77777777" w:rsidR="00920509" w:rsidRDefault="00000000">
      <w:pPr>
        <w:pStyle w:val="Heading2"/>
      </w:pPr>
      <w:r>
        <w:rPr>
          <w:color w:val="475953"/>
          <w:sz w:val="28"/>
        </w:rPr>
        <w:t>7. Confidentiality &amp; IP</w:t>
      </w:r>
    </w:p>
    <w:p w14:paraId="1270E12A" w14:textId="77777777" w:rsidR="00920509" w:rsidRDefault="00000000">
      <w:pPr>
        <w:pStyle w:val="ListBullet"/>
      </w:pPr>
      <w:r>
        <w:t>Members keep company information confidential (see Advisor Agreement).</w:t>
      </w:r>
    </w:p>
    <w:p w14:paraId="0F7AC7E0" w14:textId="77777777" w:rsidR="00920509" w:rsidRDefault="00000000">
      <w:pPr>
        <w:pStyle w:val="ListBullet"/>
      </w:pPr>
      <w:r>
        <w:t>Intellectual property in content/advice created for the company is assigned to the company (see Advisor Agreement).</w:t>
      </w:r>
    </w:p>
    <w:p w14:paraId="74529804" w14:textId="77777777" w:rsidR="00920509" w:rsidRDefault="00000000">
      <w:pPr>
        <w:pStyle w:val="Heading2"/>
      </w:pPr>
      <w:r>
        <w:rPr>
          <w:color w:val="475953"/>
          <w:sz w:val="28"/>
        </w:rPr>
        <w:t>8. Indemnity &amp; Responsibility</w:t>
      </w:r>
    </w:p>
    <w:p w14:paraId="1F9EC1C6" w14:textId="77777777" w:rsidR="00920509" w:rsidRDefault="00000000">
      <w:r>
        <w:t>Members provide advice in good faith within their professional competence. The company (via the CSO) holds responsibility for the product and its deployment. Members should confirm their advisory activity is covered by their professional indemnity, or rely on the company's arrangements as agreed.</w:t>
      </w:r>
    </w:p>
    <w:p w14:paraId="287C8732" w14:textId="77777777" w:rsidR="00920509" w:rsidRDefault="00000000">
      <w:pPr>
        <w:pStyle w:val="Heading2"/>
      </w:pPr>
      <w:r>
        <w:rPr>
          <w:color w:val="475953"/>
          <w:sz w:val="28"/>
        </w:rPr>
        <w:t>9. Review</w:t>
      </w:r>
    </w:p>
    <w:p w14:paraId="4C5B60D4" w14:textId="77777777" w:rsidR="00920509" w:rsidRDefault="00000000">
      <w:r>
        <w:t>This Terms of Reference is reviewed annually and updated as the product and regulatory position evolve (e.g. at MHRA/medical-device decision points).</w:t>
      </w:r>
    </w:p>
    <w:p w14:paraId="689E92C9" w14:textId="71DBFFE0" w:rsidR="00920509" w:rsidRDefault="00556745">
      <w:r>
        <w:rPr>
          <w:noProof/>
        </w:rPr>
        <mc:AlternateContent>
          <mc:Choice Requires="wpi">
            <w:drawing>
              <wp:anchor distT="0" distB="0" distL="114300" distR="114300" simplePos="0" relativeHeight="251662336" behindDoc="0" locked="0" layoutInCell="1" allowOverlap="1" wp14:anchorId="1FF421B3" wp14:editId="315316BE">
                <wp:simplePos x="0" y="0"/>
                <wp:positionH relativeFrom="column">
                  <wp:posOffset>-252220</wp:posOffset>
                </wp:positionH>
                <wp:positionV relativeFrom="paragraph">
                  <wp:posOffset>1111945</wp:posOffset>
                </wp:positionV>
                <wp:extent cx="360" cy="360"/>
                <wp:effectExtent l="38100" t="38100" r="38100" b="38100"/>
                <wp:wrapNone/>
                <wp:docPr id="1721343768" name="Ink 8"/>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66FE964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20.55pt;margin-top:86.85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">
                <v:imagedata r:id="rId7" o:title=""/>
              </v:shape>
            </w:pict>
          </mc:Fallback>
        </mc:AlternateContent>
      </w:r>
    </w:p>
    <w:p w14:paraId="267206D5" w14:textId="164186AF" w:rsidR="00920509" w:rsidRDefault="00556745">
      <w:r>
        <w:rPr>
          <w:noProof/>
          <w:color w:val="2F855A"/>
          <w:sz w:val="12"/>
        </w:rPr>
        <w:lastRenderedPageBreak/>
        <mc:AlternateContent>
          <mc:Choice Requires="wpi">
            <w:drawing>
              <wp:anchor distT="0" distB="0" distL="114300" distR="114300" simplePos="0" relativeHeight="251663360" behindDoc="0" locked="0" layoutInCell="1" allowOverlap="1" wp14:anchorId="6AD8B114" wp14:editId="3E6475CC">
                <wp:simplePos x="0" y="0"/>
                <wp:positionH relativeFrom="column">
                  <wp:posOffset>-214060</wp:posOffset>
                </wp:positionH>
                <wp:positionV relativeFrom="paragraph">
                  <wp:posOffset>13756</wp:posOffset>
                </wp:positionV>
                <wp:extent cx="360" cy="360"/>
                <wp:effectExtent l="38100" t="38100" r="38100" b="38100"/>
                <wp:wrapNone/>
                <wp:docPr id="677148341" name="Ink 9"/>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76B130FF" id="Ink 9" o:spid="_x0000_s1026" type="#_x0000_t75" style="position:absolute;margin-left:-17.55pt;margin-top:.4pt;width:1.45pt;height:1.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">
                <v:imagedata r:id="rId7" o:title=""/>
              </v:shape>
            </w:pict>
          </mc:Fallback>
        </mc:AlternateContent>
      </w:r>
      <w:r w:rsidR="00000000">
        <w:rPr>
          <w:color w:val="2F855A"/>
          <w:sz w:val="12"/>
        </w:rPr>
        <w:t>────────────────────────────────────────────────────────────────────────────────</w:t>
      </w:r>
    </w:p>
    <w:p w14:paraId="7F7CDCBC" w14:textId="67F23892" w:rsidR="00920509" w:rsidRDefault="00000000">
      <w:r>
        <w:rPr>
          <w:b/>
        </w:rPr>
        <w:t xml:space="preserve">Adopted by the Board on: </w:t>
      </w:r>
      <w:r w:rsidR="00556745">
        <w:t>10/08/2026</w:t>
      </w:r>
    </w:p>
    <w:p w14:paraId="742D23CF" w14:textId="29F23972" w:rsidR="00920509" w:rsidRDefault="00000000">
      <w:r>
        <w:rPr>
          <w:b/>
        </w:rPr>
        <w:t xml:space="preserve">Chair signature: </w:t>
      </w:r>
    </w:p>
    <w:p w14:paraId="7D5D781D" w14:textId="5A1321D9" w:rsidR="00556745" w:rsidRDefault="00556745">
      <w:pPr>
        <w:rPr>
          <w:b/>
        </w:rPr>
      </w:pPr>
    </w:p>
    <w:p w14:paraId="79BB28D6" w14:textId="4C92956B" w:rsidR="00556745" w:rsidRDefault="00556745">
      <w:pPr>
        <w:rPr>
          <w:b/>
        </w:rPr>
      </w:pPr>
      <w:r>
        <w:rPr>
          <w:b/>
          <w:noProof/>
        </w:rPr>
        <mc:AlternateContent>
          <mc:Choice Requires="wpi">
            <w:drawing>
              <wp:anchor distT="0" distB="0" distL="114300" distR="114300" simplePos="0" relativeHeight="251661312" behindDoc="0" locked="0" layoutInCell="1" allowOverlap="1" wp14:anchorId="32EDCCBB" wp14:editId="16A4E112">
                <wp:simplePos x="0" y="0"/>
                <wp:positionH relativeFrom="column">
                  <wp:posOffset>-119136</wp:posOffset>
                </wp:positionH>
                <wp:positionV relativeFrom="paragraph">
                  <wp:posOffset>-250043</wp:posOffset>
                </wp:positionV>
                <wp:extent cx="1113790" cy="685165"/>
                <wp:effectExtent l="38100" t="38100" r="0" b="38735"/>
                <wp:wrapNone/>
                <wp:docPr id="119180152" name="Ink 7"/>
                <wp:cNvGraphicFramePr/>
                <a:graphic xmlns:a="http://schemas.openxmlformats.org/drawingml/2006/main">
                  <a:graphicData uri="http://schemas.microsoft.com/office/word/2010/wordprocessingInk">
                    <w14:contentPart bwMode="auto" r:id="rId9">
                      <w14:nvContentPartPr>
                        <w14:cNvContentPartPr/>
                      </w14:nvContentPartPr>
                      <w14:xfrm>
                        <a:off x="0" y="0"/>
                        <a:ext cx="1113790" cy="685165"/>
                      </w14:xfrm>
                    </w14:contentPart>
                  </a:graphicData>
                </a:graphic>
              </wp:anchor>
            </w:drawing>
          </mc:Choice>
          <mc:Fallback>
            <w:pict>
              <v:shape w14:anchorId="188CEB76" id="Ink 7" o:spid="_x0000_s1026" type="#_x0000_t75" style="position:absolute;margin-left:-10.1pt;margin-top:-20.4pt;width:89.1pt;height:55.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">
                <v:imagedata r:id="rId10" o:title=""/>
              </v:shape>
            </w:pict>
          </mc:Fallback>
        </mc:AlternateContent>
      </w:r>
    </w:p>
    <w:p w14:paraId="44628125" w14:textId="77777777" w:rsidR="00556745" w:rsidRDefault="00556745">
      <w:pPr>
        <w:rPr>
          <w:b/>
        </w:rPr>
      </w:pPr>
    </w:p>
    <w:p w14:paraId="56302C21" w14:textId="77777777" w:rsidR="00556745" w:rsidRDefault="00556745">
      <w:pPr>
        <w:rPr>
          <w:b/>
        </w:rPr>
      </w:pPr>
    </w:p>
    <w:p w14:paraId="445BFBB4" w14:textId="77777777" w:rsidR="00556745" w:rsidRDefault="00000000" w:rsidP="00556745">
      <w:r>
        <w:rPr>
          <w:b/>
        </w:rPr>
        <w:t xml:space="preserve">Date: </w:t>
      </w:r>
      <w:r w:rsidR="00556745">
        <w:t>10/08/2026</w:t>
      </w:r>
    </w:p>
    <w:p w14:paraId="02C3C4A6" w14:textId="17D401B5" w:rsidR="00920509" w:rsidRDefault="00920509"/>
    <w:sectPr w:rsidR="00920509"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007680">
    <w:abstractNumId w:val="8"/>
  </w:num>
  <w:num w:numId="2" w16cid:durableId="1193609674">
    <w:abstractNumId w:val="6"/>
  </w:num>
  <w:num w:numId="3" w16cid:durableId="467823022">
    <w:abstractNumId w:val="5"/>
  </w:num>
  <w:num w:numId="4" w16cid:durableId="1592008563">
    <w:abstractNumId w:val="4"/>
  </w:num>
  <w:num w:numId="5" w16cid:durableId="1037200274">
    <w:abstractNumId w:val="7"/>
  </w:num>
  <w:num w:numId="6" w16cid:durableId="1886599047">
    <w:abstractNumId w:val="3"/>
  </w:num>
  <w:num w:numId="7" w16cid:durableId="170074926">
    <w:abstractNumId w:val="2"/>
  </w:num>
  <w:num w:numId="8" w16cid:durableId="2105221706">
    <w:abstractNumId w:val="1"/>
  </w:num>
  <w:num w:numId="9" w16cid:durableId="10861534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6745"/>
    <w:rsid w:val="00560F5A"/>
    <w:rsid w:val="00633251"/>
    <w:rsid w:val="009205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29E2E0"/>
  <w14:defaultImageDpi w14:val="300"/>
  <w15:docId w15:val="{5784628D-EFD8-904B-B39B-B3C811F87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1T20:36:54.919"/>
    </inkml:context>
    <inkml:brush xml:id="br0">
      <inkml:brushProperty name="width" value="0.05" units="cm"/>
      <inkml:brushProperty name="height" value="0.05" units="cm"/>
    </inkml:brush>
  </inkml:definitions>
  <inkml:trace contextRef="#ctx0" brushRef="#br0">0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1T20:36:55.680"/>
    </inkml:context>
    <inkml:brush xml:id="br0">
      <inkml:brushProperty name="width" value="0.05" units="cm"/>
      <inkml:brushProperty name="height" value="0.05" units="cm"/>
    </inkml:brush>
  </inkml:definitions>
  <inkml:trace contextRef="#ctx0" brushRef="#br0">0 0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1T20:36:52.545"/>
    </inkml:context>
    <inkml:brush xml:id="br0">
      <inkml:brushProperty name="width" value="0.05" units="cm"/>
      <inkml:brushProperty name="height" value="0.05" units="cm"/>
    </inkml:brush>
  </inkml:definitions>
  <inkml:trace contextRef="#ctx0" brushRef="#br0">959 0 24575,'0'68'0,"0"9"0,0-21 0,0 3 0,0-9 0,0 0 0,0 10 0,0-2 0,0 28 0,0-19 0,0-4 0,0-5 0,0-6 0,0 1 0,0-1 0,0 32 0,0-34 0,0 21 0,0-43 0,0 4 0,0-10 0,0 14 0,0-22 0,0 8 0,0-4 0,0 0 0,0 13 0,0-4 0,0 3 0,2 1 0,0 0 0,1-1 0,-1-3 0,-2-3 0,1-5 0,-1-4 0,0-3 0,1-5 0,2-4 0,-1-9 0,0-12 0,-2-13 0,0-9 0,0-8 0,0-6 0,0-9 0,0-3 0,0-1 0,-2 6 0,-1 5 0,0-1 0,0-2 0,1-2 0,2 1 0,-1 3 0,1 4 0,2 2 0,3 7 0,4 0 0,4 5 0,5-6 0,-2 14 0,8-7 0,2 12 0,-2 5 0,9 2 0,-9 10 0,5 3 0,-1 3 0,2 0 0,1 3 0,0 0 0,-3 2 0,1 6 0,1 5 0,5 9 0,3 3 0,-2 3 0,-4-1 0,-7 0 0,-4 2 0,-7 3 0,-5 1 0,-6 3 0,-13-6 0,-12-5 0,-16-1 0,-34 4 0,-11-3 0,10-1 0,7-10 0,36-8 0,4-3 0,8-3 0,6 0 0,4-3 0,10-5 0,16-9 0,19-7 0,9 1 0,11 1 0,10 6 0,-1 6 0,26 3 0,-28 4 0,10 5 0,-21 13 0,-1 11 0,-5 14 0,-9 9 0,-13 2 0,-5 7 0,-9 10 0,-4-2 0,-4 6 0,-18-3 0,-12-12 0,-20 3 0,-17-12 0,-15 3-416,32-25-1,-3-2 417,-6-2 0,-2-3 0,-6-1 0,-2-2-786,-6-3 1,-2-3 785,-5-2 0,-1-1 0,-4-1 0,-1-2 0,1-3 0,0-4 0,7-4 0,2-5 0,0-8 0,4-4-314,17 1 1,4-2 313,-2-8 0,5-2 0,-14-23-189,8-7 189,12-6 0,12-5 0,12-3 0,7-2 0,16 7 0,19 3 0,27-1 0,-14 35 0,3 3 366,2 1 0,2 2-366,4 0 0,1 2 0,4 1 0,2 2-155,4 1 1,1 1 154,7-3 0,1 2 0,4 0 0,-1 2-315,-6 3 1,1 1 314,3 1 0,1 1 0,0 2 0,-2 0 0,-8 2 0,-1 1 0,-1 0 0,-2 0 186,35-6-186,-13 7 0,15-1 0,-31 7 0,1 0 0,-34 5 1826,-4 0-1826,-14 2 1414,-20 11-1414,-29 19 0,-36 25 0,22-16 0,-2 3-381,-1-1 1,-5 5 380,-11 10 0,-7 7 0,5-2-1107,22-18 1,2-1 0,-3 3 1106,-5 4 0,-5 5 0,0 0 0,6-2 0,2 1 0,5-2 0,0-1-574,1 1 0,0-1 0,2-1 574,-17 23 0,3-2 0,7-9 0,4-2-238,9-11 0,3-2 238,3-4 0,2-3 548,-12 18-548,15-17 2986,12-15-2986,8-12 2080,15-6-2080,17-5 0,19-2 0,24-5 0,22-7 115,-35 0 1,2-2-116,5-4 0,5-3-336,-3 0 0,5-2 1,2-2 335,11-9 0,3-3 0,-1 1-929,-7 6 0,-1 2 1,0-3 928,7-6 0,1-1 0,-6 2 0,1 3 0,-2 4-907,11-2 0,2 3 907,1 3 0,0 4 0,2 2 0,1 4 0,-4 3 0,-1 3-199,-14 1 0,-3 1 199,-11 2 0,-3 2 743,33 0-743,-22 1 2533,-13 0-2533,-14 0 0,-24 0 0,-7 0 0</inkml:trace>
  <inkml:trace contextRef="#ctx0" brushRef="#br0" timeOffset="1266">2196 960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 Zucker</cp:lastModifiedBy>
  <cp:revision>3</cp:revision>
  <dcterms:created xsi:type="dcterms:W3CDTF">2013-12-23T23:15:00Z</dcterms:created>
  <dcterms:modified xsi:type="dcterms:W3CDTF">2026-08-11T20:37:00Z</dcterms:modified>
  <cp:category/>
</cp:coreProperties>
</file>