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3vprh4v66dx" w:id="0"/>
      <w:bookmarkEnd w:id="0"/>
      <w:r w:rsidDel="00000000" w:rsidR="00000000" w:rsidRPr="00000000">
        <w:rPr>
          <w:rtl w:val="0"/>
        </w:rPr>
        <w:t xml:space="preserve">Documento de Arquitectura de Software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lrsvcolr9me" w:id="1"/>
      <w:bookmarkEnd w:id="1"/>
      <w:r w:rsidDel="00000000" w:rsidR="00000000" w:rsidRPr="00000000">
        <w:rPr>
          <w:rtl w:val="0"/>
        </w:rPr>
        <w:t xml:space="preserve">Plataforma de gestión de solicitudes de facturación — Facturaciones SpA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Propuesta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ubxty7puuxr5" w:id="2"/>
      <w:bookmarkEnd w:id="2"/>
      <w:r w:rsidDel="00000000" w:rsidR="00000000" w:rsidRPr="00000000">
        <w:rPr>
          <w:rtl w:val="0"/>
        </w:rPr>
        <w:t xml:space="preserve">1. Objetivo del documento</w:t>
      </w:r>
    </w:p>
    <w:p w:rsidR="00000000" w:rsidDel="00000000" w:rsidP="00000000" w:rsidRDefault="00000000" w:rsidRPr="00000000" w14:paraId="00000005">
      <w:pPr>
        <w:shd w:fill="ffffff" w:val="clear"/>
        <w:rPr/>
      </w:pPr>
      <w:r w:rsidDel="00000000" w:rsidR="00000000" w:rsidRPr="00000000">
        <w:rPr>
          <w:rtl w:val="0"/>
        </w:rPr>
        <w:t xml:space="preserve">Describir la organización de la solución, sus componentes principales, la distribución de responsabilidades mediante el patrón </w:t>
      </w:r>
      <w:r w:rsidDel="00000000" w:rsidR="00000000" w:rsidRPr="00000000">
        <w:rPr>
          <w:b w:val="1"/>
          <w:bCs w:val="1"/>
          <w:rtl w:val="0"/>
        </w:rPr>
        <w:t xml:space="preserve">MVC</w:t>
      </w:r>
      <w:r w:rsidDel="00000000" w:rsidR="00000000" w:rsidRPr="00000000">
        <w:rPr>
          <w:rtl w:val="0"/>
        </w:rPr>
        <w:t xml:space="preserve">, las decisiones arquitectónicas, las integraciones y las restricciones del proyecto.</w:t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hd w:fill="ffffff" w:val="clear"/>
        <w:rPr/>
      </w:pPr>
      <w:r w:rsidDel="00000000" w:rsidR="00000000" w:rsidRPr="00000000">
        <w:rPr>
          <w:rtl w:val="0"/>
        </w:rPr>
        <w:t xml:space="preserve">Este documento representa el diseño propuesto. No constituye una declaración de funcionalidades implementadas ni de resultados comprobados.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dn009cvjhb6d" w:id="3"/>
      <w:bookmarkEnd w:id="3"/>
      <w:r w:rsidDel="00000000" w:rsidR="00000000" w:rsidRPr="00000000">
        <w:rPr>
          <w:rtl w:val="0"/>
        </w:rPr>
        <w:t xml:space="preserve">2. Contexto y propósito de la solución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plataforma busca centralizar la gestión de solicitudes de facturación de Facturaciones SpA y apoyar el registro, validación, consulta y seguimiento de la información.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La problemática descrita en la retroalimentación corresponde a un proceso manual que puede generar errores de transcripción, retrasos y dificultades de trazabilidad. La descripción detallada del proceso actual y la evidencia del levantamiento con la empresa deberán respaldar esta caracterización.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91khk6c8nvi5" w:id="4"/>
      <w:bookmarkEnd w:id="4"/>
      <w:r w:rsidDel="00000000" w:rsidR="00000000" w:rsidRPr="00000000">
        <w:rPr>
          <w:rtl w:val="0"/>
        </w:rPr>
        <w:t xml:space="preserve">3. Alcance arquitectónico propuesto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La arquitectura contempla componentes para: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Autenticación y control de acceso.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Registro, consulta y edición de solicitudes.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Validación de datos y aplicación de reglas de negocio.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Gestión de estados.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Asociación y consulta de documentos XML.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Registro del historial de acciones.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Comunicación con servicios de correo.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hd w:fill="ffffff" w:val="clear"/>
        <w:ind w:left="720" w:hanging="360"/>
      </w:pPr>
      <w:r w:rsidDel="00000000" w:rsidR="00000000" w:rsidRPr="00000000">
        <w:rPr>
          <w:rtl w:val="0"/>
        </w:rPr>
        <w:t xml:space="preserve">Persistencia de datos y almacenamiento de documentos.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  <w:t xml:space="preserve">La arquitectura distingue la gestión de solicitudes y documentos de una eventual integración de emisión electrónica. Asociar un XML a una solicitud no se presentará como equivalente a emitir una factura ante el SII.</w:t>
      </w:r>
    </w:p>
    <w:p w:rsidR="00000000" w:rsidDel="00000000" w:rsidP="00000000" w:rsidRDefault="00000000" w:rsidRPr="00000000" w14:paraId="00000018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rPr/>
      </w:pPr>
      <w:r w:rsidDel="00000000" w:rsidR="00000000" w:rsidRPr="00000000">
        <w:rPr/>
        <w:drawing>
          <wp:inline distB="114300" distT="114300" distL="114300" distR="114300">
            <wp:extent cx="5731200" cy="6007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/>
      </w:pPr>
      <w:r w:rsidDel="00000000" w:rsidR="00000000" w:rsidRPr="00000000">
        <w:rPr>
          <w:rtl w:val="0"/>
        </w:rPr>
        <w:t xml:space="preserve">La Figura 1 resume las funcionalidades contempladas en el alcance y los perfiles que las utilizan.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x41yc2oe8hen" w:id="5"/>
      <w:bookmarkEnd w:id="5"/>
      <w:r w:rsidDel="00000000" w:rsidR="00000000" w:rsidRPr="00000000">
        <w:rPr>
          <w:rtl w:val="0"/>
        </w:rPr>
        <w:t xml:space="preserve">4. Organización general de la solución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Se propone organizar la aplicación mediante el patrón Modelo–Vista–Controlador, complementado con servicios de negocio y componentes de acceso a datos.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2e4p0hbwrhl6" w:id="6"/>
      <w:bookmarkEnd w:id="6"/>
      <w:r w:rsidDel="00000000" w:rsidR="00000000" w:rsidRPr="00000000">
        <w:rPr>
          <w:rtl w:val="0"/>
        </w:rPr>
        <w:t xml:space="preserve">5. Componentes principales</w:t>
      </w:r>
    </w:p>
    <w:tbl>
      <w:tblPr>
        <w:tblStyle w:val="Table1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6105"/>
        <w:tblGridChange w:id="0">
          <w:tblGrid>
            <w:gridCol w:w="2820"/>
            <w:gridCol w:w="61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Interfaz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Presentar formularios, solicitudes, documentos, mensajes y opciones disponibles para el usuario.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Controladores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Recibir peticiones, coordinar la ejecución de operaciones y devolver respuestas.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Autenticación y autorización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Identificar al usuario y comprobar sus permisos para cada operación y recurso.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solicitudes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Coordinar el registro, consulta, edición y seguimiento de solicitudes.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Validación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Aplicar las validaciones y reglas de negocio que se acuerden con la empresa.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estados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Controlar las transiciones y verificar las condiciones necesarias para ejecutarlas.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Gestión de documentos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Asociar documentos XML a solicitudes y gestionar su recuperación autorizada.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Historial y auditoría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acciones relevantes, usuario responsable, fecha y solicitud afectada.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Servicio de 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Encapsular la comunicación con el proveedor de correo y registrar sus resultados.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Acceso a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Consultar y persistir la información sin exponer esos detalles a la interfaz.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Almacenamiento de documentos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Conservar los archivos asociados a las solicitudes.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La tabla describe responsabilidades lógicas. Su distribución física en el servidor se describe en la sección 13.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vu2cjo4x6kwl" w:id="7"/>
      <w:bookmarkEnd w:id="7"/>
      <w:r w:rsidDel="00000000" w:rsidR="00000000" w:rsidRPr="00000000">
        <w:rPr>
          <w:rtl w:val="0"/>
        </w:rPr>
        <w:t xml:space="preserve">6. Distribución de responsabilidades MVC (Model, View, Controller)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432210" cy="774456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2210" cy="7744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3. Diagrama de organización MVC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g8g6b7bq1xer" w:id="8"/>
      <w:bookmarkEnd w:id="8"/>
      <w:r w:rsidDel="00000000" w:rsidR="00000000" w:rsidRPr="00000000">
        <w:rPr>
          <w:rtl w:val="0"/>
        </w:rPr>
        <w:t xml:space="preserve">6.1. Modelo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El modelo representará las entidades y reglas del negocio. Como base de diseño se consideran: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Solicitud.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 de solicitud.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envío de correo.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La definición final de atributos y relaciones deberá ser coherente con los requisitos y el proceso validado con Facturaciones SpA.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El modelo de datos (Figura 4) implementa estas entidades en MySQL mediante las tablas </w:t>
      </w:r>
      <w:r w:rsidDel="00000000" w:rsidR="00000000" w:rsidRPr="00000000">
        <w:rPr>
          <w:b w:val="1"/>
          <w:bCs w:val="1"/>
          <w:rtl w:val="0"/>
        </w:rPr>
        <w:t xml:space="preserve">usuarios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clientes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solicitudes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estados_solicitud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origenes_solicitud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registros_xml </w:t>
      </w:r>
      <w:r w:rsidDel="00000000" w:rsidR="00000000" w:rsidRPr="00000000">
        <w:rPr>
          <w:rtl w:val="0"/>
        </w:rPr>
        <w:t xml:space="preserve">(documentos asociados) y </w:t>
      </w:r>
      <w:r w:rsidDel="00000000" w:rsidR="00000000" w:rsidRPr="00000000">
        <w:rPr>
          <w:b w:val="1"/>
          <w:bCs w:val="1"/>
          <w:rtl w:val="0"/>
        </w:rPr>
        <w:t xml:space="preserve">auditoria </w:t>
      </w:r>
      <w:r w:rsidDel="00000000" w:rsidR="00000000" w:rsidRPr="00000000">
        <w:rPr>
          <w:rtl w:val="0"/>
        </w:rPr>
        <w:t xml:space="preserve">(historial de acciones). Para cumplir la decisión de registrar los resultados de envío por separado (sección 7), el modelo deberá incorporar una tabla de registro de envíos de correo y relacionar la auditoría con la solicitud afectada.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337935" cy="357210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10631" r="11296" t="17225"/>
                    <a:stretch>
                      <a:fillRect/>
                    </a:stretch>
                  </pic:blipFill>
                  <pic:spPr>
                    <a:xfrm>
                      <a:off x="0" y="0"/>
                      <a:ext cx="6337935" cy="3572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Figura 4. Modelo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1me0zvlvkur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9nkpccwb8kop" w:id="10"/>
      <w:bookmarkEnd w:id="10"/>
      <w:r w:rsidDel="00000000" w:rsidR="00000000" w:rsidRPr="00000000">
        <w:rPr>
          <w:rtl w:val="0"/>
        </w:rPr>
        <w:t xml:space="preserve">6.2. 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La vista presentará la información y permitirá al usuario interactuar con las funcionalidades autorizadas.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Las pantallas propuestas incluyen: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Inicio de sesión.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Listado y búsqueda de solicitudes.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Formulario de registro solicitud y edición.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Detalle de solicitud.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usuarios.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 de documentos.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Consulta de historial.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La vista mostrará mensajes de validación, pero no será el único lugar donde se comprueben permisos o reglas de negocio.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desu7su4s41" w:id="11"/>
      <w:bookmarkEnd w:id="11"/>
      <w:r w:rsidDel="00000000" w:rsidR="00000000" w:rsidRPr="00000000">
        <w:rPr>
          <w:rtl w:val="0"/>
        </w:rPr>
        <w:t xml:space="preserve">6.3. Controlador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Los controladores actuarán como punto de entrada de las operaciones: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Autenticación.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Solicitudes.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Documentos.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Historial.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Cada controlador delega las operaciones en los servicios correspondientes. No concentrará los detalles de persistencia, almacenamiento o comunicación con proveedores externos.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h5hro1lxdqhu" w:id="12"/>
      <w:bookmarkEnd w:id="12"/>
      <w:r w:rsidDel="00000000" w:rsidR="00000000" w:rsidRPr="00000000">
        <w:rPr>
          <w:rtl w:val="0"/>
        </w:rPr>
        <w:t xml:space="preserve">6.4. Servicios y acceso a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Los servicios coordinarán las reglas y operaciones del negocio. Los repositorios encapsulan la consulta y almacenamiento de información.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Esta distribución se propone para mantener separadas la presentación, la lógica del negocio y la infraestructura.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ry2zho2g7ham" w:id="13"/>
      <w:bookmarkEnd w:id="13"/>
      <w:r w:rsidDel="00000000" w:rsidR="00000000" w:rsidRPr="00000000">
        <w:rPr>
          <w:rtl w:val="0"/>
        </w:rPr>
        <w:t xml:space="preserve">7. Decisiones arquitectónicas propuestas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Estas decisiones corresponden al diseño preliminar y deberán confirmarse durante el desarrollo.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2970"/>
        <w:gridCol w:w="3645"/>
        <w:tblGridChange w:id="0">
          <w:tblGrid>
            <w:gridCol w:w="2280"/>
            <w:gridCol w:w="2970"/>
            <w:gridCol w:w="36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Consecuencia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Organizar la aplicación mediante MVC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Separar presentación, manejo de peticiones y modelo de negocio.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 funcionalidad deberá respetar la responsabilidad de sus componentes.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Utilizar servicios para las operaciones de negocio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Evitar que los controladores concentren validaciones, estados y coordinación de tareas.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 reglas se implementarán en componentes reutilizables y verificables.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Encapsular el acceso a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Evitar consultas dispersas en vistas y controladores.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 persistencia se gestionará mediante repositorios o mecanismos equivalentes del framework.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Encapsular las integraciones externas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Separar las reglas del sistema de los detalles de cada proveedor.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 y otras integraciones utilizan componentes específicos.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Registrar acciones relevantes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Permitir identificar quién realizó una operación y cuándo.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 operaciones deberán generar eventos de auditoría.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Separar estado de solicitud y resultado de envío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Evitar confundir un fallo de comunicación con un problema de la solicitud.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intentos de envío se registrarán independientemente del estado del trámite.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Comprobar permisos en el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Evitar que la autorización dependa únicamente de lo mostrado en pantalla.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 operación deberá verificar usuario, permiso y recurso solicitado.</w:t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7rquictvxrjv" w:id="14"/>
      <w:bookmarkEnd w:id="14"/>
      <w:r w:rsidDel="00000000" w:rsidR="00000000" w:rsidRPr="00000000">
        <w:rPr>
          <w:rtl w:val="0"/>
        </w:rPr>
        <w:t xml:space="preserve">8. Tecnologías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2730"/>
        <w:gridCol w:w="2520"/>
        <w:tblGridChange w:id="0">
          <w:tblGrid>
            <w:gridCol w:w="3645"/>
            <w:gridCol w:w="2730"/>
            <w:gridCol w:w="2520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seleccionada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Función y justificación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Lenguaje del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Python 3.14.8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utilizará para implementar las operaciones del backend: validación de solicitudes, reglas de negocio, gestión de estados y coordinación de servicios. Su selección mantiene la implementación del servidor en el mismo lenguaje utilizado por Flask.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Framework del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Flask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Gestionará las rutas y peticiones HTTP de la aplicación. Se propone organizar el proyecto en módulos de controladores, servicios y modelos para implementar la separación de responsabilidades definida en la arquitectura MVC. Flask permite integrar SQLAlchemy para la persistencia.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Tecnología de la interfaz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  <w:t xml:space="preserve">Interfaz web gráfica. </w:t>
            </w:r>
            <w:r w:rsidDel="00000000" w:rsidR="00000000" w:rsidRPr="00000000">
              <w:rPr>
                <w:shd w:fill="fff2cc" w:val="clear"/>
                <w:rtl w:val="0"/>
              </w:rPr>
              <w:t xml:space="preserve">Tecnologías específicas por definir.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Permitirá registrar solicitudes, consultar su estado, gestionar documentos y revisar el historial. “GUI” describe el tipo de interfaz, pero no identifica las tecnologías con las que se construirá.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Motor de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MySQL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Almacenará de forma estructurada los usuarios, clientes, solicitudes, estados, documentos asociados y registros de auditoría. La selección se orienta a un modelo con entidades relacionadas y necesidades de persistencia centralizada.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Mecanismo de acceso a datos u ORM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PHP (Eloquent 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Almacenamiento de documentos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  <w:t xml:space="preserve">Almacenamiento en la nube. </w:t>
            </w:r>
            <w:r w:rsidDel="00000000" w:rsidR="00000000" w:rsidRPr="00000000">
              <w:rPr>
                <w:shd w:fill="fff2cc" w:val="clear"/>
                <w:rtl w:val="0"/>
              </w:rPr>
              <w:t xml:space="preserve">Proveedor y servicio por definir.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destinará a conservar los documentos XML asociados a las solicitudes. La base de datos registrará sus metadatos y referencias. La selección deberá considerar acceso privado, capacidad, costos, respaldo y recuperación.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Proveedor o tecnología de correo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hd w:fill="fff2cc" w:val="clear"/>
              </w:rPr>
            </w:pPr>
            <w:r w:rsidDel="00000000" w:rsidR="00000000" w:rsidRPr="00000000">
              <w:rPr>
                <w:rtl w:val="0"/>
              </w:rPr>
              <w:t xml:space="preserve">SMTP. </w:t>
            </w:r>
            <w:r w:rsidDel="00000000" w:rsidR="00000000" w:rsidRPr="00000000">
              <w:rPr>
                <w:shd w:fill="fff2cc" w:val="clear"/>
                <w:rtl w:val="0"/>
              </w:rPr>
              <w:t xml:space="preserve">Proveedor por definir.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utilizará para el envío de correos y documentos XML según el alcance acordado. Deberán definirse el proveedor, credenciales, configuración de seguridad, límites de envío y tratamiento de errores. Esta selección no define por sí sola la recepción automática de solicitudes.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 funcionales de interfaz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Selenium </w:t>
            </w:r>
          </w:p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Automatizará flujos en el navegador, como iniciar sesión, completar formularios, consultar solicitudes y comprobar mensajes de validación. Su función principal será verificar el comportamiento de la interfaz y los flujos del usuario.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Auditoría de rendimiento web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Google Lighthouse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 utilizará para evaluar rendimiento de páginas, accesibilidad, buenas prácticas y SEO. Sus resultados servirán para detectar oportunidades de mejora en la interfaz; no reemplazarán las pruebas de carga del backend. browserstack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Pruebas de carga y estrés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Apache JMeter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Simulará peticiones concurrentes para evaluar tiempos de respuesta, errores y comportamiento de la aplicación bajo carga. Se definirán escenarios, volumen de usuarios y criterios de aceptación antes de ejecutar las pruebas.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Control de versiones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 y Github</w:t>
            </w:r>
          </w:p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Git se utilizará para registrar y gestionar los cambios del código. GitHub alojará el repositorio del proyecto y apoyará la colaboración del equipo mediante ramas y revisión de cambios. La justificación debe centrarse en estas funciones, no en la popularidad de la plataforma.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Entorno de despliegue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Servidor interno de Facturaciones SpA.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Alojará la aplicación Flask, la base de datos MySQL, el directorio de documentos XML y el servicio SMTP local, previa verificación de capacidad, compatibilidad y seguridad. Si no cumple los requisitos, se evaluará un servicio de hosting (ver sección 13).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7kgtjr169uc" w:id="15"/>
      <w:bookmarkEnd w:id="15"/>
      <w:r w:rsidDel="00000000" w:rsidR="00000000" w:rsidRPr="00000000">
        <w:rPr>
          <w:rtl w:val="0"/>
        </w:rPr>
        <w:t xml:space="preserve">9. Integraciones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o903mqlzkxoi" w:id="16"/>
      <w:bookmarkEnd w:id="16"/>
      <w:r w:rsidDel="00000000" w:rsidR="00000000" w:rsidRPr="00000000">
        <w:rPr>
          <w:rtl w:val="0"/>
        </w:rPr>
        <w:t xml:space="preserve">9.1. Correo electrónico</w:t>
      </w:r>
      <w:r w:rsidDel="00000000" w:rsidR="00000000" w:rsidRPr="00000000">
        <w:rPr>
          <w:rtl w:val="0"/>
        </w:rPr>
      </w:r>
    </w:p>
    <w:tbl>
      <w:tblPr>
        <w:tblStyle w:val="Table4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80"/>
        <w:gridCol w:w="6045"/>
        <w:tblGridChange w:id="0">
          <w:tblGrid>
            <w:gridCol w:w="2880"/>
            <w:gridCol w:w="604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Alcance de la integración: envío, recepción o ambos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Solo envío. La recepción automática de solicitudes por correo queda fuera del alcance de esta entrega.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Servicio o proveedor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Servicio SMTP local de Facturaciones SpA.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Protocolo o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SMTP. El puerto y el tipo de cifrado (STARTTLS o TLS) se confirmarán al preparar el entorno.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Información intercambiada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Destinatario, asunto, mensaje y documento XML adjunto. Por cada intento se registran la fecha, el destinatario, el resultado y el mensaje de error, si existe.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Autenticación ante el proveedor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Usuario y contraseña de la cuenta SMTP, si el servidor los exige, almacenados en una configuración protegida fuera del código.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Manejo de errores y reintentos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Cada intento se registra con su resultado sin modificar el estado de la solicitud. Si el envío falla, un usuario autorizado podrá reintentarlo desde la plataforma.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Límites y restricciones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Los definidos por el servidor SMTP de la empresa, por confirmar. Los XML son de pocos kilobytes, por lo que el tamaño del adjunto no representa una restricción.</w:t>
            </w:r>
          </w:p>
        </w:tc>
      </w:tr>
    </w:tbl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El diseño contempla un componente de correo separado de los controladores. Las operaciones y resultados que deban conservarse se definirán según el alcance finalmente acordado.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rPr/>
      </w:pPr>
      <w:bookmarkStart w:colFirst="0" w:colLast="0" w:name="_i9dt16a4h6c8" w:id="17"/>
      <w:bookmarkEnd w:id="17"/>
      <w:commentRangeStart w:id="0"/>
      <w:r w:rsidDel="00000000" w:rsidR="00000000" w:rsidRPr="00000000">
        <w:rPr>
          <w:rtl w:val="0"/>
        </w:rPr>
        <w:t xml:space="preserve">9.2. Integraciones futuras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Las integraciones con WhatsApp y con servicios de emisión electrónica deberán distinguirse de las funcionalidades comprometidas para esta entrega.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Si se evalúan, su documentación deberá indicar: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Objetivo.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 externo.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Datos intercambiados.</w:t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Accesos y credenciales necesarios.</w:t>
      </w:r>
    </w:p>
    <w:p w:rsidR="00000000" w:rsidDel="00000000" w:rsidP="00000000" w:rsidRDefault="00000000" w:rsidRPr="00000000" w14:paraId="000000D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Restricciones técnicas.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Estado: evaluación, trabajo futuro o implementación comprometida.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nrn8ajn26v1u" w:id="18"/>
      <w:bookmarkEnd w:id="18"/>
      <w:commentRangeStart w:id="1"/>
      <w:r w:rsidDel="00000000" w:rsidR="00000000" w:rsidRPr="00000000">
        <w:rPr>
          <w:rtl w:val="0"/>
        </w:rPr>
        <w:t xml:space="preserve">10. Seguridad y trazabilidad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Se propone que la arquitectura contemple: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Identificación del usuario antes de acceder a operaciones protegidas.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Validación de permisos en el servidor.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Verificación del acceso a cada solicitud y documento.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Protección de credenciales y configuración sensible.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Registro de acciones relevantes.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Respaldo de datos y documentos.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Procedimiento documentado de recuperación.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Uso de datos ficticios o anonimizados durante las pruebas.</w:t>
      </w:r>
    </w:p>
    <w:p w:rsidR="00000000" w:rsidDel="00000000" w:rsidP="00000000" w:rsidRDefault="00000000" w:rsidRPr="00000000" w14:paraId="000000E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Mecanismo de autenticación</w:t>
      </w:r>
    </w:p>
    <w:p w:rsidR="00000000" w:rsidDel="00000000" w:rsidP="00000000" w:rsidRDefault="00000000" w:rsidRPr="00000000" w14:paraId="000000E7">
      <w:pPr>
        <w:shd w:fill="ffffff" w:val="clear"/>
        <w:rPr/>
      </w:pPr>
      <w:r w:rsidDel="00000000" w:rsidR="00000000" w:rsidRPr="00000000">
        <w:rPr>
          <w:rtl w:val="0"/>
        </w:rPr>
        <w:t xml:space="preserve">El usuario se identifica con su correo electrónico y contraseña. La contraseña se almacena como hash (campo password_hash de la tabla usuarios) y nunca en texto plano. Tras iniciar sesión, la aplicación mantiene una sesión firmada; las cuentas inactivas (campo activo) no pueden ingresar y se registra la fecha del último ingreso (campo ultimo_login).</w:t>
      </w:r>
    </w:p>
    <w:p w:rsidR="00000000" w:rsidDel="00000000" w:rsidP="00000000" w:rsidRDefault="00000000" w:rsidRPr="00000000" w14:paraId="000000E8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Matriz de roles y permisos</w:t>
      </w:r>
    </w:p>
    <w:p w:rsidR="00000000" w:rsidDel="00000000" w:rsidP="00000000" w:rsidRDefault="00000000" w:rsidRPr="00000000" w14:paraId="000000E9">
      <w:pPr>
        <w:shd w:fill="ffffff" w:val="clear"/>
        <w:rPr/>
      </w:pPr>
      <w:r w:rsidDel="00000000" w:rsidR="00000000" w:rsidRPr="00000000">
        <w:rPr>
          <w:rtl w:val="0"/>
        </w:rPr>
        <w:t xml:space="preserve">Los permisos se asignan por perfil, de acuerdo con el diagrama de casos de uso (Figura 1):</w:t>
      </w:r>
    </w:p>
    <w:tbl>
      <w:tblPr>
        <w:tblStyle w:val="Table5"/>
        <w:tblW w:w="89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95"/>
        <w:gridCol w:w="6615"/>
        <w:tblGridChange w:id="0">
          <w:tblGrid>
            <w:gridCol w:w="2295"/>
            <w:gridCol w:w="661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Perfil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120" w:before="12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Operaciones permitidas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Todas las operaciones del Operador, además de gestionar usuarios, roles y clientes.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Operador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Las consultas del Lector, además de registrar y editar solicitudes, cambiar su estado, asociar documentos XML y enviarlos por correo.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Lector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120" w:before="12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Iniciar sesión, buscar y listar solicitudes y consultar su detalle, documentos XML e historial.</w:t>
            </w:r>
          </w:p>
        </w:tc>
      </w:tr>
    </w:tbl>
    <w:p w:rsidR="00000000" w:rsidDel="00000000" w:rsidP="00000000" w:rsidRDefault="00000000" w:rsidRPr="00000000" w14:paraId="000000F2">
      <w:pPr>
        <w:shd w:fill="ffffff" w:val="clear"/>
        <w:rPr/>
      </w:pPr>
      <w:r w:rsidDel="00000000" w:rsidR="00000000" w:rsidRPr="00000000">
        <w:rPr>
          <w:rtl w:val="0"/>
        </w:rPr>
        <w:t xml:space="preserve">Esta matriz deberá ser validada por Facturaciones SpA antes de desarrollar la gestión de perfiles</w:t>
      </w:r>
    </w:p>
    <w:p w:rsidR="00000000" w:rsidDel="00000000" w:rsidP="00000000" w:rsidRDefault="00000000" w:rsidRPr="00000000" w14:paraId="000000F3">
      <w:pPr>
        <w:shd w:fill="ffffff" w:val="clear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Condiciones de acceso del perfil Lector</w:t>
      </w:r>
    </w:p>
    <w:p w:rsidR="00000000" w:rsidDel="00000000" w:rsidP="00000000" w:rsidRDefault="00000000" w:rsidRPr="00000000" w14:paraId="000000F5">
      <w:pPr>
        <w:shd w:fill="ffffff" w:val="clear"/>
        <w:rPr/>
      </w:pPr>
      <w:r w:rsidDel="00000000" w:rsidR="00000000" w:rsidRPr="00000000">
        <w:rPr>
          <w:rtl w:val="0"/>
        </w:rPr>
        <w:t xml:space="preserve">El perfil Lector solo puede consultar información. No puede registrar, editar ni cambiar el estado de solicitudes, asociar o enviar documentos ni administrar usuarios. El backend rechazará estas operaciones aunque se intenten fuera de la interfaz.</w:t>
      </w:r>
    </w:p>
    <w:p w:rsidR="00000000" w:rsidDel="00000000" w:rsidP="00000000" w:rsidRDefault="00000000" w:rsidRPr="00000000" w14:paraId="000000F6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Política de respaldo y recuperación</w:t>
      </w:r>
    </w:p>
    <w:p w:rsidR="00000000" w:rsidDel="00000000" w:rsidP="00000000" w:rsidRDefault="00000000" w:rsidRPr="00000000" w14:paraId="000000F7">
      <w:pPr>
        <w:shd w:fill="ffffff" w:val="clear"/>
        <w:rPr/>
      </w:pPr>
      <w:r w:rsidDel="00000000" w:rsidR="00000000" w:rsidRPr="00000000">
        <w:rPr>
          <w:rtl w:val="0"/>
        </w:rPr>
        <w:t xml:space="preserve">Se propone un respaldo diario de la base de datos MySQL y del directorio de documentos XML, guardado fuera del directorio de la aplicación, y una prueba de restauración antes de la puesta en marcha. La información se conservará durante tres meses (sección 12) y luego se eliminará según el procedimiento que se acuerde con la empresa. La frecuencia y la ubicación del respaldo deberán confirmarse con Facturaciones SpA.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t32ymzmgaum2" w:id="19"/>
      <w:bookmarkEnd w:id="19"/>
      <w:r w:rsidDel="00000000" w:rsidR="00000000" w:rsidRPr="00000000">
        <w:rPr>
          <w:rtl w:val="0"/>
        </w:rPr>
        <w:t xml:space="preserve">11. Flujo general de una operación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Como referencia, el registro de una solicitud seguirá esta secuencia propuesta: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usuario ingresa la información en la interfaz.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controlador recibe la petición.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backend identifica al usuario y comprobar sus permisos.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servicio valida los datos y las reglas aplicables.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existen errores, devuelve mensajes para su corrección.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 la información es válida, registra la solicitud.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 el evento de creación en el historial.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Devuelve la confirmación y el detalle de la solicitud.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Los cambios de estado y la gestión de documentos deberán seguir el mismo principio: comprobar permisos y condiciones antes de ejecutar y registrar la operación.</w:t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dyohk6gwv616" w:id="20"/>
      <w:bookmarkEnd w:id="20"/>
      <w:r w:rsidDel="00000000" w:rsidR="00000000" w:rsidRPr="00000000">
        <w:rPr>
          <w:rtl w:val="0"/>
        </w:rPr>
        <w:t xml:space="preserve">12. Restricciones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25"/>
        <w:gridCol w:w="2805"/>
        <w:gridCol w:w="2865"/>
        <w:tblGridChange w:id="0">
          <w:tblGrid>
            <w:gridCol w:w="3225"/>
            <w:gridCol w:w="2805"/>
            <w:gridCol w:w="286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Definición o límite acordado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Efecto sobre la arquitectura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Plazo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proyecto de título tiene como fecha estimada de término el 30 de noviembre de 2026.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priorizan las funcionalidades esenciales del sistema y se limitarán las integraciones adicionales que excedan el plazo.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Presupuesto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equipo definirá los costos asociados a la solución. El centro de costos del cliente interno asumirá los costos de la propuesta que se acuerde.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arquitectura deberá considerar los costos de desarrollo, infraestructura y servicios necesarios, priorizando los recursos existentes cuando sean adecuados.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disponible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empresa dispone de un servidor compartido que utiliza para distintos procesos internos.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priorizará el uso del servidor existente, previa evaluación de su capacidad y compatibilidad.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Accesos a servicios externos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emisión de facturas se realizará externamente mediante el SII. El envío de documentos XML se realizará mediante un servicio SMTP de manera local.</w:t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deberá permitir asociar los XML a las solicitudes y gestionar su envío por correo, sin depender de una integración directa con el SII para emitir facturas.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Volumen de usuarios y solicitudes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consideran tres usuarios y un volumen aproximado de 18 a 20 solicitudes mensuales. La actividad habitual de facturación se concentra entre los días 1 y 25 de cada mes.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solución deberá permitir que los usuarios autorizados registren, consulten y gestionen las solicitudes durante el período de facturación. El diseño deberá contemplar variaciones en la cantidad de solicitudes y evitar restricciones innecesarias fuera de dicho período.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Tamaño y cantidad de documentos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Los archivos XML asociados a las facturas son pequeños, de unos pocos kilobytes por documento. Su cantidad dependerá del volumen de solicitudes gestionadas.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podrá considerar el almacenamiento de los archivos en el servidor interno, siempre que exista espacio suficiente. La arquitectura deberá permitir asociar cada XML a su solicitud y considerar el crecimiento acumulado de los documentos.</w:t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Disponibilidad requerida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espera que la aplicación se utilice de manera continua durante las actividades habituales de la empresa.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deberá estar disponible durante la operación normal, sujeto a la disponibilidad del servidor y a sus tareas de mantenimiento. Se deberán considerar medidas de respaldo y recuperación ante fallas.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Rendimiento esperado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Las consultas y búsquedas habituales deberán responder en un máximo de 3 segundos en el ambiente de pruebas, utilizando un volumen de datos acordado.</w:t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 deberán realizar pruebas de rendimiento con datos representativos para verificar los tiempos de respuesta y detectar posibles oportunidades de optimización.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Conservación de información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solicitudes de facturación y los documentos XML asociados deberán conservarse durante un período de tres meses.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y el almacenamiento de documentos deberán permitir conservar y consultar la información durante el período establecido, considerando mecanismos de respaldo y una política de eliminación posterior.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Dependencias de la contraparte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El desarrollo depende de la validación de los requerimientos por parte del cliente, la definición de los recursos de infraestructura y la entrega de los accesos necesarios para configurar los servicios utilizados.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 decisiones que dependan del cliente deberán validarse durante el proyecto. Los retrasos en la entrega de información, permisos o credenciales podrían afectar el desarrollo, las pruebas y el despliegue de la solución.</w:t>
            </w:r>
          </w:p>
        </w:tc>
      </w:tr>
    </w:tbl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er2lu4jxmh1n" w:id="21"/>
      <w:bookmarkEnd w:id="21"/>
      <w:r w:rsidDel="00000000" w:rsidR="00000000" w:rsidRPr="00000000">
        <w:rPr>
          <w:rtl w:val="0"/>
        </w:rPr>
        <w:t xml:space="preserve">13. Despliegue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hd w:fill="ffffff" w:val="clear"/>
        <w:ind w:left="0" w:firstLine="0"/>
        <w:rPr>
          <w:b w:val="1"/>
          <w:bCs w:val="1"/>
        </w:rPr>
      </w:pPr>
      <w:bookmarkStart w:colFirst="0" w:colLast="0" w:name="_4g69ux6215xw" w:id="22"/>
      <w:bookmarkEnd w:id="22"/>
      <w:r w:rsidDel="00000000" w:rsidR="00000000" w:rsidRPr="00000000">
        <w:rPr>
          <w:b w:val="1"/>
          <w:bCs w:val="1"/>
          <w:rtl w:val="0"/>
        </w:rPr>
        <w:t xml:space="preserve">13.1. Entorno seleccionado</w:t>
      </w:r>
    </w:p>
    <w:p w:rsidR="00000000" w:rsidDel="00000000" w:rsidP="00000000" w:rsidRDefault="00000000" w:rsidRPr="00000000" w14:paraId="0000012C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Se propone utilizar el servidor interno disponible en Facturaciones SpA para alojar la aplicación web, previa verificación de su capacidad, compatibilidad, permisos de instalación y condiciones de seguridad. Esta alternativa permitiría aprovechar la infraestructura existente y evitar inicialmente la contratación de un servicio de alojamiento externo.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Si el servidor interno no cumple los requisitos técnicos de la solución, se evaluará la contratación de un servicio de hosting, incorporando sus costos a la estimación económica del proyecto.</w:t>
      </w:r>
    </w:p>
    <w:p w:rsidR="00000000" w:rsidDel="00000000" w:rsidP="00000000" w:rsidRDefault="00000000" w:rsidRPr="00000000" w14:paraId="0000012E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El entorno deberá permitir ejecutar la aplicación desarrollada con Python y Flask, conectarse a la base de datos y gestionar los archivos XML asociados a las solicitudes de facturación.</w:t>
      </w:r>
    </w:p>
    <w:p w:rsidR="00000000" w:rsidDel="00000000" w:rsidP="00000000" w:rsidRDefault="00000000" w:rsidRPr="00000000" w14:paraId="0000012F">
      <w:pPr>
        <w:pStyle w:val="Heading3"/>
        <w:keepNext w:val="0"/>
        <w:keepLines w:val="0"/>
        <w:shd w:fill="ffffff" w:val="clear"/>
        <w:rPr>
          <w:b w:val="1"/>
          <w:bCs w:val="1"/>
        </w:rPr>
      </w:pPr>
      <w:bookmarkStart w:colFirst="0" w:colLast="0" w:name="_a2z0rfo31p2f" w:id="23"/>
      <w:bookmarkEnd w:id="23"/>
      <w:r w:rsidDel="00000000" w:rsidR="00000000" w:rsidRPr="00000000">
        <w:rPr>
          <w:b w:val="1"/>
          <w:bCs w:val="1"/>
          <w:rtl w:val="0"/>
        </w:rPr>
        <w:t xml:space="preserve">13.2. Distribución de aplicación, base de datos y archivos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se organizará en los siguientes componentes: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hd w:fill="ffffff" w:val="clear"/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Aplicación web: aloja la interfaz y la lógica de negocio encargada del registro, validación, consulta y seguimiento de las solicitudes de facturación.</w:t>
      </w:r>
    </w:p>
    <w:p w:rsidR="00000000" w:rsidDel="00000000" w:rsidP="00000000" w:rsidRDefault="00000000" w:rsidRPr="00000000" w14:paraId="00000132">
      <w:pPr>
        <w:numPr>
          <w:ilvl w:val="0"/>
          <w:numId w:val="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Backend: ejecutado mediante Python y Flask, responsable de la lógica de negocio, las validaciones, los permisos y la gestión de solicitudes.</w:t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 de datos: MySQL, destinada al almacenamiento estructurado de usuarios, clientes, solicitudes, estados e historial de acciones.</w:t>
      </w:r>
    </w:p>
    <w:p w:rsidR="00000000" w:rsidDel="00000000" w:rsidP="00000000" w:rsidRDefault="00000000" w:rsidRPr="00000000" w14:paraId="00000134">
      <w:pPr>
        <w:numPr>
          <w:ilvl w:val="0"/>
          <w:numId w:val="2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Documentos XML: almacenados en el servidor, en un directorio controlado con permisos de acceso. La ubicación definitiva deberá confirmarse según la capacidad disponible y las medidas de seguridad.</w:t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hd w:fill="ffffff" w:val="clear"/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Servicio de correo: SMTP local, utilizado para enviar los documentos XML y registrar los resultados de los intentos de envío.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La distribución definitiva de estos componentes dependerá de las capacidades del servidor disponible y de las condiciones técnicas de implementación. Se deberá verificar que el almacenamiento permita conservar los documentos durante el período definido de tres meses y que existan mecanismos adecuados de respaldo y recuperación.</w:t>
      </w:r>
    </w:p>
    <w:p w:rsidR="00000000" w:rsidDel="00000000" w:rsidP="00000000" w:rsidRDefault="00000000" w:rsidRPr="00000000" w14:paraId="00000137">
      <w:pPr>
        <w:shd w:fill="ffffff" w:val="clear"/>
        <w:jc w:val="center"/>
        <w:rPr/>
      </w:pPr>
      <w:r w:rsidDel="00000000" w:rsidR="00000000" w:rsidRPr="00000000">
        <w:rPr>
          <w:rtl w:val="0"/>
        </w:rPr>
        <w:t xml:space="preserve">La Figura 5 muestra la distribución propuesta de los componentes en el servidor interno y sus comunicaciones.</w:t>
      </w:r>
    </w:p>
    <w:p w:rsidR="00000000" w:rsidDel="00000000" w:rsidP="00000000" w:rsidRDefault="00000000" w:rsidRPr="00000000" w14:paraId="00000138">
      <w:pPr>
        <w:shd w:fill="ffffff" w:val="clear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7592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Figura 5. Diagrama de despliegue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hd w:fill="ffffff" w:val="clear"/>
        <w:rPr>
          <w:b w:val="1"/>
          <w:bCs w:val="1"/>
        </w:rPr>
      </w:pPr>
      <w:bookmarkStart w:colFirst="0" w:colLast="0" w:name="_ly2wew3pkbmc" w:id="24"/>
      <w:bookmarkEnd w:id="24"/>
      <w:r w:rsidDel="00000000" w:rsidR="00000000" w:rsidRPr="00000000">
        <w:rPr>
          <w:b w:val="1"/>
          <w:bCs w:val="1"/>
          <w:rtl w:val="0"/>
        </w:rPr>
        <w:t xml:space="preserve">13.3. Configuración de comunicaciones y accesos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hd w:fill="ffffff" w:val="clear"/>
        <w:spacing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acceso a la aplicación deberá realizarse mediante autenticación de usuarios.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Los permisos deberán validarse en el backend para restringir las operaciones según el perfil correspondiente.</w:t>
      </w:r>
    </w:p>
    <w:p w:rsidR="00000000" w:rsidDel="00000000" w:rsidP="00000000" w:rsidRDefault="00000000" w:rsidRPr="00000000" w14:paraId="0000013E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aplicación deberá conectarse a MySQL mediante una configuración protegida, evitando exponer credenciales.</w:t>
      </w:r>
    </w:p>
    <w:p w:rsidR="00000000" w:rsidDel="00000000" w:rsidP="00000000" w:rsidRDefault="00000000" w:rsidRPr="00000000" w14:paraId="0000013F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servicio SMTP local deberá configurarse con los parámetros de conexión y las credenciales que correspondan, si son necesarias.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acceso a los documentos XML deberá restringirse a usuarios autorizados.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hd w:fill="ffffff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deberán definir mecanismos de respaldo y recuperación de la base de datos y los documentos.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hd w:fill="ffffff" w:val="clear"/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configuración de red, los puertos, el dominio y el mecanismo de acceso desde los equipos de la empresa deberán determinarse durante la preparación del entorno.</w:t>
      </w:r>
    </w:p>
    <w:p w:rsidR="00000000" w:rsidDel="00000000" w:rsidP="00000000" w:rsidRDefault="00000000" w:rsidRPr="00000000" w14:paraId="00000143">
      <w:pPr>
        <w:pStyle w:val="Heading3"/>
        <w:rPr/>
      </w:pPr>
      <w:bookmarkStart w:colFirst="0" w:colLast="0" w:name="_u4sgvk8j2mtp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5so99rstnkw0" w:id="26"/>
      <w:bookmarkEnd w:id="26"/>
      <w:r w:rsidDel="00000000" w:rsidR="00000000" w:rsidRPr="00000000">
        <w:rPr>
          <w:rtl w:val="0"/>
        </w:rPr>
        <w:t xml:space="preserve">Referencias: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caso de uso: </w:t>
      </w:r>
      <w:r w:rsidDel="00000000" w:rsidR="00000000" w:rsidRPr="00000000">
        <w:rPr>
          <w:rtl w:val="0"/>
        </w:rPr>
        <w:t xml:space="preserve">Visual Paradigm. What is Use Case Diagram?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47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https://www-visual--paradigm-com.translate.goog/guide/uml-unified-modeling-language/what-is-use-case-diagram/?_x_tr_sl=en&amp;_x_tr_tl=es&amp;_x_tr_hl=es&amp;_x_tr_pto=tc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MVC: </w:t>
      </w:r>
      <w:r w:rsidDel="00000000" w:rsidR="00000000" w:rsidRPr="00000000">
        <w:rPr>
          <w:rtl w:val="0"/>
        </w:rPr>
        <w:t xml:space="preserve">Visual Paradigm. What is Model-View-Control (MVC)?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4A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https://www.visual-paradigm.com/guide/uml-unified-modeling-language/what-is-model-view-control-mvc/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componentes: </w:t>
      </w:r>
      <w:r w:rsidDel="00000000" w:rsidR="00000000" w:rsidRPr="00000000">
        <w:rPr>
          <w:rtl w:val="0"/>
        </w:rPr>
        <w:t xml:space="preserve">Visual Paradigm. What is Component Diagram?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14D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https://www.visual-paradigm.com/guide/uml-unified-modeling-language/what-is-component-diagram/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clase: </w:t>
      </w:r>
      <w:r w:rsidDel="00000000" w:rsidR="00000000" w:rsidRPr="00000000">
        <w:rPr>
          <w:rtl w:val="0"/>
        </w:rPr>
        <w:t xml:space="preserve">draw.io. Class diagrams.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https://www.drawio.com/docs/diagram-types/uml/class-diagrams/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despliegue: </w:t>
      </w:r>
      <w:r w:rsidDel="00000000" w:rsidR="00000000" w:rsidRPr="00000000">
        <w:rPr>
          <w:rtl w:val="0"/>
        </w:rPr>
        <w:t xml:space="preserve">Lucid Software. Tutorial de diagramas de implementación.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https://lucid.co/es/diagrama/uml/tutorial-diagrama-de-clases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CENTE JESUS VALENZUELA TORO" w:id="1" w:date="2026-10-08T01:13:48Z"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Con V.Oyazun</w:t>
      </w:r>
    </w:p>
  </w:comment>
  <w:comment w:author="VICENTE JESUS VALENZUELA TORO" w:id="0" w:date="2026-10-08T01:14:26Z"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Con C.Correa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-723899</wp:posOffset>
          </wp:positionH>
          <wp:positionV relativeFrom="paragraph">
            <wp:posOffset>-342899</wp:posOffset>
          </wp:positionV>
          <wp:extent cx="1449917" cy="355316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9917" cy="355316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5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cPr>
      <w:shd w:fill="ffffff" w:val="clear"/>
    </w:tc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hyperlink" Target="https://www.visual-paradigm.com/guide/uml-unified-modeling-language/what-is-model-view-control-mvc/" TargetMode="External"/><Relationship Id="rId12" Type="http://schemas.openxmlformats.org/officeDocument/2006/relationships/hyperlink" Target="https://www-visual--paradigm-com.translate.goog/guide/uml-unified-modeling-language/what-is-use-case-diagram/?_x_tr_sl=en&amp;_x_tr_tl=es&amp;_x_tr_hl=es&amp;_x_tr_pto=tc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hyperlink" Target="https://www.drawio.com/docs/diagram-types/uml/class-diagrams/" TargetMode="External"/><Relationship Id="rId14" Type="http://schemas.openxmlformats.org/officeDocument/2006/relationships/hyperlink" Target="https://www.visual-paradigm.com/guide/uml-unified-modeling-language/what-is-component-diagram/" TargetMode="External"/><Relationship Id="rId17" Type="http://schemas.openxmlformats.org/officeDocument/2006/relationships/header" Target="header1.xml"/><Relationship Id="rId16" Type="http://schemas.openxmlformats.org/officeDocument/2006/relationships/hyperlink" Target="https://lucid.co/es/diagrama/uml/tutorial-diagrama-de-clase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footer" Target="footer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