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at a survey-appropriate operating point. Six candidate improvements were then tested against it under five-fold cross-validation — 36 training runs, paired comparisons, a measured seed-noise floor and multiple-comparison correction. One produced a replicated gain of</w:t>
      </w:r>
      <w:r>
        <w:rPr>
          <w:b/>
        </w:rPr>
        <w:t>+4.16 AP</w:t>
      </w:r>
      <w:r>
        <w:t xml:space="preserve"> 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10:558, 2023, CC BY 4.0) ships 480×480 tiles at 0.5 m, three bands — sky-view factor, positive openness, slope — with annotations as</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 xml:space="preserve"> 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 xml:space="preserve"> 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 xml:space="preserve"> Edge correlation across all 2,093 consecutive-ID pairs is 0.291, against a random-pair baseline of 0.291. A sweep of every candidate row width from 2 to 259 is flat at ~0.283, with no spike anywhere.</w:t>
      </w:r>
    </w:p>
    <w:p>
      <w:r>
        <w:rPr>
          <w:b/>
        </w:rPr>
        <w:t>No seams exist at all.</w:t>
      </w:r>
      <w:r>
        <w:t xml:space="preserve"> 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 At the standard 800 px input resolution, nearly a third (31.8%) of annotated buildings are smaller than 32 pixels — the smallest of the reference boxes (anchors) the detector matches candidates against during training. This is a common problem with a standard solution: shrink the reference anchors down an octave to catch smaller targets. Yet doing so yielded a slight performance drop (−0.80 ± 1.07 AP), well within random training noise, with every metric turning negative. It is the fifth mechanism in this project to align neatly with a theoretical symptom only to fail under empirical testing — a pattern worth noting in its own right.</w:t>
      </w:r>
    </w:p>
    <w:p>
      <w:r>
        <w:rPr>
          <w:b/>
        </w:rPr>
        <w:t>Cascade confirmed a predicted pattern at an irrelevant magnitude.</w:t>
      </w:r>
      <w:r>
        <w:t xml:space="preserve"> 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Arm B ruled out giving small objects</w:t>
      </w:r>
      <w:r>
        <w:rPr>
          <w:i/>
        </w:rPr>
        <w:t xml:space="preserve"> anchors</w:t>
      </w:r>
      <w:r>
        <w:t xml:space="preserve">; arm F tested giving them </w:t>
      </w:r>
      <w:r>
        <w:rPr>
          <w:i/>
        </w:rPr>
        <w:t>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data augmentation produced the one measurable gain</w:t>
      </w:r>
      <w:r>
        <w:t>, and it improved every class. D4 is the set of eight symmetries of a square — horizontal and vertical flips, and rotations of 90°, 180° and 270° — so each training tile is presented in all eight orientations rather than one: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rasterize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Regularization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Every number above is COCO AP, which integrates over all score thresholds and rewards precision at high confidence. How well this reflects utility depends on the deployment scenario.</w:t>
      </w:r>
    </w:p>
    <w:p>
      <w:r>
        <w:t>For desktop preliminary survey and candidate generation, an analyst operates at lower thresholds where missing a feature is the primary error mode and false positives are quickly discarded on-screen. For on-the-ground field verification, however, false positives carry high physical and logistical costs, making precision at higher confidence paramount.</w:t>
      </w:r>
    </w:p>
    <w:p>
      <w:r>
        <w:t>The table below reports both ends, so an operating point can be chosen against the cost structure of the work rather than inherited from the metric.</w:t>
      </w:r>
    </w:p>
    <w:p>
      <w:r>
        <w:t>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 for the first of those uses.</w:t>
      </w:r>
      <w:r>
        <w:t xml:space="preserve"> Arm D at AP 42.87 recalls 92% of real structures at score 0.05, and its advantage is largest exactly where a desktop survey would operate: +7.3 points of recall at 0.05, +2.2 at 0.50. At a matched budget of 100 false positives per km² the like-for-like gain is about +3.0 points rather than +7.3, since arm D buys some of its recall by emitting more detections.</w:t>
      </w:r>
    </w:p>
    <w:p>
      <w:r>
        <w:t>At the high-confidence end the two arms suit the second scenario differently. At score 0.70 arm D recalls 2.6 points less than the control but produces 16 false positives per km² against 23 — fewer wasted journeys per real structure found, which is the trade that matters when each detection has to be reached on foot.</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 xml:space="preserve"> 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The cause is a property of the visualization choice. Sky-view factor, positive openness, and slope all emphasize raised features; positive openness in particular highlights convex forms. Buildings and platforms are raised structures, so they light up. An aguada is a depression, and the diagnostic visualization for concavity is negative openness — which the Chactún dataset does not ship, nor could it be generated, as the source DEM was withheld from the release.**</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 the Chactún dataset omits any visualization band that explicitly highlights terrain concavity.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 xml:space="preserve"> rather than pixel count, which matters more than it sounds. Measured on Chactún, naive fixed-pixel tiling accounts for about two-thirds of the resolution penalty: at 1.0 m resolution, a fixed 480×480 pixel tile covers twice the linear ground distance (480 m), causing target structures to shrink to a quarter of their native pixel area. Tiling by ground extent normalizes object scale rather than information content: cropping a fixed 240 m ground window — matching Chactún's native spatial coverage — and resizing it to 800 px reproduces the expected training geometry across survey resolutions, isolating the remaining penalty to the detail the coarser survey never recorded.</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were matched — each band rescaled so its valid pixels carried Chactún's mean and standard deviation — rather than the stretch</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different byte values to the same physical quantity</w:t>
      </w:r>
      <w:r>
        <w:t>, so the model received a third representation rather than the training one.</w:t>
      </w:r>
    </w:p>
    <w:p>
      <w:r>
        <w:t>And the stretch function cannot be recovered. Verified against the deposit's file list, Chactún provides ML-ready visualizations, masks, a canopy height model, and Sentinel-1/2 imagery, but no DEM, no DTM, and no point cloud data.</w:t>
      </w:r>
    </w:p>
    <w:p>
      <w:r>
        <w:t>The pipeline therefore faces three distinct dataset limitations, none of them reversible from the released data:</w:t>
      </w:r>
    </w:p>
    <w:p>
      <w:r>
        <w:t xml:space="preserve">1. </w:t>
      </w:r>
      <w:r>
        <w:rPr>
          <w:b/>
        </w:rPr>
        <w:t>No source elevation data.</w:t>
      </w:r>
      <w:r>
        <w:t xml:space="preserve"> Without the underlying DEM or DTM, alternative spatial visualizations cannot be regenerated downstream.</w:t>
      </w:r>
    </w:p>
    <w:p>
      <w:r>
        <w:t xml:space="preserve">2. </w:t>
      </w:r>
      <w:r>
        <w:rPr>
          <w:b/>
        </w:rPr>
        <w:t>Quantized 8-bit visualization exports.</w:t>
      </w:r>
      <w:r>
        <w:t xml:space="preserve"> Floating-point arrays for sky-view factor, openness, and slope were permanently truncated to 8-bit integers at export, destroying fine continuous variance across those derived features.</w:t>
      </w:r>
    </w:p>
    <w:p>
      <w:r>
        <w:t xml:space="preserve">3. </w:t>
      </w:r>
      <w:r>
        <w:rPr>
          <w:b/>
        </w:rPr>
        <w:t>Fixed visualization selection.</w:t>
      </w:r>
      <w:r>
        <w:t xml:space="preserve"> The deposit committed permanently to three specific bands, omitting hillshading, local relief models, and negative openness — the precise diagnostic channel required to resolve terrain concavity (aguadas).</w:t>
      </w:r>
    </w:p>
    <w:p>
      <w:r>
        <w:t>In short, the deposit sits several lossy steps downstream from the original LiDAR point cloud. A model trained at the end of that processing chain inherits every upstream constraint, with no mechanism to recover the lost spatial signal.</w:t>
      </w:r>
    </w:p>
    <w:p>
      <w:r>
        <w:rPr>
          <w:b/>
        </w:rPr>
        <w:t>A detector is only as portable as the recipe for its input.</w:t>
      </w:r>
      <w:r>
        <w:t xml:space="preserve"> 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w:t>
      </w:r>
      <w:r>
        <w:rPr>
          <w:i/>
        </w:rPr>
        <w:t xml:space="preserve"> because its input representation could not be reproduced</w:t>
      </w:r>
      <w:r>
        <w:t>→</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(D4 dihedral augmentation)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follows the exact same logic, swapping orientation for visualization style. A mound is a mound whichever rendering recipe created it, so training the model across multiple visualization styles would teach it to focus on structural geometry rather than forcing every user to adopt a single pipeline.</w:t>
      </w:r>
    </w:p>
    <w:p>
      <w:r>
        <w:t>Training on the same terrain rendered many different ways — different stretches, visualizations and blends — would teach a model to key on the shape of a relief signature rather than on one rendering's byte patterns.</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 xml:space="preserve"> across uncurated third-party LiDAR</w:t>
      </w:r>
    </w:p>
    <w:p>
      <w:pPr>
        <w:pStyle w:val="ListBullet"/>
      </w:pPr>
      <w:r>
        <w:rPr>
          <w:b/>
        </w:rPr>
        <w:t>Feature invariance</w:t>
      </w:r>
      <w:r>
        <w:t xml:space="preserve"> across heterogeneous sensor resolutions, point densities and canopy-removal artifacts</w:t>
      </w:r>
    </w:p>
    <w:p>
      <w:pPr>
        <w:pStyle w:val="ListBullet"/>
      </w:pPr>
      <w:r>
        <w:rPr>
          <w:b/>
        </w:rPr>
        <w:t>No site-specific tuning</w:t>
      </w:r>
      <w:r>
        <w:t xml:space="preserve"> 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characteriztics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 xml:space="preserve"> Anchors, cascade refinement, input resolution and rare-class oversampling: all within noise. Augmentation: +4.16.</w:t>
      </w:r>
    </w:p>
    <w:p>
      <w:pPr>
        <w:pStyle w:val="ListBullet"/>
      </w:pPr>
      <w:r>
        <w:rPr>
          <w:b/>
        </w:rPr>
        <w:t>Report at the operating point the tool will actually use.</w:t>
      </w:r>
      <w:r>
        <w:t xml:space="preserve"> AP made a 92%-recall detector look mediocre.</w:t>
      </w:r>
    </w:p>
    <w:p>
      <w:pPr>
        <w:pStyle w:val="ListBullet"/>
      </w:pPr>
      <w:r>
        <w:rPr>
          <w:b/>
        </w:rPr>
        <w:t>A class can be unrepresented rather than underlearned.</w:t>
      </w:r>
      <w:r>
        <w:t xml:space="preserve"> No amount of data fixes a band that does not carry the signal.</w:t>
      </w:r>
    </w:p>
    <w:p>
      <w:pPr>
        <w:pStyle w:val="ListBullet"/>
      </w:pPr>
      <w:r>
        <w:rPr>
          <w:b/>
        </w:rPr>
        <w:t>In-domain evaluation does not reveal portability limits.</w:t>
      </w:r>
      <w:r>
        <w:t xml:space="preserve"> It took contact with foreign data to find the constraint that mattered most.</w:t>
      </w:r>
    </w:p>
    <w:p>
      <w:pPr>
        <w:pStyle w:val="ListBullet"/>
      </w:pPr>
      <w:r>
        <w:rPr>
          <w:b/>
        </w:rPr>
        <w:t>Train as close to the source measurement as the data allows.</w:t>
      </w:r>
      <w:r>
        <w:t xml:space="preserve"> 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