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 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Chactún (</w:t>
      </w:r>
      <w:hyperlink r:id="rId9">
        <w:r>
          <w:rPr>
            <w:color w:val="0B57D0"/>
            <w:u w:val="single"/>
          </w:rPr>
          <w:t xml:space="preserve">Kokalj et al., </w:t>
        </w:r>
        <w:r>
          <w:rPr>
            <w:i/>
            <w:color w:val="0B57D0"/>
            <w:u w:val="single"/>
          </w:rPr>
          <w:t>Scientific Data</w:t>
        </w:r>
        <w:r>
          <w:rPr>
            <w:color w:val="0B57D0"/>
            <w:u w:val="single"/>
          </w:rPr>
          <w:t xml:space="preserve"> 10:558, 2023</w:t>
        </w:r>
      </w:hyperlink>
      <w:r>
        <w:t xml:space="preserve">, CC BY 4.0, </w:t>
      </w:r>
      <w:hyperlink r:id="rId10">
        <w:r>
          <w:rPr>
            <w:color w:val="0B57D0"/>
            <w:u w:val="single"/>
          </w:rPr>
          <w:t>figshare</w:t>
        </w:r>
      </w:hyperlink>
      <w:r>
        <w:t xml:space="preserve">)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 3,429 of 9,853 instances touch an edge. Platforms therefore </w:t>
      </w:r>
      <w:r>
        <w:rPr>
          <w:i/>
        </w:rPr>
        <w:t>over</w:t>
      </w:r>
      <w:r>
        <w:t xml:space="preserve"> 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 Arm B ruled out giving small objects </w:t>
      </w:r>
      <w:r>
        <w:rPr>
          <w:i/>
        </w:rPr>
        <w:t>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 xml:space="preserve"> 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 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11"/>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2"/>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3"/>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4"/>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 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because its input representation could not be reproduced</w:t>
      </w:r>
      <w:r>
        <w:t xml:space="preserve"> → </w:t>
      </w:r>
      <w:r>
        <w:rPr>
          <w:i/>
        </w:rPr>
        <w:t>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(D4 dihedral augmentation)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follows the exact same logic, swapping orientation for visualization style. A mound is a mound whichever rendering recipe created it.</w:t>
      </w:r>
    </w:p>
    <w:p>
      <w:r>
        <w:t>Training on the same terrain rendered many different ways—different stretches, visualizations, and blends—would teach the model to key on the shape of the relief signature rather than on one rendering’s byte patterns. That would let the detector operate across datasets produced by heterogeneous processing pipelines without retraining.</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 xml:space="preserve">Code, configurations and the full lab notebook are in the repository: </w:t>
      </w:r>
      <w:hyperlink r:id="rId15">
        <w:r>
          <w:rPr>
            <w:b/>
            <w:color w:val="0B57D0"/>
            <w:u w:val="single"/>
          </w:rPr>
          <w:t>benjbritton/spacenet2-detectron2</w:t>
        </w:r>
      </w:hyperlink>
      <w:r>
        <w:t xml:space="preserve">. All 39 training runs, with their metrics and configurations, are logged at </w:t>
      </w:r>
      <w:hyperlink r:id="rId16">
        <w:r>
          <w:rPr>
            <w:b/>
            <w:color w:val="0B57D0"/>
            <w:u w:val="single"/>
          </w:rPr>
          <w:t>wandb.ai/benjbritton-geoai/benjbritton_FA26</w:t>
        </w:r>
      </w:hyperlink>
      <w:r>
        <w:t>.</w:t>
      </w:r>
    </w:p>
    <w:p>
      <w:r>
        <w:t xml:space="preserve">The dataset is Chactún, </w:t>
      </w:r>
      <w:hyperlink r:id="rId9">
        <w:r>
          <w:rPr>
            <w:color w:val="0B57D0"/>
            <w:u w:val="single"/>
          </w:rPr>
          <w:t>Kokalj et al. 2023</w:t>
        </w:r>
      </w:hyperlink>
      <w:r>
        <w:t xml:space="preserve">, CC BY 4.0, available from </w:t>
      </w:r>
      <w:hyperlink r:id="rId10">
        <w:r>
          <w:rPr>
            <w:color w:val="0B57D0"/>
            <w:u w:val="single"/>
          </w:rPr>
          <w:t>figshare</w:t>
        </w:r>
      </w:hyperlink>
      <w:r>
        <w:t>.</w:t>
      </w:r>
    </w:p>
    <w:p>
      <w:r>
        <w:t xml:space="preserve">Within the repository: </w:t>
      </w:r>
      <w:r>
        <w:rPr>
          <w:rFonts w:ascii="Consolas" w:hAnsi="Consolas"/>
          <w:sz w:val="19"/>
        </w:rPr>
        <w:t>src/detlab/datasets/masks_to_coco.py</w:t>
      </w:r>
      <w:r>
        <w:t xml:space="preserve"> converts the semantic masks, with all three dataset properties and the watershed sweep and its outcome documented in its docstring. </w:t>
      </w:r>
      <w:r>
        <w:rPr>
          <w:rFonts w:ascii="Consolas" w:hAnsi="Consolas"/>
          <w:sz w:val="19"/>
        </w:rPr>
        <w:t>scripts/make_chactun_split.py</w:t>
      </w:r>
      <w:r>
        <w:t xml:space="preserve"> builds the folds and measures the leak. </w:t>
      </w:r>
      <w:r>
        <w:rPr>
          <w:rFonts w:ascii="Consolas" w:hAnsi="Consolas"/>
          <w:sz w:val="19"/>
        </w:rPr>
        <w:t>scripts/train_chactun.py</w:t>
      </w:r>
      <w:r>
        <w:t xml:space="preserve"> runs any arm on any fold at any seed, and </w:t>
      </w:r>
      <w:r>
        <w:rPr>
          <w:rFonts w:ascii="Consolas" w:hAnsi="Consolas"/>
          <w:sz w:val="19"/>
        </w:rPr>
        <w:t>scripts/run_chactun_matrix.sh</w:t>
      </w:r>
      <w:r>
        <w:t xml:space="preserve"> runs the full matrix.</w:t>
      </w:r>
    </w:p>
    <w:p>
      <w:r>
        <w:t xml:space="preserve">Each negative result has its own script, so the evidence can be re-run rather than taken on trust: </w:t>
      </w:r>
      <w:r>
        <w:rPr>
          <w:rFonts w:ascii="Consolas" w:hAnsi="Consolas"/>
          <w:sz w:val="19"/>
        </w:rPr>
        <w:t>chactun_layout.py</w:t>
      </w:r>
      <w:r>
        <w:t xml:space="preserve"> and </w:t>
      </w:r>
      <w:r>
        <w:rPr>
          <w:rFonts w:ascii="Consolas" w:hAnsi="Consolas"/>
          <w:sz w:val="19"/>
        </w:rPr>
        <w:t>chactun_seams.py</w:t>
      </w:r>
      <w:r>
        <w:t xml:space="preserve"> for the missing geography, </w:t>
      </w:r>
      <w:r>
        <w:rPr>
          <w:rFonts w:ascii="Consolas" w:hAnsi="Consolas"/>
          <w:sz w:val="19"/>
        </w:rPr>
        <w:t>chactun_headroom.py</w:t>
      </w:r>
      <w:r>
        <w:t xml:space="preserve"> for the measurement ceiling, </w:t>
      </w:r>
      <w:r>
        <w:rPr>
          <w:rFonts w:ascii="Consolas" w:hAnsi="Consolas"/>
          <w:sz w:val="19"/>
        </w:rPr>
        <w:t>chactun_scale_sensitivity.py</w:t>
      </w:r>
      <w:r>
        <w:t xml:space="preserve"> for the resolution curve, and </w:t>
      </w:r>
      <w:r>
        <w:rPr>
          <w:rFonts w:ascii="Consolas" w:hAnsi="Consolas"/>
          <w:sz w:val="19"/>
        </w:rPr>
        <w:t>chactun_operating_point.py</w:t>
      </w:r>
      <w:r>
        <w:t xml:space="preserve"> for recall against false positives per km².</w:t>
      </w:r>
    </w:p>
    <w:p>
      <w:r>
        <w:rPr>
          <w:rFonts w:ascii="Consolas" w:hAnsi="Consolas"/>
          <w:sz w:val="19"/>
        </w:rPr>
        <w:t>LAB_NOTEBOOK.md</w:t>
      </w:r>
      <w:r>
        <w:t xml:space="preserve">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s41597-023-02455-x" TargetMode="External"/><Relationship Id="rId10" Type="http://schemas.openxmlformats.org/officeDocument/2006/relationships/hyperlink" Target="https://doi.org/10.6084/m9.figshare.22202395"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benjbritton/spacenet2-detectron2" TargetMode="External"/><Relationship Id="rId16" Type="http://schemas.openxmlformats.org/officeDocument/2006/relationships/hyperlink" Target="https://wandb.ai/benjbritton-geoai/benjbritton_FA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