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ways—different stretches, visualizations, and blends—would teach the model to key on the shape of the relief signature rather than on one rendering’s byte patterns. That removes the need for every user to adopt a single pipeline.</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