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 xml:space="preserve">at a survey-appropriate operating point. Six candidate improvements were then tested against it under five-fold cross-validation — 36 training runs, paired comparisons, a measured seed-noise floor and multiple-comparison correction. One produced a replicated gain of </w:t>
      </w:r>
      <w:r>
        <w:rPr>
          <w:b/>
        </w:rPr>
        <w:t>+4.16 AP</w:t>
      </w:r>
      <w:r>
        <w:t>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 xml:space="preserve"> 10:558, 2023, CC BY 4.0) ships 480×480 tiles at 0.5 m, three bands — sky-view factor, positive openness, slope — with annotations as </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 xml:space="preserve"> 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Edge correlation across all 2,093 consecutive-ID pairs is 0.291, against a random-pair baseline of 0.291. A sweep of every candidate row width from 2 to 259 is flat at ~0.283, with no spike anywhere.</w:t>
      </w:r>
    </w:p>
    <w:p>
      <w:r>
        <w:rPr>
          <w:b/>
        </w:rPr>
        <w:t>No seams exist at all.</w:t>
      </w:r>
      <w:r>
        <w:t>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 xml:space="preserve">Arm B ruled out giving small objects </w:t>
      </w:r>
      <w:r>
        <w:rPr>
          <w:i/>
        </w:rPr>
        <w:t xml:space="preserve"> anchors</w:t>
      </w:r>
      <w:r>
        <w:t xml:space="preserve">; arm F tested giving them </w:t>
      </w:r>
      <w:r>
        <w:rPr>
          <w:i/>
        </w:rPr>
        <w:t xml:space="preserve"> 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 xml:space="preserve"> 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rasterise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 xml:space="preserve">Regularisation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 </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 xml:space="preserve">Every number above is COCO AP, which integrates over all score thresholds and rewards precision at high confidence. That is not what an archaeological survey tool is for. A candidate generator runs at a </w:t>
      </w:r>
      <w:r>
        <w:rPr>
          <w:b/>
        </w:rPr>
        <w:t>low</w:t>
      </w:r>
      <w:r>
        <w:t>threshold, hands an expert many candidates, and is judged on what it missed — false positives are triage cost, not failure.</w:t>
      </w:r>
    </w:p>
    <w:p>
      <w:r>
        <w:t>Measured properly, 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w:t>
      </w:r>
      <w:r>
        <w:t xml:space="preserve">Arm D at AP 42.87 recalls 92% of real structures at a low threshold. And its advantage lives exactly where the tool would operate — +7.3 points at score 0.05, +2.2 at 0.50, and at 0.70 it is </w:t>
      </w:r>
      <w:r>
        <w:rPr>
          <w:i/>
        </w:rPr>
        <w:t xml:space="preserve"> worse</w:t>
      </w:r>
      <w:r>
        <w:t xml:space="preserve"> than the control. At a matched budget of 100 FP/km² the like-for-like gain is about +3.0 points, not +7.3, since arm D buys some of its recall by emitting more detections.</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 xml:space="preserve">The cause is a property of the visualization choice. Sky-view factor, positive openness and slope all emphasize </w:t>
      </w:r>
      <w:r>
        <w:rPr>
          <w:b/>
        </w:rPr>
        <w:t>raised</w:t>
      </w:r>
      <w:r>
        <w:t xml:space="preserve">features; positive openness in particular highlights convex forms. Buildings and platforms are raised structures, so they light up. </w:t>
      </w:r>
      <w:r>
        <w:rPr>
          <w:b/>
        </w:rPr>
        <w:t xml:space="preserve">An aguada is a depression, and the diagnostic visualization for concavity is </w:t>
      </w:r>
      <w:r>
        <w:rPr>
          <w:i/>
        </w:rPr>
      </w:r>
      <w:r>
        <w:rPr>
          <w:b/>
        </w:rPr>
        <w:t>negative</w:t>
      </w:r>
      <w:r>
        <w:rPr>
          <w:i/>
        </w:rPr>
      </w:r>
      <w:r>
        <w:rPr>
          <w:b/>
        </w:rPr>
        <w:t>openness — which this dataset does not ship.</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rather than pixel count, which matters more than it sounds. Measured on Chactún, naive fixed-pixel tiling costs about two-thirds of the resolution penalty, because a 1 m survey puts four times the ground in each 480×480 tile and objects shrink accordingly. Tiling in meters holds object size constant and removes that entirely — a 240 m tile resized to 800 px reproduces the training scale whatever the source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 xml:space="preserve">were matched — each band rescaled so its valid pixels carried Chactún's mean and standard deviation — rather than the stretch </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 xml:space="preserve"> 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 xml:space="preserve"> → </w:t>
      </w:r>
      <w:r>
        <w:rPr>
          <w:i/>
        </w:rPr>
        <w:t xml:space="preserve"> because its input representation could not be reproduced</w:t>
      </w:r>
      <w:r>
        <w:t xml:space="preserve"> → </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across uncurated third-party LiDAR</w:t>
      </w:r>
    </w:p>
    <w:p>
      <w:pPr>
        <w:pStyle w:val="ListBullet"/>
      </w:pPr>
      <w:r>
        <w:rPr>
          <w:b/>
        </w:rPr>
        <w:t>Feature invariance</w:t>
      </w:r>
      <w:r>
        <w:t>across heterogeneous sensor resolutions, point densities and canopy-removal artifacts</w:t>
      </w:r>
    </w:p>
    <w:p>
      <w:pPr>
        <w:pStyle w:val="ListBullet"/>
      </w:pPr>
      <w:r>
        <w:rPr>
          <w:b/>
        </w:rPr>
        <w:t>No site-specific tuning</w:t>
      </w:r>
      <w:r>
        <w:t>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characteristics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Anchors, cascade refinement, input resolution and rare-class oversampling: all within noise. Augmentation: +4.16.</w:t>
      </w:r>
    </w:p>
    <w:p>
      <w:pPr>
        <w:pStyle w:val="ListBullet"/>
      </w:pPr>
      <w:r>
        <w:rPr>
          <w:b/>
        </w:rPr>
        <w:t>Report at the operating point the tool will actually use.</w:t>
      </w:r>
      <w:r>
        <w:t>AP made a 92%-recall detector look mediocre.</w:t>
      </w:r>
    </w:p>
    <w:p>
      <w:pPr>
        <w:pStyle w:val="ListBullet"/>
      </w:pPr>
      <w:r>
        <w:rPr>
          <w:b/>
        </w:rPr>
        <w:t>A class can be unrepresented rather than underlearned.</w:t>
      </w:r>
      <w:r>
        <w:t>No amount of data fixes a band that does not carry the signal.</w:t>
      </w:r>
    </w:p>
    <w:p>
      <w:pPr>
        <w:pStyle w:val="ListBullet"/>
      </w:pPr>
      <w:r>
        <w:rPr>
          <w:b/>
        </w:rPr>
        <w:t>In-domain evaluation does not reveal portability limits.</w:t>
      </w:r>
      <w:r>
        <w:t>It took contact with foreign data to find the constraint that mattered most.</w:t>
      </w:r>
    </w:p>
    <w:p>
      <w:pPr>
        <w:pStyle w:val="ListBullet"/>
      </w:pPr>
      <w:r>
        <w:rPr>
          <w:b/>
        </w:rPr>
        <w:t>Train as close to the source measurement as the data allows.</w:t>
      </w:r>
      <w:r>
        <w:t>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