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at a survey-appropriate operating point. Six candidate improvements were then tested against it under five-fold cross-validation — 36 training runs, paired comparisons, a measured seed-noise floor and multiple-comparison correction. One produced a replicated gain of</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10:558, 2023, CC BY 4.0) ships 480×480 tiles at 0.5 m, three bands — sky-view factor, positive openness, slope — with annotations as</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 the Chactún dataset omits any visualization band that explicitly highlights terrain concavity.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accounts for about two-thirds of the resolution penalty: at 1.0 m resolution, a fixed 480×480 pixel tile covers twice the linear ground distance (480 m), causing target structures to shrink to a quarter of their native pixel area. Tiling by ground extent normalizes object scale rather than information content: cropping a fixed 240 m ground window — matching Chactún's native spatial coverage — and resizing it to 800 px reproduces the expected training geometry across survey resolutions, isolating the remaining penalty to the detail the coarser survey never recorded.</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were matched — each band rescaled so its valid pixels carried Chactún's mean and standard deviation — rather than the stretch</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And the stretch function cannot be recovered. Verified against the deposit's file list, Chactún provides ML-ready visualizations, masks, a canopy height model, and Sentinel-1/2 imagery, but no DEM, no DTM, and no point cloud data.</w:t>
      </w:r>
    </w:p>
    <w:p>
      <w:r>
        <w:t>The pipeline therefore faces three distinct dataset limitations, none of them reversible from the released data:</w:t>
      </w:r>
    </w:p>
    <w:p>
      <w:pPr>
        <w:pStyle w:val="ListBullet"/>
      </w:pPr>
      <w:r>
        <w:rPr>
          <w:b/>
        </w:rPr>
        <w:t>No source elevation data.</w:t>
      </w:r>
      <w:r>
        <w:t xml:space="preserve"> Without the raw DEM or DTM, alternative spatial visualizations cannot be regenerated downstream.</w:t>
      </w:r>
    </w:p>
    <w:p>
      <w:pPr>
        <w:pStyle w:val="ListBullet"/>
      </w:pPr>
      <w:r>
        <w:rPr>
          <w:b/>
        </w:rPr>
        <w:t>Quantized 8-bit rendering.</w:t>
      </w:r>
      <w:r>
        <w:t xml:space="preserve"> The three visualization rasters were truncated from float precision at export time, so fine gradients within sky-view factor, positive openness and slope cannot be recovered.</w:t>
      </w:r>
    </w:p>
    <w:p>
      <w:pPr>
        <w:pStyle w:val="ListBullet"/>
      </w:pPr>
      <w:r>
        <w:rPr>
          <w:b/>
        </w:rPr>
        <w:t>Fixed visualization selection.</w:t>
      </w:r>
      <w:r>
        <w:t xml:space="preserve"> The deposit committed permanently to three specific bands, omitting hillshading, local relief models, and negative openness — the precise diagnostic channel required to resolve terrain concavity (aguadas).</w:t>
      </w:r>
    </w:p>
    <w:p>
      <w:r>
        <w:t>In short, the deposit sits several lossy steps downstream from the original LiDAR point cloud. A model trained at the end of that processing chain inherits every upstream constraint, with no mechanism to recover the lost spatial signal.</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w:t>
      </w:r>
      <w:r>
        <w:rPr>
          <w:i/>
        </w:rPr>
        <w:t xml:space="preserve"> because its input representation could not be reproduced</w:t>
      </w:r>
      <w:r>
        <w:t>→</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characteriztics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