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At the 800 px input these configs use, 31.8% of buildings fall below the smallest 32 px anchor — an obvious-looking problem with an obvious-looking fix. Shifting the ladder down an octave gave −0.80 ± 1.07, below the seed noise floor, with </w:t>
      </w:r>
      <w:r>
        <w:rPr>
          <w:i/>
        </w:rPr>
        <w:t xml:space="preserve"> every</w:t>
      </w:r>
      <w:r>
        <w:t xml:space="preserve"> metric negative. It is the fifth mechanism in this project to correlate with the symptom and then not survive ablation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augmentation produced the one measurable gain</w:t>
      </w:r>
      <w:r>
        <w:t>, and it improved every class: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