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w:t>
      </w:r>
    </w:p>
    <w:p>
      <w:r>
        <w:t>Training on the same terrain rendered many different ways—different stretches, visualizations, and blends—would teach the model to key on the shape of the relief signature rather than on one rendering’s byte patterns. That would let the detector operate across datasets produced by heterogeneous processing pipelines without retraining.</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