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ground distance (480 m), causing target structures to shrink to a quarter of their native pixel area. Tiling by ground extent normalizes object scale rather than information content: cropping a fixed 240 m ground window — matching Chactún's native spatial coverage — and resizing it to 800 px reproduces the expected training geometry across survey resolutions, isolating the remaining penalty to the detail the coarser survey never recorded.</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And the stretch function cannot be recovered. Verified against the deposit's file list, Chactún provides ML-ready visualizations, masks, a canopy height model, and Sentinel-1/2 imagery, but no DEM, no DTM, and no point cloud data.</w:t>
      </w:r>
    </w:p>
    <w:p>
      <w:r>
        <w:t>The pipeline therefore faces three distinct dataset limitations, none of them reversible from the released data:</w:t>
      </w:r>
    </w:p>
    <w:p>
      <w:r>
        <w:t xml:space="preserve">1. </w:t>
      </w:r>
      <w:r>
        <w:rPr>
          <w:b/>
        </w:rPr>
        <w:t>No source elevation data.</w:t>
      </w:r>
      <w:r>
        <w:t xml:space="preserve"> Without the underlying DEM or DTM, alternative spatial visualizations cannot be regenerated downstream.</w:t>
      </w:r>
    </w:p>
    <w:p>
      <w:r>
        <w:t xml:space="preserve">2. </w:t>
      </w:r>
      <w:r>
        <w:rPr>
          <w:b/>
        </w:rPr>
        <w:t>Quantized 8-bit visualization exports.</w:t>
      </w:r>
      <w:r>
        <w:t xml:space="preserve"> Floating-point arrays for sky-view factor, openness, and slope were permanently truncated to 8-bit integers at export, destroying fine continuous variance across those derived features.</w:t>
      </w:r>
    </w:p>
    <w:p>
      <w:r>
        <w:t xml:space="preserve">3. </w:t>
      </w:r>
      <w:r>
        <w:rPr>
          <w:b/>
        </w:rPr>
        <w:t>Fixed visualization selection.</w:t>
      </w:r>
      <w:r>
        <w:t xml:space="preserve"> The deposit committed permanently to three specific bands, omitting hillshading, local relief models, and negative openness — the precise diagnostic channel required to resolve terrain concavity (aguadas).</w:t>
      </w:r>
    </w:p>
    <w:p>
      <w:r>
        <w:t>In short, the deposit sits several lossy steps downstream from the original LiDAR point cloud. A model trained at the end of that processing chain inherits every upstream constraint, with no mechanism to recover the lost spatial signal.</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(D4 dihedral augmentation)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follows the exact same logic, swapping orientation for visualization style. A mound is a mound whichever rendering recipe created it.</w:t>
      </w:r>
    </w:p>
    <w:p>
      <w:r>
        <w:t>Training on the same terrain rendered many different ways — different stretches, visualizations and blends — would teach the model to key on the shape of the relief signature rather than on one rendering's byte patterns, instead of requiring every user to adopt a single pipeline.</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