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88" w:rsidRDefault="001A6188" w:rsidP="001A6188">
      <w:pPr>
        <w:pStyle w:val="Heading1"/>
        <w:jc w:val="center"/>
      </w:pPr>
      <w:r>
        <w:t>Appendix D - Analytical Solution to 1D Single-phase Fluid Flow</w:t>
      </w:r>
    </w:p>
    <w:p w:rsidR="001A6188" w:rsidRDefault="001A6188" w:rsidP="00A74413"/>
    <w:p w:rsidR="001A6188" w:rsidRDefault="0095533D" w:rsidP="0095533D">
      <w:pPr>
        <w:jc w:val="center"/>
      </w:pPr>
      <w:r>
        <w:rPr>
          <w:noProof/>
        </w:rPr>
        <w:drawing>
          <wp:inline distT="0" distB="0" distL="0" distR="0">
            <wp:extent cx="3648075" cy="17049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25" w:rsidRDefault="00EE1B93" w:rsidP="00304E72">
      <w:r>
        <w:t xml:space="preserve">For the 1D, block-centered grid shown above, determine the pressure distribution during the first year of production. The initial reservoir pressure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 xml:space="preserve">6,000 </m:t>
        </m:r>
        <m:r>
          <m:rPr>
            <m:sty m:val="p"/>
          </m:rPr>
          <w:rPr>
            <w:rFonts w:ascii="Cambria Math" w:hAnsi="Cambria Math"/>
          </w:rPr>
          <m:t>psi</m:t>
        </m:r>
      </m:oMath>
      <w:r>
        <w:t xml:space="preserve">. The rock and fluid properties for this problem 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x=1,000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y=1,000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z=75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=3.5×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ps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=15 </m:t>
        </m:r>
        <m:r>
          <m:rPr>
            <m:sty m:val="p"/>
          </m:rPr>
          <w:rPr>
            <w:rFonts w:ascii="Cambria Math" w:eastAsiaTheme="minorEastAsia" w:hAnsi="Cambria Math"/>
          </w:rPr>
          <m:t>md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ϕ=0.18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r>
          <m:rPr>
            <m:sty m:val="p"/>
          </m:rPr>
          <w:rPr>
            <w:rFonts w:ascii="Cambria Math" w:eastAsiaTheme="minorEastAsia" w:hAnsi="Cambria Math"/>
          </w:rPr>
          <m:t>cp</m:t>
        </m:r>
      </m:oMath>
      <w:r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°</m:t>
            </m:r>
          </m:sup>
        </m:sSubSup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>.</w:t>
      </w:r>
    </w:p>
    <w:p w:rsidR="001A6188" w:rsidRDefault="001A6188" w:rsidP="00304E72"/>
    <w:p w:rsidR="009B0235" w:rsidRPr="008033A2" w:rsidRDefault="00897F70" w:rsidP="008033A2">
      <w:pPr>
        <w:rPr>
          <w:rFonts w:ascii="Cambria Math" w:hAnsi="Cambria Math"/>
        </w:rPr>
      </w:pPr>
      <w:r>
        <w:t xml:space="preserve">Consider the following </w:t>
      </w:r>
      <w:r w:rsidR="008033A2">
        <w:t>equation</w:t>
      </w:r>
      <w:r w:rsidR="00D35E65">
        <w:t xml:space="preserve"> (as derived in </w:t>
      </w:r>
      <w:r w:rsidR="00D35E65" w:rsidRPr="00D35E65">
        <w:rPr>
          <w:b/>
          <w:highlight w:val="yellow"/>
        </w:rPr>
        <w:t>App. A</w:t>
      </w:r>
      <w:r w:rsidR="00D35E65">
        <w:t>)</w:t>
      </w:r>
      <w:r>
        <w:t xml:space="preserve"> </w:t>
      </w:r>
      <w:proofErr w:type="gramStart"/>
      <w:r>
        <w:t>with</w:t>
      </w:r>
      <w:proofErr w:type="gramEnd"/>
      <w:r>
        <w:t xml:space="preserve"> its</w:t>
      </w:r>
      <w:r w:rsidR="00554C50">
        <w:t xml:space="preserve"> initial and boundary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424"/>
      </w:tblGrid>
      <w:tr w:rsidR="002F1633" w:rsidTr="000B3915">
        <w:tc>
          <w:tcPr>
            <w:tcW w:w="9017" w:type="dxa"/>
            <w:gridSpan w:val="2"/>
            <w:vAlign w:val="center"/>
          </w:tcPr>
          <w:p w:rsidR="002F1633" w:rsidRDefault="002F1633" w:rsidP="00316FDA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Partial differential equation</w:t>
            </w:r>
            <w:r w:rsidR="008033A2">
              <w:rPr>
                <w:rFonts w:eastAsia="Calibri"/>
              </w:rPr>
              <w:t xml:space="preserve"> (PDE)</w:t>
            </w:r>
          </w:p>
        </w:tc>
      </w:tr>
      <w:tr w:rsidR="00FC1F5D" w:rsidTr="000B3915">
        <w:tc>
          <w:tcPr>
            <w:tcW w:w="9017" w:type="dxa"/>
            <w:gridSpan w:val="2"/>
            <w:vAlign w:val="center"/>
          </w:tcPr>
          <w:p w:rsidR="00FC1F5D" w:rsidRPr="00B856B3" w:rsidRDefault="001907AA" w:rsidP="00D35926">
            <w:pPr>
              <w:jc w:val="left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xρk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</m:e>
                  </m:mr>
                </m:m>
              </m:oMath>
            </m:oMathPara>
          </w:p>
          <w:p w:rsidR="00B856B3" w:rsidRPr="006E5BCA" w:rsidRDefault="00B856B3" w:rsidP="00D35926">
            <w:pPr>
              <w:jc w:val="left"/>
              <w:rPr>
                <w:rFonts w:eastAsiaTheme="minorEastAsia"/>
              </w:rPr>
            </w:pPr>
          </w:p>
          <w:p w:rsidR="006E5BCA" w:rsidRDefault="001907AA" w:rsidP="006E5BCA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</m:t>
                      </m:r>
                      <m:r>
                        <w:rPr>
                          <w:rFonts w:ascii="Cambria Math" w:hAnsi="Cambria Math"/>
                        </w:rPr>
                        <m:t xml:space="preserve"> 0≤x≤5000,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t≥0</m:t>
                      </m:r>
                    </m:e>
                  </m:mr>
                </m:m>
              </m:oMath>
            </m:oMathPara>
          </w:p>
        </w:tc>
      </w:tr>
      <w:tr w:rsidR="0071393B" w:rsidTr="00FC1F5D">
        <w:tc>
          <w:tcPr>
            <w:tcW w:w="4593" w:type="dxa"/>
            <w:vAlign w:val="center"/>
          </w:tcPr>
          <w:p w:rsidR="0071393B" w:rsidRDefault="0071393B" w:rsidP="00316FDA">
            <w:pPr>
              <w:jc w:val="left"/>
            </w:pPr>
            <w:r>
              <w:t>Initial condition</w:t>
            </w:r>
            <w:r w:rsidR="00432808">
              <w:t xml:space="preserve"> (IC)</w:t>
            </w:r>
          </w:p>
        </w:tc>
        <w:tc>
          <w:tcPr>
            <w:tcW w:w="4424" w:type="dxa"/>
            <w:vAlign w:val="center"/>
          </w:tcPr>
          <w:p w:rsidR="0071393B" w:rsidRDefault="0071393B" w:rsidP="00316FDA">
            <w:pPr>
              <w:jc w:val="left"/>
            </w:pPr>
            <w:r>
              <w:t>Boundary condition</w:t>
            </w:r>
            <w:r w:rsidR="00432808">
              <w:t xml:space="preserve"> (BC)</w:t>
            </w:r>
          </w:p>
        </w:tc>
      </w:tr>
      <w:tr w:rsidR="00316FDA" w:rsidTr="00FC1F5D">
        <w:tc>
          <w:tcPr>
            <w:tcW w:w="4593" w:type="dxa"/>
            <w:vAlign w:val="center"/>
          </w:tcPr>
          <w:p w:rsidR="00316FDA" w:rsidRDefault="00316FDA" w:rsidP="00316FD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t=0</m:t>
                    </m:r>
                  </m:e>
                </m:d>
                <m:r>
                  <w:rPr>
                    <w:rFonts w:ascii="Cambria Math" w:hAnsi="Cambria Math"/>
                  </w:rPr>
                  <m:t>=6000</m:t>
                </m:r>
              </m:oMath>
            </m:oMathPara>
          </w:p>
        </w:tc>
        <w:tc>
          <w:tcPr>
            <w:tcW w:w="4424" w:type="dxa"/>
            <w:vAlign w:val="center"/>
          </w:tcPr>
          <w:p w:rsidR="00316FDA" w:rsidRDefault="001907AA" w:rsidP="00C10107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  <w:tr w:rsidR="0082574C" w:rsidTr="00FC1F5D">
        <w:tc>
          <w:tcPr>
            <w:tcW w:w="4593" w:type="dxa"/>
            <w:vAlign w:val="center"/>
          </w:tcPr>
          <w:p w:rsidR="0082574C" w:rsidRDefault="0082574C" w:rsidP="00316FDA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Other specification</w:t>
            </w:r>
          </w:p>
        </w:tc>
        <w:tc>
          <w:tcPr>
            <w:tcW w:w="4424" w:type="dxa"/>
            <w:vAlign w:val="center"/>
          </w:tcPr>
          <w:p w:rsidR="0082574C" w:rsidRPr="00316FDA" w:rsidRDefault="0082574C" w:rsidP="00C10107">
            <w:pPr>
              <w:jc w:val="left"/>
              <w:rPr>
                <w:rFonts w:eastAsia="Calibri"/>
              </w:rPr>
            </w:pPr>
          </w:p>
        </w:tc>
      </w:tr>
      <w:tr w:rsidR="0082574C" w:rsidTr="00FC1F5D">
        <w:tc>
          <w:tcPr>
            <w:tcW w:w="4593" w:type="dxa"/>
            <w:vAlign w:val="center"/>
          </w:tcPr>
          <w:p w:rsidR="0082574C" w:rsidRDefault="001907AA" w:rsidP="0082574C">
            <w:pPr>
              <w:jc w:val="left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</w:rPr>
                      <m:t>sc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x=3500</m:t>
                    </m:r>
                  </m:e>
                </m:d>
                <m:r>
                  <w:rPr>
                    <w:rFonts w:ascii="Cambria Math" w:eastAsia="Calibri" w:hAnsi="Cambria Math"/>
                  </w:rPr>
                  <m:t>=-150</m:t>
                </m:r>
                <m:f>
                  <m:fPr>
                    <m:ctrlPr>
                      <w:rPr>
                        <w:rFonts w:ascii="Cambria Math" w:eastAsia="Calibri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BBL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82574C" w:rsidRPr="00316FDA" w:rsidRDefault="001907AA" w:rsidP="00AE1DE2">
            <w:pPr>
              <w:jc w:val="left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=ρ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="Calibri" w:hAnsi="Cambria Math"/>
                        </w:rPr>
                        <m:t>=-150ρ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day</m:t>
                          </m:r>
                        </m:den>
                      </m:f>
                      <m:r>
                        <w:rPr>
                          <w:rFonts w:ascii="Cambria Math" w:eastAsia="Calibri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</w:rPr>
                            <m:t xml:space="preserve">5.6146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=-842.19ρ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day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6C10AF" w:rsidRDefault="006C10AF" w:rsidP="00A74413"/>
    <w:p w:rsidR="001A6188" w:rsidRDefault="00704131" w:rsidP="00A74413">
      <w:pPr>
        <w:rPr>
          <w:rFonts w:eastAsiaTheme="minorEastAsia"/>
        </w:rPr>
      </w:pPr>
      <w:r>
        <w:t xml:space="preserve">First, we need to assume that the only variable that changes with respect 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All else are constants.</w:t>
      </w:r>
      <w:r w:rsidR="009B0235">
        <w:rPr>
          <w:rFonts w:eastAsiaTheme="minorEastAsia"/>
        </w:rPr>
        <w:t xml:space="preserve"> </w:t>
      </w:r>
      <w:r w:rsidR="00C925CD">
        <w:rPr>
          <w:rFonts w:eastAsiaTheme="minorEastAsia"/>
        </w:rPr>
        <w:t>We</w:t>
      </w:r>
      <w:r w:rsidR="009B0235">
        <w:rPr>
          <w:rFonts w:eastAsiaTheme="minorEastAsia"/>
        </w:rPr>
        <w:t xml:space="preserve"> can group</w:t>
      </w:r>
      <w:r w:rsidR="00C925CD">
        <w:rPr>
          <w:rFonts w:eastAsiaTheme="minorEastAsia"/>
        </w:rPr>
        <w:t xml:space="preserve"> variable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xρk</m:t>
            </m:r>
          </m:den>
        </m:f>
      </m:oMath>
      <w:r w:rsidR="00C925CD">
        <w:rPr>
          <w:rFonts w:eastAsiaTheme="minorEastAsia"/>
        </w:rPr>
        <w:t xml:space="preserve"> and define it </w:t>
      </w:r>
      <w:proofErr w:type="gramStart"/>
      <w:r w:rsidR="00C925CD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α</m:t>
        </m:r>
      </m:oMath>
      <w:r w:rsidR="00C925CD">
        <w:rPr>
          <w:rFonts w:eastAsiaTheme="minorEastAsia"/>
        </w:rPr>
        <w:t xml:space="preserve">. Similarly, we define </w:t>
      </w:r>
      <m:oMath>
        <m:r>
          <w:rPr>
            <w:rFonts w:ascii="Cambria Math" w:eastAsia="Cambria Math" w:hAnsi="Cambria Math" w:cs="Cambria Math"/>
          </w:rPr>
          <m:t>ϕρ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</m:oMath>
      <w:r w:rsidR="00C925CD">
        <w:rPr>
          <w:rFonts w:eastAsiaTheme="minorEastAsia"/>
        </w:rPr>
        <w:t xml:space="preserve"> </w:t>
      </w:r>
      <w:proofErr w:type="gramStart"/>
      <w:r w:rsidR="00C925CD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β</m:t>
        </m:r>
      </m:oMath>
      <w:r w:rsidR="00C925CD">
        <w:rPr>
          <w:rFonts w:eastAsiaTheme="minorEastAsia"/>
        </w:rPr>
        <w:t>.</w:t>
      </w:r>
      <w:r w:rsidR="00B30E1E">
        <w:rPr>
          <w:rFonts w:eastAsiaTheme="minorEastAsia"/>
        </w:rPr>
        <w:t xml:space="preserve"> The PDE</w:t>
      </w:r>
      <w:r w:rsidR="008F7DE7">
        <w:rPr>
          <w:rFonts w:eastAsiaTheme="minorEastAsia"/>
        </w:rPr>
        <w:t xml:space="preserve"> then</w:t>
      </w:r>
      <w:r w:rsidR="00B30E1E">
        <w:rPr>
          <w:rFonts w:eastAsiaTheme="minorEastAsia"/>
        </w:rPr>
        <w:t xml:space="preserve"> becomes</w:t>
      </w:r>
    </w:p>
    <w:p w:rsidR="00B30E1E" w:rsidRDefault="001907AA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βα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+α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C925CD" w:rsidRDefault="00C925CD" w:rsidP="00A74413">
      <w:pPr>
        <w:rPr>
          <w:rFonts w:eastAsiaTheme="minorEastAsia"/>
        </w:rPr>
      </w:pPr>
    </w:p>
    <w:p w:rsidR="00125DEB" w:rsidRDefault="00125DEB" w:rsidP="00A74413">
      <w:pPr>
        <w:rPr>
          <w:rFonts w:eastAsiaTheme="minorEastAsia"/>
        </w:rPr>
      </w:pPr>
      <w:r>
        <w:rPr>
          <w:rFonts w:eastAsiaTheme="minorEastAsia"/>
        </w:rPr>
        <w:lastRenderedPageBreak/>
        <w:t>Recognize</w:t>
      </w:r>
      <w:r w:rsidR="009335DC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the equation is</w:t>
      </w:r>
      <w:r w:rsidR="000F0466">
        <w:rPr>
          <w:rFonts w:eastAsiaTheme="minorEastAsia"/>
        </w:rPr>
        <w:t xml:space="preserve"> a non-homogeneous PDE</w:t>
      </w:r>
      <w:r>
        <w:rPr>
          <w:rFonts w:eastAsiaTheme="minorEastAsia"/>
        </w:rPr>
        <w:t xml:space="preserve"> of the </w:t>
      </w:r>
      <w:proofErr w:type="gramStart"/>
      <w:r>
        <w:rPr>
          <w:rFonts w:eastAsiaTheme="minorEastAsia"/>
        </w:rPr>
        <w:t>form</w:t>
      </w:r>
      <w:r w:rsidR="00C828E2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 being constant for every </w:t>
      </w:r>
      <m:oMath>
        <m:r>
          <w:rPr>
            <w:rFonts w:ascii="Cambria Math" w:eastAsiaTheme="minorEastAsia" w:hAnsi="Cambria Math"/>
          </w:rPr>
          <m:t>x</m:t>
        </m:r>
      </m:oMath>
      <w:r w:rsidR="00E3654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E36548">
        <w:rPr>
          <w:rFonts w:eastAsiaTheme="minorEastAsia"/>
        </w:rPr>
        <w:t xml:space="preserve">. We can apply </w:t>
      </w:r>
      <w:r w:rsidR="00E36548" w:rsidRPr="00BB3BF9">
        <w:rPr>
          <w:rFonts w:eastAsiaTheme="minorEastAsia"/>
          <w:b/>
        </w:rPr>
        <w:t>Laplace transform</w:t>
      </w:r>
      <w:r w:rsidR="00E36548">
        <w:rPr>
          <w:rFonts w:eastAsiaTheme="minorEastAsia"/>
        </w:rPr>
        <w:t xml:space="preserve"> in this case.</w:t>
      </w:r>
      <w:r w:rsidR="00914B8C">
        <w:rPr>
          <w:rFonts w:eastAsiaTheme="minorEastAsia"/>
        </w:rPr>
        <w:t xml:space="preserve"> Recall the following definition of Laplace transform</w:t>
      </w:r>
      <w:r w:rsidR="003C0CA0">
        <w:rPr>
          <w:rFonts w:eastAsiaTheme="minorEastAsia"/>
        </w:rPr>
        <w:t xml:space="preserve"> for </w:t>
      </w:r>
      <w:r w:rsidR="001703EC">
        <w:rPr>
          <w:rFonts w:eastAsiaTheme="minorEastAsia"/>
        </w:rPr>
        <w:t>some</w:t>
      </w:r>
      <w:r w:rsidR="003C0CA0">
        <w:rPr>
          <w:rFonts w:eastAsiaTheme="minorEastAsia"/>
        </w:rPr>
        <w:t xml:space="preserve"> function</w:t>
      </w:r>
      <w:r w:rsidR="007A0D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3C0CA0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x</m:t>
        </m:r>
      </m:oMath>
      <w:r w:rsidR="003C0C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</w:p>
    <w:p w:rsidR="00D35926" w:rsidRDefault="000C6C1C" w:rsidP="00A744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x,s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:rsidR="00D35926" w:rsidRDefault="00D35926" w:rsidP="00A74413">
      <w:pPr>
        <w:rPr>
          <w:rFonts w:eastAsiaTheme="minorEastAsia"/>
        </w:rPr>
      </w:pPr>
    </w:p>
    <w:p w:rsidR="009650F2" w:rsidRDefault="009650F2" w:rsidP="00A74413">
      <w:pPr>
        <w:rPr>
          <w:rFonts w:eastAsiaTheme="minorEastAsia"/>
        </w:rPr>
      </w:pPr>
      <w:r w:rsidRPr="009650F2">
        <w:rPr>
          <w:rFonts w:eastAsiaTheme="minorEastAsia"/>
          <w:i/>
        </w:rPr>
        <w:t>Remark</w:t>
      </w:r>
      <w:r>
        <w:rPr>
          <w:rFonts w:eastAsiaTheme="minorEastAsia"/>
        </w:rPr>
        <w:t xml:space="preserve">. We are performing Laplace transform </w:t>
      </w:r>
      <w:r w:rsidRPr="00A35DDC">
        <w:rPr>
          <w:rFonts w:eastAsiaTheme="minorEastAsia"/>
          <w:b/>
        </w:rPr>
        <w:t xml:space="preserve">with respect </w:t>
      </w:r>
      <w:proofErr w:type="gramStart"/>
      <w:r w:rsidRPr="00A35DDC">
        <w:rPr>
          <w:rFonts w:eastAsiaTheme="minorEastAsia"/>
          <w:b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59145B">
        <w:rPr>
          <w:rFonts w:eastAsiaTheme="minorEastAsia"/>
        </w:rPr>
        <w:t>.</w:t>
      </w:r>
    </w:p>
    <w:p w:rsidR="009650F2" w:rsidRDefault="009650F2" w:rsidP="00A74413">
      <w:pPr>
        <w:rPr>
          <w:rFonts w:eastAsiaTheme="minorEastAsia"/>
        </w:rPr>
      </w:pPr>
    </w:p>
    <w:p w:rsidR="00FA0AF8" w:rsidRDefault="00FA0AF8" w:rsidP="00A74413">
      <w:pPr>
        <w:rPr>
          <w:rFonts w:eastAsiaTheme="minorEastAsia"/>
        </w:rPr>
      </w:pPr>
      <w:r>
        <w:rPr>
          <w:rFonts w:eastAsiaTheme="minorEastAsia"/>
        </w:rPr>
        <w:t>Applying that to the PDE</w:t>
      </w:r>
    </w:p>
    <w:p w:rsidR="00D35926" w:rsidRDefault="001907AA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βα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</w:rPr>
                        <m:t>× L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×L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βα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C925CD" w:rsidRDefault="00C925CD" w:rsidP="00A74413"/>
    <w:p w:rsidR="00ED20C9" w:rsidRDefault="001B16E4" w:rsidP="00A74413">
      <w:pPr>
        <w:rPr>
          <w:rFonts w:eastAsiaTheme="minorEastAsia"/>
        </w:rPr>
      </w:pPr>
      <w:r>
        <w:t xml:space="preserve">For </w:t>
      </w:r>
      <w:r w:rsidR="00365924">
        <w:t>clarity</w:t>
      </w:r>
      <w:r>
        <w:t>, l</w:t>
      </w:r>
      <w:r w:rsidR="00ED20C9">
        <w:t xml:space="preserve">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ED20C9">
        <w:rPr>
          <w:rFonts w:eastAsiaTheme="minorEastAsia"/>
        </w:rPr>
        <w:t xml:space="preserve"> denote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ED20C9" w:rsidRDefault="001907A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777B99" w:rsidRDefault="00777B99" w:rsidP="00A74413"/>
    <w:p w:rsidR="00B3415E" w:rsidRDefault="00B3415E" w:rsidP="00A74413">
      <w:r>
        <w:t>Similarly, perform Laplace transform to BC and IC. We are now given the following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424"/>
      </w:tblGrid>
      <w:tr w:rsidR="00213ABB" w:rsidTr="000B3915">
        <w:tc>
          <w:tcPr>
            <w:tcW w:w="9017" w:type="dxa"/>
            <w:gridSpan w:val="2"/>
            <w:vAlign w:val="center"/>
          </w:tcPr>
          <w:p w:rsidR="00213ABB" w:rsidRDefault="00213ABB" w:rsidP="000B3915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Partial differential equation (PDE)</w:t>
            </w:r>
          </w:p>
        </w:tc>
      </w:tr>
      <w:tr w:rsidR="00213ABB" w:rsidTr="000B3915">
        <w:tc>
          <w:tcPr>
            <w:tcW w:w="9017" w:type="dxa"/>
            <w:gridSpan w:val="2"/>
            <w:vAlign w:val="center"/>
          </w:tcPr>
          <w:p w:rsidR="00213ABB" w:rsidRPr="00213ABB" w:rsidRDefault="001907AA" w:rsidP="00213ABB">
            <w:pPr>
              <w:jc w:val="left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213ABB" w:rsidTr="000B3915">
        <w:tc>
          <w:tcPr>
            <w:tcW w:w="4593" w:type="dxa"/>
            <w:vAlign w:val="center"/>
          </w:tcPr>
          <w:p w:rsidR="00213ABB" w:rsidRDefault="00213ABB" w:rsidP="000B3915">
            <w:pPr>
              <w:jc w:val="left"/>
            </w:pPr>
            <w:r>
              <w:t>Initial condition (IC)</w:t>
            </w:r>
          </w:p>
        </w:tc>
        <w:tc>
          <w:tcPr>
            <w:tcW w:w="4424" w:type="dxa"/>
            <w:vAlign w:val="center"/>
          </w:tcPr>
          <w:p w:rsidR="00213ABB" w:rsidRDefault="00213ABB" w:rsidP="000B3915">
            <w:pPr>
              <w:jc w:val="left"/>
            </w:pPr>
            <w:r>
              <w:t>Boundary condition (BC)</w:t>
            </w:r>
          </w:p>
        </w:tc>
      </w:tr>
      <w:tr w:rsidR="00213ABB" w:rsidTr="000B3915">
        <w:tc>
          <w:tcPr>
            <w:tcW w:w="4593" w:type="dxa"/>
            <w:vAlign w:val="center"/>
          </w:tcPr>
          <w:p w:rsidR="00213ABB" w:rsidRDefault="002E5671" w:rsidP="002E5671">
            <w:pPr>
              <w:jc w:val="left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=6000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213ABB" w:rsidRDefault="001907AA" w:rsidP="004D7094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</w:tbl>
    <w:p w:rsidR="00B3415E" w:rsidRDefault="00B3415E" w:rsidP="00A74413"/>
    <w:p w:rsidR="00B3415E" w:rsidRDefault="00B3415E" w:rsidP="00A74413"/>
    <w:p w:rsidR="00776766" w:rsidRDefault="006750FC" w:rsidP="00A74413">
      <w:pPr>
        <w:rPr>
          <w:rFonts w:eastAsiaTheme="minorEastAsia"/>
        </w:rPr>
      </w:pPr>
      <w:r>
        <w:t xml:space="preserve">Now we have an ordinary differential equation (ODE) with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that varies</w:t>
      </w:r>
      <w:r w:rsidR="001A4033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with respect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It is still a non-homogeneous ODE however. </w:t>
      </w:r>
      <w:r w:rsidR="009D0B37">
        <w:rPr>
          <w:rFonts w:eastAsiaTheme="minorEastAsia"/>
        </w:rPr>
        <w:t>We need to break down its form into homogeneous and particular form as follows</w:t>
      </w:r>
    </w:p>
    <w:p w:rsidR="009D0B37" w:rsidRDefault="001907AA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A2026E" w:rsidRDefault="00A2026E" w:rsidP="00A74413"/>
    <w:p w:rsidR="00432808" w:rsidRDefault="00432808" w:rsidP="00A74413">
      <w:r>
        <w:t>It follows that</w:t>
      </w:r>
    </w:p>
    <w:p w:rsidR="00432808" w:rsidRDefault="001907AA" w:rsidP="00A74413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2A0667" w:rsidRDefault="000913A4" w:rsidP="00A74413">
      <w:pPr>
        <w:rPr>
          <w:rFonts w:eastAsiaTheme="minorEastAsia"/>
        </w:rPr>
      </w:pPr>
      <w:r>
        <w:lastRenderedPageBreak/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has </w:t>
      </w:r>
      <w:r w:rsidR="00BF111D">
        <w:rPr>
          <w:rFonts w:eastAsiaTheme="minorEastAsia"/>
        </w:rPr>
        <w:t xml:space="preserve">a </w:t>
      </w:r>
      <w:r>
        <w:rPr>
          <w:rFonts w:eastAsiaTheme="minorEastAsia"/>
        </w:rPr>
        <w:t xml:space="preserve">solution of the form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rx</m:t>
            </m:r>
          </m:sup>
        </m:sSup>
      </m:oMath>
    </w:p>
    <w:p w:rsidR="000913A4" w:rsidRDefault="001907AA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-βαsC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</m:m>
        </m:oMath>
      </m:oMathPara>
    </w:p>
    <w:p w:rsidR="00BF111D" w:rsidRDefault="00BF111D" w:rsidP="00A74413"/>
    <w:p w:rsidR="002A0667" w:rsidRDefault="001E210D" w:rsidP="00A74413">
      <w:pPr>
        <w:rPr>
          <w:rFonts w:eastAsiaTheme="minorEastAsia"/>
        </w:rPr>
      </w:pPr>
      <w:r>
        <w:t xml:space="preserve">The characteristic equation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-βαs=0</m:t>
        </m:r>
      </m:oMath>
      <w:r>
        <w:rPr>
          <w:rFonts w:eastAsiaTheme="minorEastAsia"/>
        </w:rPr>
        <w:t xml:space="preserve">. The roots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>.</w:t>
      </w:r>
      <w:r w:rsidR="006904BC">
        <w:rPr>
          <w:rFonts w:eastAsiaTheme="minorEastAsia"/>
        </w:rPr>
        <w:t xml:space="preserve"> Therefore</w:t>
      </w:r>
    </w:p>
    <w:p w:rsidR="006904BC" w:rsidRDefault="001907AA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2A0667" w:rsidRDefault="002A0667" w:rsidP="00A74413"/>
    <w:p w:rsidR="00432808" w:rsidRDefault="0007268B" w:rsidP="00A74413">
      <w:pPr>
        <w:rPr>
          <w:rFonts w:eastAsiaTheme="minorEastAsia"/>
        </w:rPr>
      </w:pPr>
      <w:r>
        <w:t xml:space="preserve">As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we use </w:t>
      </w:r>
      <w:r w:rsidRPr="00B729C0">
        <w:rPr>
          <w:rFonts w:eastAsiaTheme="minorEastAsia"/>
          <w:b/>
        </w:rPr>
        <w:t>method of undetermined coefficients</w:t>
      </w:r>
      <w:r>
        <w:rPr>
          <w:rFonts w:eastAsiaTheme="minorEastAsia"/>
        </w:rPr>
        <w:t>. We take a solution of the polynomial form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07268B" w:rsidRDefault="001907A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-βαs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432808" w:rsidRDefault="003A7476" w:rsidP="00A74413">
      <w:r>
        <w:t>It follows that</w:t>
      </w:r>
    </w:p>
    <w:p w:rsidR="003A7476" w:rsidRDefault="001907A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=6000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220F79" w:rsidRDefault="00220F79" w:rsidP="00A74413"/>
    <w:p w:rsidR="00220F79" w:rsidRDefault="001907AA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6766" w:rsidRDefault="00776766" w:rsidP="00A74413"/>
    <w:p w:rsidR="00777B99" w:rsidRDefault="005E0BFF" w:rsidP="00A74413">
      <w:pPr>
        <w:rPr>
          <w:rFonts w:eastAsiaTheme="minorEastAsia"/>
        </w:rPr>
      </w:pPr>
      <w:r>
        <w:t xml:space="preserve">We obtain the general form </w:t>
      </w:r>
      <w:proofErr w:type="gramStart"/>
      <w:r>
        <w:t>of</w:t>
      </w:r>
      <w:r w:rsidR="00652DC1"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52DC1">
        <w:rPr>
          <w:rFonts w:eastAsiaTheme="minorEastAsia"/>
        </w:rPr>
        <w:t>, which is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</w:p>
    <w:p w:rsidR="005E0BFF" w:rsidRDefault="001907AA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7B99" w:rsidRDefault="00777B99" w:rsidP="00A74413"/>
    <w:p w:rsidR="00EA42D3" w:rsidRDefault="00EA42D3" w:rsidP="00A74413">
      <w:r>
        <w:t xml:space="preserve">Now we need to </w:t>
      </w:r>
      <w:r w:rsidR="00811AE8">
        <w:t xml:space="preserve">look </w:t>
      </w:r>
      <w:proofErr w:type="gramStart"/>
      <w:r w:rsidR="00811AE8">
        <w:t>into</w:t>
      </w:r>
      <w:r>
        <w:t xml:space="preserve">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>
        <w:rPr>
          <w:rFonts w:eastAsiaTheme="minorEastAsia"/>
        </w:rPr>
        <w:t xml:space="preserve">. The behavior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still unknown. Since it will affect the </w:t>
      </w:r>
      <w:proofErr w:type="gramStart"/>
      <w:r>
        <w:rPr>
          <w:rFonts w:eastAsiaTheme="minorEastAsia"/>
        </w:rPr>
        <w:t xml:space="preserve">variable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, i.e. if </w:t>
      </w:r>
      <m:oMath>
        <m:r>
          <w:rPr>
            <w:rFonts w:ascii="Cambria Math" w:eastAsiaTheme="minorEastAsia" w:hAnsi="Cambria Math"/>
          </w:rPr>
          <m:t>s&lt;0</m:t>
        </m:r>
      </m:oMath>
      <w:r>
        <w:rPr>
          <w:rFonts w:eastAsiaTheme="minorEastAsia"/>
        </w:rPr>
        <w:t>, we will get an imaginary number.</w:t>
      </w:r>
    </w:p>
    <w:p w:rsidR="00EA42D3" w:rsidRDefault="00EA42D3" w:rsidP="00A74413"/>
    <w:p w:rsidR="00382013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r w:rsidRPr="00382013">
        <w:rPr>
          <w:b/>
        </w:rPr>
        <w:t xml:space="preserve">Assuming </w:t>
      </w:r>
      <m:oMath>
        <m:r>
          <m:rPr>
            <m:sty m:val="bi"/>
          </m:rPr>
          <w:rPr>
            <w:rFonts w:ascii="Cambria Math" w:hAnsi="Cambria Math"/>
          </w:rPr>
          <m:t>s&gt;0</m:t>
        </m:r>
      </m:oMath>
    </w:p>
    <w:p w:rsidR="00DF74FD" w:rsidRPr="00A04088" w:rsidRDefault="00DF74FD" w:rsidP="00DF74FD">
      <w:pPr>
        <w:ind w:left="360"/>
        <w:rPr>
          <w:rFonts w:eastAsiaTheme="minorEastAsia"/>
          <w:highlight w:val="yellow"/>
        </w:rPr>
      </w:pPr>
      <w:r w:rsidRPr="00A04088">
        <w:rPr>
          <w:highlight w:val="yellow"/>
        </w:rPr>
        <w:t xml:space="preserve">We need to verify the general form of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P</m:t>
            </m:r>
          </m:e>
        </m:acc>
      </m:oMath>
      <w:r w:rsidRPr="00A04088">
        <w:rPr>
          <w:rFonts w:eastAsiaTheme="minorEastAsia"/>
          <w:highlight w:val="yellow"/>
        </w:rPr>
        <w:t xml:space="preserve"> by evaluating its boundary condition</w:t>
      </w:r>
    </w:p>
    <w:p w:rsidR="00DF74FD" w:rsidRDefault="001907AA" w:rsidP="00DF74FD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highlight w:val="yellow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  <w:highlight w:val="yellow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βαs</m:t>
                        </m:r>
                      </m:e>
                    </m:rad>
                    <m:r>
                      <w:rPr>
                        <w:rFonts w:ascii="Cambria Math" w:hAnsi="Cambria Math"/>
                        <w:highlight w:val="yellow"/>
                      </w:rPr>
                      <m:t xml:space="preserve"> x</m:t>
                    </m:r>
                  </m:sup>
                </m:sSup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βαs</m:t>
                        </m:r>
                      </m:e>
                    </m:rad>
                    <m:r>
                      <w:rPr>
                        <w:rFonts w:ascii="Cambria Math" w:hAnsi="Cambria Math"/>
                        <w:highlight w:val="yellow"/>
                      </w:rPr>
                      <m:t xml:space="preserve"> x</m:t>
                    </m:r>
                  </m:sup>
                </m:sSup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∂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P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x=0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2</m:t>
                    </m:r>
                  </m:sub>
                </m:sSub>
              </m:e>
            </m:mr>
          </m:m>
        </m:oMath>
      </m:oMathPara>
    </w:p>
    <w:p w:rsidR="00DF74FD" w:rsidRDefault="00DF74FD" w:rsidP="00DF74FD">
      <w:pPr>
        <w:ind w:left="360"/>
      </w:pPr>
    </w:p>
    <w:p w:rsidR="00DF74FD" w:rsidRPr="00DF74FD" w:rsidRDefault="00DF74FD" w:rsidP="00DF74FD">
      <w:pPr>
        <w:ind w:left="360"/>
      </w:pPr>
    </w:p>
    <w:p w:rsidR="00CD7EDB" w:rsidRPr="00A04088" w:rsidRDefault="00CD7EDB" w:rsidP="00382013">
      <w:pPr>
        <w:ind w:left="360"/>
        <w:rPr>
          <w:rFonts w:eastAsiaTheme="minorEastAsia"/>
        </w:rPr>
      </w:pPr>
      <w:r w:rsidRPr="00A04088">
        <w:t xml:space="preserve">In order to </w:t>
      </w:r>
      <w:proofErr w:type="gramStart"/>
      <w:r w:rsidRPr="00A04088">
        <w:t xml:space="preserve">obtain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A04088">
        <w:rPr>
          <w:rFonts w:eastAsiaTheme="minorEastAsia"/>
        </w:rPr>
        <w:t>, we need to perform inverse transform</w:t>
      </w:r>
    </w:p>
    <w:p w:rsidR="00CD7EDB" w:rsidRPr="00A04088" w:rsidRDefault="001907AA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x,s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+6000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+6000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4t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t+6000</m:t>
                </m:r>
              </m:e>
            </m:mr>
          </m:m>
        </m:oMath>
      </m:oMathPara>
    </w:p>
    <w:p w:rsidR="001A6188" w:rsidRPr="00A04088" w:rsidRDefault="001A6188" w:rsidP="00382013">
      <w:pPr>
        <w:ind w:left="360"/>
      </w:pPr>
    </w:p>
    <w:p w:rsidR="00915AFB" w:rsidRPr="00A04088" w:rsidRDefault="00C2266A" w:rsidP="00382013">
      <w:pPr>
        <w:ind w:left="360"/>
        <w:rPr>
          <w:rFonts w:eastAsiaTheme="minorEastAsia"/>
        </w:rPr>
      </w:pPr>
      <w:r w:rsidRPr="00A04088">
        <w:t xml:space="preserve">The above general expression satisfies the initial condition. </w:t>
      </w:r>
      <w:r w:rsidR="002004BF" w:rsidRPr="00A04088">
        <w:t>But we still need to determine</w:t>
      </w:r>
      <w:r w:rsidR="005B6E93" w:rsidRPr="00A04088">
        <w:t xml:space="preserve"> coefficient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 w:rsidR="002004BF" w:rsidRPr="00A04088">
        <w:t xml:space="preserve"> </w:t>
      </w:r>
      <w:r w:rsidR="002004BF" w:rsidRPr="00A04088">
        <w:rPr>
          <w:rFonts w:eastAsiaTheme="minorEastAsia"/>
        </w:rPr>
        <w:t>by cross-checking it with boundary condition.</w:t>
      </w:r>
    </w:p>
    <w:p w:rsidR="002004BF" w:rsidRPr="00A04088" w:rsidRDefault="001907AA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4t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x=0,t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0+1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071A5E" w:rsidRPr="00A04088" w:rsidRDefault="00071A5E" w:rsidP="00382013">
      <w:pPr>
        <w:ind w:left="360"/>
      </w:pPr>
    </w:p>
    <w:p w:rsidR="00382013" w:rsidRDefault="00382013" w:rsidP="00382013">
      <w:pPr>
        <w:ind w:left="360"/>
      </w:pPr>
      <w:r w:rsidRPr="00A04088">
        <w:t>We get a trivial solution.</w:t>
      </w:r>
    </w:p>
    <w:p w:rsidR="00071A5E" w:rsidRDefault="00071A5E" w:rsidP="00382013">
      <w:pPr>
        <w:ind w:left="360"/>
      </w:pPr>
      <w:bookmarkStart w:id="0" w:name="_GoBack"/>
      <w:bookmarkEnd w:id="0"/>
    </w:p>
    <w:p w:rsidR="00071A5E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proofErr w:type="gramStart"/>
      <w:r w:rsidRPr="00382013">
        <w:rPr>
          <w:b/>
        </w:rPr>
        <w:t xml:space="preserve">Assuming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s&lt;0</m:t>
        </m:r>
      </m:oMath>
      <w:r w:rsidRPr="00382013">
        <w:rPr>
          <w:rFonts w:eastAsiaTheme="minorEastAsia"/>
          <w:b/>
        </w:rPr>
        <w:t>.</w:t>
      </w:r>
    </w:p>
    <w:p w:rsidR="00071A5E" w:rsidRDefault="00290506" w:rsidP="00382013">
      <w:pPr>
        <w:ind w:left="360"/>
        <w:rPr>
          <w:rFonts w:eastAsiaTheme="minorEastAsia"/>
        </w:rPr>
      </w:pPr>
      <w:r>
        <w:t xml:space="preserve">By </w:t>
      </w:r>
      <w:r w:rsidRPr="00D1360F">
        <w:rPr>
          <w:b/>
        </w:rPr>
        <w:t>Euler’s formula</w:t>
      </w:r>
      <w:r>
        <w:t>,</w:t>
      </w:r>
      <w:r w:rsidR="00D1360F">
        <w:t xml:space="preserve"> we can evaluate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ix</m:t>
            </m:r>
          </m:sup>
        </m:sSup>
      </m:oMath>
      <w:r w:rsidR="00D1360F">
        <w:rPr>
          <w:rFonts w:eastAsiaTheme="minorEastAsia"/>
        </w:rPr>
        <w:t xml:space="preserve"> term as described by the following formula</w:t>
      </w:r>
    </w:p>
    <w:p w:rsidR="00D1360F" w:rsidRPr="00D1360F" w:rsidRDefault="001907AA" w:rsidP="0038201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D1360F" w:rsidRDefault="00D1360F" w:rsidP="00382013">
      <w:pPr>
        <w:ind w:left="360"/>
      </w:pPr>
    </w:p>
    <w:p w:rsidR="00D1360F" w:rsidRDefault="000A29BF" w:rsidP="00382013">
      <w:pPr>
        <w:ind w:left="360"/>
      </w:pPr>
      <w:r>
        <w:t xml:space="preserve">Since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some negative number, we can rewrite it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. O</w:t>
      </w:r>
      <w:proofErr w:type="spellStart"/>
      <w:r w:rsidR="00D1360F">
        <w:t>ur</w:t>
      </w:r>
      <w:proofErr w:type="spellEnd"/>
      <w:r w:rsidR="00D1360F">
        <w:t xml:space="preserve"> earlier general expression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D1360F">
        <w:rPr>
          <w:rFonts w:eastAsiaTheme="minorEastAsia"/>
        </w:rPr>
        <w:t xml:space="preserve"> can </w:t>
      </w:r>
      <w:r w:rsidR="00A25CB6">
        <w:rPr>
          <w:rFonts w:eastAsiaTheme="minorEastAsia"/>
        </w:rPr>
        <w:t xml:space="preserve">then </w:t>
      </w:r>
      <w:r w:rsidR="00D1360F">
        <w:rPr>
          <w:rFonts w:eastAsiaTheme="minorEastAsia"/>
        </w:rPr>
        <w:t>be rewritten into the following</w:t>
      </w:r>
      <w:r w:rsidR="00874C45">
        <w:rPr>
          <w:rFonts w:eastAsiaTheme="minorEastAsia"/>
        </w:rPr>
        <w:t>,</w:t>
      </w:r>
    </w:p>
    <w:p w:rsidR="00B83548" w:rsidRDefault="001907AA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B83548" w:rsidRDefault="00B83548" w:rsidP="00382013">
      <w:pPr>
        <w:ind w:left="360"/>
      </w:pPr>
    </w:p>
    <w:p w:rsidR="00B83548" w:rsidRPr="001B1498" w:rsidRDefault="001B1498" w:rsidP="00382013">
      <w:pPr>
        <w:ind w:left="360"/>
        <w:rPr>
          <w:b/>
        </w:rPr>
      </w:pPr>
      <w:proofErr w:type="gramStart"/>
      <w:r w:rsidRPr="001B1498">
        <w:rPr>
          <w:b/>
          <w:highlight w:val="yellow"/>
        </w:rPr>
        <w:t>to</w:t>
      </w:r>
      <w:proofErr w:type="gramEnd"/>
      <w:r w:rsidRPr="001B1498">
        <w:rPr>
          <w:b/>
          <w:highlight w:val="yellow"/>
        </w:rPr>
        <w:t xml:space="preserve"> be continued..</w:t>
      </w:r>
    </w:p>
    <w:p w:rsidR="00382013" w:rsidRDefault="00382013" w:rsidP="00A74413"/>
    <w:p w:rsidR="00382013" w:rsidRDefault="00382013" w:rsidP="00A74413"/>
    <w:p w:rsidR="00382013" w:rsidRDefault="00382013" w:rsidP="00A74413"/>
    <w:p w:rsidR="00382013" w:rsidRDefault="00382013" w:rsidP="00A74413"/>
    <w:p w:rsidR="00915AFB" w:rsidRPr="00A74413" w:rsidRDefault="00915AFB" w:rsidP="00A74413"/>
    <w:sectPr w:rsidR="00915AFB" w:rsidRPr="00A74413" w:rsidSect="00A74413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5BD" w:rsidRDefault="002F75BD" w:rsidP="005C677A">
      <w:pPr>
        <w:spacing w:line="240" w:lineRule="auto"/>
      </w:pPr>
      <w:r>
        <w:separator/>
      </w:r>
    </w:p>
  </w:endnote>
  <w:endnote w:type="continuationSeparator" w:id="0">
    <w:p w:rsidR="002F75BD" w:rsidRDefault="002F75BD" w:rsidP="005C6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350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7AA" w:rsidRDefault="001907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18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907AA" w:rsidRDefault="00190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5BD" w:rsidRDefault="002F75BD" w:rsidP="005C677A">
      <w:pPr>
        <w:spacing w:line="240" w:lineRule="auto"/>
      </w:pPr>
      <w:r>
        <w:separator/>
      </w:r>
    </w:p>
  </w:footnote>
  <w:footnote w:type="continuationSeparator" w:id="0">
    <w:p w:rsidR="002F75BD" w:rsidRDefault="002F75BD" w:rsidP="005C6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7066"/>
    <w:multiLevelType w:val="hybridMultilevel"/>
    <w:tmpl w:val="A17E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942C7"/>
    <w:multiLevelType w:val="hybridMultilevel"/>
    <w:tmpl w:val="1D62B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E42E6"/>
    <w:multiLevelType w:val="hybridMultilevel"/>
    <w:tmpl w:val="70725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019B9"/>
    <w:rsid w:val="00002511"/>
    <w:rsid w:val="000039C2"/>
    <w:rsid w:val="00006961"/>
    <w:rsid w:val="000110BF"/>
    <w:rsid w:val="0001347E"/>
    <w:rsid w:val="00014957"/>
    <w:rsid w:val="00014A76"/>
    <w:rsid w:val="00015188"/>
    <w:rsid w:val="000158AA"/>
    <w:rsid w:val="00017E49"/>
    <w:rsid w:val="00020A55"/>
    <w:rsid w:val="00021F97"/>
    <w:rsid w:val="0002239C"/>
    <w:rsid w:val="0002259A"/>
    <w:rsid w:val="00022EF5"/>
    <w:rsid w:val="00025C33"/>
    <w:rsid w:val="00030FEA"/>
    <w:rsid w:val="00043D46"/>
    <w:rsid w:val="00044347"/>
    <w:rsid w:val="000445D2"/>
    <w:rsid w:val="00047CD7"/>
    <w:rsid w:val="000509CB"/>
    <w:rsid w:val="00052979"/>
    <w:rsid w:val="00055303"/>
    <w:rsid w:val="00064AAC"/>
    <w:rsid w:val="000653F4"/>
    <w:rsid w:val="000665A8"/>
    <w:rsid w:val="00066A00"/>
    <w:rsid w:val="00067679"/>
    <w:rsid w:val="00071A5E"/>
    <w:rsid w:val="0007268B"/>
    <w:rsid w:val="00072AA0"/>
    <w:rsid w:val="00075201"/>
    <w:rsid w:val="00075AB3"/>
    <w:rsid w:val="000814F4"/>
    <w:rsid w:val="000851EA"/>
    <w:rsid w:val="00090EEE"/>
    <w:rsid w:val="00091114"/>
    <w:rsid w:val="000913A4"/>
    <w:rsid w:val="000930A2"/>
    <w:rsid w:val="000A29BF"/>
    <w:rsid w:val="000A4B2A"/>
    <w:rsid w:val="000A5478"/>
    <w:rsid w:val="000B27C9"/>
    <w:rsid w:val="000B303B"/>
    <w:rsid w:val="000B3895"/>
    <w:rsid w:val="000B3915"/>
    <w:rsid w:val="000B7551"/>
    <w:rsid w:val="000C2464"/>
    <w:rsid w:val="000C2724"/>
    <w:rsid w:val="000C5374"/>
    <w:rsid w:val="000C65CE"/>
    <w:rsid w:val="000C6931"/>
    <w:rsid w:val="000C6C1C"/>
    <w:rsid w:val="000D056E"/>
    <w:rsid w:val="000D30C0"/>
    <w:rsid w:val="000D4763"/>
    <w:rsid w:val="000D4BAB"/>
    <w:rsid w:val="000D5D3A"/>
    <w:rsid w:val="000E447A"/>
    <w:rsid w:val="000F0466"/>
    <w:rsid w:val="000F17BF"/>
    <w:rsid w:val="000F4281"/>
    <w:rsid w:val="000F6353"/>
    <w:rsid w:val="000F6D2E"/>
    <w:rsid w:val="00105C19"/>
    <w:rsid w:val="00120D7A"/>
    <w:rsid w:val="00122081"/>
    <w:rsid w:val="00124188"/>
    <w:rsid w:val="00125DEB"/>
    <w:rsid w:val="00127D58"/>
    <w:rsid w:val="00130E90"/>
    <w:rsid w:val="00131346"/>
    <w:rsid w:val="00131C06"/>
    <w:rsid w:val="00135F9E"/>
    <w:rsid w:val="00143E6B"/>
    <w:rsid w:val="0014575E"/>
    <w:rsid w:val="00154663"/>
    <w:rsid w:val="00155247"/>
    <w:rsid w:val="00157DDC"/>
    <w:rsid w:val="00157F01"/>
    <w:rsid w:val="001602B4"/>
    <w:rsid w:val="001606F2"/>
    <w:rsid w:val="00164042"/>
    <w:rsid w:val="00167AE7"/>
    <w:rsid w:val="001703EC"/>
    <w:rsid w:val="00171922"/>
    <w:rsid w:val="00171C48"/>
    <w:rsid w:val="00175EEE"/>
    <w:rsid w:val="00176D3A"/>
    <w:rsid w:val="00180A66"/>
    <w:rsid w:val="00183B28"/>
    <w:rsid w:val="00185B81"/>
    <w:rsid w:val="001907AA"/>
    <w:rsid w:val="0019699A"/>
    <w:rsid w:val="00197E1C"/>
    <w:rsid w:val="001A2364"/>
    <w:rsid w:val="001A24C3"/>
    <w:rsid w:val="001A4033"/>
    <w:rsid w:val="001A4A4A"/>
    <w:rsid w:val="001A6188"/>
    <w:rsid w:val="001A79BE"/>
    <w:rsid w:val="001B1498"/>
    <w:rsid w:val="001B16E4"/>
    <w:rsid w:val="001B23C9"/>
    <w:rsid w:val="001B2CC0"/>
    <w:rsid w:val="001B4DCF"/>
    <w:rsid w:val="001C3738"/>
    <w:rsid w:val="001D174F"/>
    <w:rsid w:val="001D3C6C"/>
    <w:rsid w:val="001D444B"/>
    <w:rsid w:val="001E12DC"/>
    <w:rsid w:val="001E13D9"/>
    <w:rsid w:val="001E210D"/>
    <w:rsid w:val="001E7559"/>
    <w:rsid w:val="001F3ABC"/>
    <w:rsid w:val="001F3BA3"/>
    <w:rsid w:val="001F534F"/>
    <w:rsid w:val="001F53B7"/>
    <w:rsid w:val="002004BF"/>
    <w:rsid w:val="00201BB8"/>
    <w:rsid w:val="00202489"/>
    <w:rsid w:val="00204E6A"/>
    <w:rsid w:val="00205A2E"/>
    <w:rsid w:val="002074A1"/>
    <w:rsid w:val="002101F1"/>
    <w:rsid w:val="00210EF5"/>
    <w:rsid w:val="00211B3A"/>
    <w:rsid w:val="00213ABB"/>
    <w:rsid w:val="002145C2"/>
    <w:rsid w:val="00215232"/>
    <w:rsid w:val="00215C76"/>
    <w:rsid w:val="00220F79"/>
    <w:rsid w:val="00221A37"/>
    <w:rsid w:val="0022367C"/>
    <w:rsid w:val="00226349"/>
    <w:rsid w:val="002305A8"/>
    <w:rsid w:val="00232833"/>
    <w:rsid w:val="0023652C"/>
    <w:rsid w:val="00237968"/>
    <w:rsid w:val="002415B6"/>
    <w:rsid w:val="00247BA3"/>
    <w:rsid w:val="002522B9"/>
    <w:rsid w:val="002548AE"/>
    <w:rsid w:val="00256BB0"/>
    <w:rsid w:val="00256C93"/>
    <w:rsid w:val="00260035"/>
    <w:rsid w:val="002635C9"/>
    <w:rsid w:val="00265D09"/>
    <w:rsid w:val="00267477"/>
    <w:rsid w:val="00267E58"/>
    <w:rsid w:val="00271500"/>
    <w:rsid w:val="00272525"/>
    <w:rsid w:val="00282025"/>
    <w:rsid w:val="0028799E"/>
    <w:rsid w:val="00290506"/>
    <w:rsid w:val="00296AB6"/>
    <w:rsid w:val="002A03AD"/>
    <w:rsid w:val="002A0667"/>
    <w:rsid w:val="002A5EBF"/>
    <w:rsid w:val="002A638E"/>
    <w:rsid w:val="002A70FB"/>
    <w:rsid w:val="002B1ED3"/>
    <w:rsid w:val="002B4E85"/>
    <w:rsid w:val="002C2713"/>
    <w:rsid w:val="002E322B"/>
    <w:rsid w:val="002E5671"/>
    <w:rsid w:val="002E79F6"/>
    <w:rsid w:val="002F1633"/>
    <w:rsid w:val="002F34A0"/>
    <w:rsid w:val="002F58C7"/>
    <w:rsid w:val="002F6151"/>
    <w:rsid w:val="002F75BD"/>
    <w:rsid w:val="00302C1D"/>
    <w:rsid w:val="0030360E"/>
    <w:rsid w:val="00304E72"/>
    <w:rsid w:val="00306438"/>
    <w:rsid w:val="003069D2"/>
    <w:rsid w:val="0031006A"/>
    <w:rsid w:val="00311E64"/>
    <w:rsid w:val="003122C1"/>
    <w:rsid w:val="003124BC"/>
    <w:rsid w:val="003151CB"/>
    <w:rsid w:val="00316FDA"/>
    <w:rsid w:val="00317AA9"/>
    <w:rsid w:val="00323867"/>
    <w:rsid w:val="00326497"/>
    <w:rsid w:val="00326E22"/>
    <w:rsid w:val="003300DE"/>
    <w:rsid w:val="00331ADB"/>
    <w:rsid w:val="00333D66"/>
    <w:rsid w:val="003370BB"/>
    <w:rsid w:val="00340148"/>
    <w:rsid w:val="00340BA4"/>
    <w:rsid w:val="00343489"/>
    <w:rsid w:val="00350103"/>
    <w:rsid w:val="003510BC"/>
    <w:rsid w:val="0035396E"/>
    <w:rsid w:val="00361BBF"/>
    <w:rsid w:val="00365924"/>
    <w:rsid w:val="00374DF5"/>
    <w:rsid w:val="00375B3F"/>
    <w:rsid w:val="00382013"/>
    <w:rsid w:val="003879FD"/>
    <w:rsid w:val="0039119B"/>
    <w:rsid w:val="00392F02"/>
    <w:rsid w:val="003931D7"/>
    <w:rsid w:val="00395C9E"/>
    <w:rsid w:val="003A1007"/>
    <w:rsid w:val="003A5AF0"/>
    <w:rsid w:val="003A7476"/>
    <w:rsid w:val="003B116B"/>
    <w:rsid w:val="003B15CE"/>
    <w:rsid w:val="003B6364"/>
    <w:rsid w:val="003B7778"/>
    <w:rsid w:val="003C0CA0"/>
    <w:rsid w:val="003C12B7"/>
    <w:rsid w:val="003C42CE"/>
    <w:rsid w:val="003D2F8F"/>
    <w:rsid w:val="003D783C"/>
    <w:rsid w:val="003D78B8"/>
    <w:rsid w:val="003E334B"/>
    <w:rsid w:val="003E4347"/>
    <w:rsid w:val="003E48B9"/>
    <w:rsid w:val="003E5B98"/>
    <w:rsid w:val="003E6927"/>
    <w:rsid w:val="003E75A0"/>
    <w:rsid w:val="003F1012"/>
    <w:rsid w:val="003F31DE"/>
    <w:rsid w:val="00400A82"/>
    <w:rsid w:val="00401597"/>
    <w:rsid w:val="0040179C"/>
    <w:rsid w:val="0040670E"/>
    <w:rsid w:val="0040791F"/>
    <w:rsid w:val="004129D0"/>
    <w:rsid w:val="00413429"/>
    <w:rsid w:val="00417F15"/>
    <w:rsid w:val="00420CF1"/>
    <w:rsid w:val="00424540"/>
    <w:rsid w:val="0042510F"/>
    <w:rsid w:val="00425483"/>
    <w:rsid w:val="004265F3"/>
    <w:rsid w:val="00427BBF"/>
    <w:rsid w:val="00432808"/>
    <w:rsid w:val="00432874"/>
    <w:rsid w:val="00432975"/>
    <w:rsid w:val="0044087B"/>
    <w:rsid w:val="004446F1"/>
    <w:rsid w:val="00447301"/>
    <w:rsid w:val="0045044F"/>
    <w:rsid w:val="00453E21"/>
    <w:rsid w:val="00456A3B"/>
    <w:rsid w:val="00462C98"/>
    <w:rsid w:val="00466FCF"/>
    <w:rsid w:val="004676BC"/>
    <w:rsid w:val="00471BFD"/>
    <w:rsid w:val="00473C77"/>
    <w:rsid w:val="00477DB8"/>
    <w:rsid w:val="00484076"/>
    <w:rsid w:val="00491264"/>
    <w:rsid w:val="00493238"/>
    <w:rsid w:val="0049716D"/>
    <w:rsid w:val="004A0BD7"/>
    <w:rsid w:val="004A2478"/>
    <w:rsid w:val="004A385E"/>
    <w:rsid w:val="004A5672"/>
    <w:rsid w:val="004A5A78"/>
    <w:rsid w:val="004B23CD"/>
    <w:rsid w:val="004B49AD"/>
    <w:rsid w:val="004B775F"/>
    <w:rsid w:val="004C27D4"/>
    <w:rsid w:val="004C3987"/>
    <w:rsid w:val="004C4AA2"/>
    <w:rsid w:val="004C5FDC"/>
    <w:rsid w:val="004C72C2"/>
    <w:rsid w:val="004C7D31"/>
    <w:rsid w:val="004D7094"/>
    <w:rsid w:val="004E13E1"/>
    <w:rsid w:val="004E4D8D"/>
    <w:rsid w:val="004F1200"/>
    <w:rsid w:val="004F2C71"/>
    <w:rsid w:val="004F70EF"/>
    <w:rsid w:val="00502980"/>
    <w:rsid w:val="00506BF1"/>
    <w:rsid w:val="005075FF"/>
    <w:rsid w:val="00507CBB"/>
    <w:rsid w:val="00512646"/>
    <w:rsid w:val="00512AEF"/>
    <w:rsid w:val="00514E52"/>
    <w:rsid w:val="00515E88"/>
    <w:rsid w:val="0052079A"/>
    <w:rsid w:val="0052193C"/>
    <w:rsid w:val="00524C96"/>
    <w:rsid w:val="00525EFF"/>
    <w:rsid w:val="00530A3F"/>
    <w:rsid w:val="00530EEE"/>
    <w:rsid w:val="00533B21"/>
    <w:rsid w:val="00535069"/>
    <w:rsid w:val="00535B4B"/>
    <w:rsid w:val="00537A0E"/>
    <w:rsid w:val="00537FF4"/>
    <w:rsid w:val="00540F0B"/>
    <w:rsid w:val="005426D7"/>
    <w:rsid w:val="00542791"/>
    <w:rsid w:val="00543A16"/>
    <w:rsid w:val="00546890"/>
    <w:rsid w:val="00550CE4"/>
    <w:rsid w:val="00551003"/>
    <w:rsid w:val="00551B62"/>
    <w:rsid w:val="00552A79"/>
    <w:rsid w:val="00554BA0"/>
    <w:rsid w:val="00554C50"/>
    <w:rsid w:val="005615CE"/>
    <w:rsid w:val="00564A57"/>
    <w:rsid w:val="00565D00"/>
    <w:rsid w:val="00566612"/>
    <w:rsid w:val="00571C10"/>
    <w:rsid w:val="0058160E"/>
    <w:rsid w:val="00584A2A"/>
    <w:rsid w:val="00584DFB"/>
    <w:rsid w:val="005850A0"/>
    <w:rsid w:val="005874D9"/>
    <w:rsid w:val="005902D4"/>
    <w:rsid w:val="005902EE"/>
    <w:rsid w:val="00590D43"/>
    <w:rsid w:val="0059145B"/>
    <w:rsid w:val="00593BC1"/>
    <w:rsid w:val="005A127A"/>
    <w:rsid w:val="005A2DDA"/>
    <w:rsid w:val="005A318A"/>
    <w:rsid w:val="005A76DB"/>
    <w:rsid w:val="005B5404"/>
    <w:rsid w:val="005B586A"/>
    <w:rsid w:val="005B6E93"/>
    <w:rsid w:val="005B7BEF"/>
    <w:rsid w:val="005B7C29"/>
    <w:rsid w:val="005C2734"/>
    <w:rsid w:val="005C677A"/>
    <w:rsid w:val="005D0B6A"/>
    <w:rsid w:val="005D42B0"/>
    <w:rsid w:val="005E0192"/>
    <w:rsid w:val="005E01C9"/>
    <w:rsid w:val="005E0BFF"/>
    <w:rsid w:val="005E0FC7"/>
    <w:rsid w:val="005E2B8E"/>
    <w:rsid w:val="005E768D"/>
    <w:rsid w:val="005F070E"/>
    <w:rsid w:val="005F355E"/>
    <w:rsid w:val="005F4D46"/>
    <w:rsid w:val="005F5384"/>
    <w:rsid w:val="005F5DBB"/>
    <w:rsid w:val="006043BA"/>
    <w:rsid w:val="00606981"/>
    <w:rsid w:val="0061104F"/>
    <w:rsid w:val="00611301"/>
    <w:rsid w:val="0061297D"/>
    <w:rsid w:val="00613FA6"/>
    <w:rsid w:val="006178AF"/>
    <w:rsid w:val="0062098F"/>
    <w:rsid w:val="00621AE2"/>
    <w:rsid w:val="00623A8C"/>
    <w:rsid w:val="006240B7"/>
    <w:rsid w:val="00633495"/>
    <w:rsid w:val="006363E7"/>
    <w:rsid w:val="00636E1B"/>
    <w:rsid w:val="00640150"/>
    <w:rsid w:val="00647B8F"/>
    <w:rsid w:val="00650B25"/>
    <w:rsid w:val="00651348"/>
    <w:rsid w:val="00652DC1"/>
    <w:rsid w:val="00654DE5"/>
    <w:rsid w:val="00656E64"/>
    <w:rsid w:val="00660073"/>
    <w:rsid w:val="006608ED"/>
    <w:rsid w:val="00660FE5"/>
    <w:rsid w:val="00665491"/>
    <w:rsid w:val="0066629F"/>
    <w:rsid w:val="00666854"/>
    <w:rsid w:val="00670E4A"/>
    <w:rsid w:val="00671504"/>
    <w:rsid w:val="00672B49"/>
    <w:rsid w:val="006750FC"/>
    <w:rsid w:val="00675EC2"/>
    <w:rsid w:val="00676E20"/>
    <w:rsid w:val="00677A90"/>
    <w:rsid w:val="00677CF8"/>
    <w:rsid w:val="00684C19"/>
    <w:rsid w:val="00685F45"/>
    <w:rsid w:val="006904BC"/>
    <w:rsid w:val="006940D1"/>
    <w:rsid w:val="006956C2"/>
    <w:rsid w:val="006960E6"/>
    <w:rsid w:val="006A351B"/>
    <w:rsid w:val="006A3C61"/>
    <w:rsid w:val="006A3D8F"/>
    <w:rsid w:val="006A4D99"/>
    <w:rsid w:val="006A607D"/>
    <w:rsid w:val="006A6627"/>
    <w:rsid w:val="006A6E0E"/>
    <w:rsid w:val="006B259D"/>
    <w:rsid w:val="006B3E88"/>
    <w:rsid w:val="006B5911"/>
    <w:rsid w:val="006B7855"/>
    <w:rsid w:val="006C10AF"/>
    <w:rsid w:val="006C171F"/>
    <w:rsid w:val="006C38A1"/>
    <w:rsid w:val="006C4914"/>
    <w:rsid w:val="006D12A5"/>
    <w:rsid w:val="006D37CC"/>
    <w:rsid w:val="006D44F3"/>
    <w:rsid w:val="006D693F"/>
    <w:rsid w:val="006D6BE2"/>
    <w:rsid w:val="006E13CD"/>
    <w:rsid w:val="006E1C9E"/>
    <w:rsid w:val="006E2A9B"/>
    <w:rsid w:val="006E5565"/>
    <w:rsid w:val="006E5BCA"/>
    <w:rsid w:val="006E5EAD"/>
    <w:rsid w:val="006E6BBA"/>
    <w:rsid w:val="006E75A0"/>
    <w:rsid w:val="006F1398"/>
    <w:rsid w:val="006F2D8B"/>
    <w:rsid w:val="006F31E6"/>
    <w:rsid w:val="006F3B6A"/>
    <w:rsid w:val="006F3C3E"/>
    <w:rsid w:val="006F6623"/>
    <w:rsid w:val="00700A6A"/>
    <w:rsid w:val="0070191A"/>
    <w:rsid w:val="00703321"/>
    <w:rsid w:val="00704131"/>
    <w:rsid w:val="00707E99"/>
    <w:rsid w:val="00711257"/>
    <w:rsid w:val="0071393B"/>
    <w:rsid w:val="00715424"/>
    <w:rsid w:val="00716BB3"/>
    <w:rsid w:val="0071792A"/>
    <w:rsid w:val="00717A16"/>
    <w:rsid w:val="00723617"/>
    <w:rsid w:val="00724F87"/>
    <w:rsid w:val="007264E9"/>
    <w:rsid w:val="007303E5"/>
    <w:rsid w:val="0073291F"/>
    <w:rsid w:val="007348A6"/>
    <w:rsid w:val="00734A54"/>
    <w:rsid w:val="00743F23"/>
    <w:rsid w:val="00744435"/>
    <w:rsid w:val="00746A91"/>
    <w:rsid w:val="00747F14"/>
    <w:rsid w:val="00750E6E"/>
    <w:rsid w:val="00752748"/>
    <w:rsid w:val="00754207"/>
    <w:rsid w:val="00754A4D"/>
    <w:rsid w:val="0075646D"/>
    <w:rsid w:val="00756E2C"/>
    <w:rsid w:val="00756E49"/>
    <w:rsid w:val="007679D9"/>
    <w:rsid w:val="007722DD"/>
    <w:rsid w:val="00773945"/>
    <w:rsid w:val="00774DC2"/>
    <w:rsid w:val="00775006"/>
    <w:rsid w:val="0077591F"/>
    <w:rsid w:val="00776766"/>
    <w:rsid w:val="00777B99"/>
    <w:rsid w:val="007831BF"/>
    <w:rsid w:val="00784714"/>
    <w:rsid w:val="00785E00"/>
    <w:rsid w:val="0078625D"/>
    <w:rsid w:val="007870F9"/>
    <w:rsid w:val="00790E4B"/>
    <w:rsid w:val="00791A34"/>
    <w:rsid w:val="00791BA5"/>
    <w:rsid w:val="00793690"/>
    <w:rsid w:val="0079552C"/>
    <w:rsid w:val="007A0DCC"/>
    <w:rsid w:val="007A48D1"/>
    <w:rsid w:val="007B013B"/>
    <w:rsid w:val="007B1CAD"/>
    <w:rsid w:val="007B313A"/>
    <w:rsid w:val="007B39B6"/>
    <w:rsid w:val="007B4892"/>
    <w:rsid w:val="007B65A5"/>
    <w:rsid w:val="007B7CC8"/>
    <w:rsid w:val="007C385A"/>
    <w:rsid w:val="007C45DA"/>
    <w:rsid w:val="007D2058"/>
    <w:rsid w:val="007D475E"/>
    <w:rsid w:val="007D4958"/>
    <w:rsid w:val="007D75EC"/>
    <w:rsid w:val="007E1255"/>
    <w:rsid w:val="007E15B0"/>
    <w:rsid w:val="007E3235"/>
    <w:rsid w:val="007E432D"/>
    <w:rsid w:val="007E5127"/>
    <w:rsid w:val="007E704E"/>
    <w:rsid w:val="007F1E65"/>
    <w:rsid w:val="007F6EF1"/>
    <w:rsid w:val="007F7C0E"/>
    <w:rsid w:val="008002E8"/>
    <w:rsid w:val="00800F65"/>
    <w:rsid w:val="008033A2"/>
    <w:rsid w:val="008050AA"/>
    <w:rsid w:val="008069EF"/>
    <w:rsid w:val="008102EA"/>
    <w:rsid w:val="00811AE8"/>
    <w:rsid w:val="0081265C"/>
    <w:rsid w:val="00812794"/>
    <w:rsid w:val="00814D0A"/>
    <w:rsid w:val="008150F1"/>
    <w:rsid w:val="00815D02"/>
    <w:rsid w:val="00822EBC"/>
    <w:rsid w:val="0082574C"/>
    <w:rsid w:val="00825881"/>
    <w:rsid w:val="00827E59"/>
    <w:rsid w:val="0083189D"/>
    <w:rsid w:val="00831A89"/>
    <w:rsid w:val="008447C5"/>
    <w:rsid w:val="0084593E"/>
    <w:rsid w:val="0085219A"/>
    <w:rsid w:val="00852C32"/>
    <w:rsid w:val="00855193"/>
    <w:rsid w:val="0085545D"/>
    <w:rsid w:val="008560D2"/>
    <w:rsid w:val="00856B4E"/>
    <w:rsid w:val="00860636"/>
    <w:rsid w:val="00865352"/>
    <w:rsid w:val="0086729F"/>
    <w:rsid w:val="008708D5"/>
    <w:rsid w:val="008732C9"/>
    <w:rsid w:val="00874217"/>
    <w:rsid w:val="00874C45"/>
    <w:rsid w:val="008842C1"/>
    <w:rsid w:val="0088498C"/>
    <w:rsid w:val="008851BA"/>
    <w:rsid w:val="008855A8"/>
    <w:rsid w:val="00887DBB"/>
    <w:rsid w:val="008913E3"/>
    <w:rsid w:val="0089148E"/>
    <w:rsid w:val="0089262C"/>
    <w:rsid w:val="00895FF4"/>
    <w:rsid w:val="00897F53"/>
    <w:rsid w:val="00897F70"/>
    <w:rsid w:val="008A2672"/>
    <w:rsid w:val="008A2BD1"/>
    <w:rsid w:val="008A3B5D"/>
    <w:rsid w:val="008B3D4C"/>
    <w:rsid w:val="008B4150"/>
    <w:rsid w:val="008C2B01"/>
    <w:rsid w:val="008C3AB0"/>
    <w:rsid w:val="008C6125"/>
    <w:rsid w:val="008C7BFA"/>
    <w:rsid w:val="008D3B45"/>
    <w:rsid w:val="008E15D3"/>
    <w:rsid w:val="008E441D"/>
    <w:rsid w:val="008E650E"/>
    <w:rsid w:val="008F0673"/>
    <w:rsid w:val="008F7DE7"/>
    <w:rsid w:val="0090526A"/>
    <w:rsid w:val="00907836"/>
    <w:rsid w:val="00910DC7"/>
    <w:rsid w:val="00914973"/>
    <w:rsid w:val="00914B8C"/>
    <w:rsid w:val="00915AFB"/>
    <w:rsid w:val="00922F85"/>
    <w:rsid w:val="0092699C"/>
    <w:rsid w:val="00930B11"/>
    <w:rsid w:val="009311AA"/>
    <w:rsid w:val="009313A7"/>
    <w:rsid w:val="00932714"/>
    <w:rsid w:val="009335DC"/>
    <w:rsid w:val="00936BDD"/>
    <w:rsid w:val="00941AFE"/>
    <w:rsid w:val="00946FDA"/>
    <w:rsid w:val="00947005"/>
    <w:rsid w:val="0095533D"/>
    <w:rsid w:val="00956B5C"/>
    <w:rsid w:val="0096137F"/>
    <w:rsid w:val="00964301"/>
    <w:rsid w:val="0096467E"/>
    <w:rsid w:val="00964866"/>
    <w:rsid w:val="009650F2"/>
    <w:rsid w:val="0096739F"/>
    <w:rsid w:val="00970D73"/>
    <w:rsid w:val="00973BFE"/>
    <w:rsid w:val="0098034E"/>
    <w:rsid w:val="0098064A"/>
    <w:rsid w:val="009819F8"/>
    <w:rsid w:val="00985FAE"/>
    <w:rsid w:val="00987393"/>
    <w:rsid w:val="0098746E"/>
    <w:rsid w:val="009904B3"/>
    <w:rsid w:val="0099062B"/>
    <w:rsid w:val="00992C46"/>
    <w:rsid w:val="00996285"/>
    <w:rsid w:val="009965E5"/>
    <w:rsid w:val="009B0235"/>
    <w:rsid w:val="009B3E06"/>
    <w:rsid w:val="009B56E6"/>
    <w:rsid w:val="009B7D4A"/>
    <w:rsid w:val="009C2E35"/>
    <w:rsid w:val="009C3EC6"/>
    <w:rsid w:val="009C79FB"/>
    <w:rsid w:val="009C7A3E"/>
    <w:rsid w:val="009C7E83"/>
    <w:rsid w:val="009D0B37"/>
    <w:rsid w:val="009D3918"/>
    <w:rsid w:val="009D5257"/>
    <w:rsid w:val="009D6285"/>
    <w:rsid w:val="009D6310"/>
    <w:rsid w:val="009E0580"/>
    <w:rsid w:val="009E1D20"/>
    <w:rsid w:val="009E6B3F"/>
    <w:rsid w:val="009F3F31"/>
    <w:rsid w:val="009F74CC"/>
    <w:rsid w:val="009F75BB"/>
    <w:rsid w:val="00A00046"/>
    <w:rsid w:val="00A02D8B"/>
    <w:rsid w:val="00A0344E"/>
    <w:rsid w:val="00A04088"/>
    <w:rsid w:val="00A05145"/>
    <w:rsid w:val="00A10B59"/>
    <w:rsid w:val="00A127B1"/>
    <w:rsid w:val="00A12F16"/>
    <w:rsid w:val="00A15A01"/>
    <w:rsid w:val="00A2026E"/>
    <w:rsid w:val="00A22E9F"/>
    <w:rsid w:val="00A259EC"/>
    <w:rsid w:val="00A25CB6"/>
    <w:rsid w:val="00A260F5"/>
    <w:rsid w:val="00A359C0"/>
    <w:rsid w:val="00A35DDC"/>
    <w:rsid w:val="00A368D8"/>
    <w:rsid w:val="00A407CE"/>
    <w:rsid w:val="00A43697"/>
    <w:rsid w:val="00A45783"/>
    <w:rsid w:val="00A45DD8"/>
    <w:rsid w:val="00A616D5"/>
    <w:rsid w:val="00A652EB"/>
    <w:rsid w:val="00A6653D"/>
    <w:rsid w:val="00A67B70"/>
    <w:rsid w:val="00A71485"/>
    <w:rsid w:val="00A74413"/>
    <w:rsid w:val="00A7488C"/>
    <w:rsid w:val="00A77189"/>
    <w:rsid w:val="00A77A89"/>
    <w:rsid w:val="00A8572F"/>
    <w:rsid w:val="00A85AE3"/>
    <w:rsid w:val="00A874D3"/>
    <w:rsid w:val="00A87639"/>
    <w:rsid w:val="00AA03F3"/>
    <w:rsid w:val="00AA0F2E"/>
    <w:rsid w:val="00AA1679"/>
    <w:rsid w:val="00AA2064"/>
    <w:rsid w:val="00AA28F8"/>
    <w:rsid w:val="00AA6468"/>
    <w:rsid w:val="00AA679F"/>
    <w:rsid w:val="00AA67F3"/>
    <w:rsid w:val="00AA6AC3"/>
    <w:rsid w:val="00AA6B22"/>
    <w:rsid w:val="00AA7293"/>
    <w:rsid w:val="00AB3333"/>
    <w:rsid w:val="00AB3C11"/>
    <w:rsid w:val="00AC5403"/>
    <w:rsid w:val="00AC5DAF"/>
    <w:rsid w:val="00AD0986"/>
    <w:rsid w:val="00AD4281"/>
    <w:rsid w:val="00AD4E20"/>
    <w:rsid w:val="00AD4E91"/>
    <w:rsid w:val="00AD600F"/>
    <w:rsid w:val="00AD62B0"/>
    <w:rsid w:val="00AE1DE2"/>
    <w:rsid w:val="00AE342D"/>
    <w:rsid w:val="00AE4C8A"/>
    <w:rsid w:val="00AF2C4C"/>
    <w:rsid w:val="00B047CF"/>
    <w:rsid w:val="00B0657E"/>
    <w:rsid w:val="00B10134"/>
    <w:rsid w:val="00B13BF3"/>
    <w:rsid w:val="00B21C23"/>
    <w:rsid w:val="00B22AC2"/>
    <w:rsid w:val="00B23436"/>
    <w:rsid w:val="00B24287"/>
    <w:rsid w:val="00B2447D"/>
    <w:rsid w:val="00B30E1E"/>
    <w:rsid w:val="00B33678"/>
    <w:rsid w:val="00B33B71"/>
    <w:rsid w:val="00B33C5D"/>
    <w:rsid w:val="00B3415E"/>
    <w:rsid w:val="00B3723E"/>
    <w:rsid w:val="00B402D3"/>
    <w:rsid w:val="00B40F37"/>
    <w:rsid w:val="00B4559E"/>
    <w:rsid w:val="00B55282"/>
    <w:rsid w:val="00B553DD"/>
    <w:rsid w:val="00B62053"/>
    <w:rsid w:val="00B62A37"/>
    <w:rsid w:val="00B6677A"/>
    <w:rsid w:val="00B66A2C"/>
    <w:rsid w:val="00B729C0"/>
    <w:rsid w:val="00B72E1D"/>
    <w:rsid w:val="00B8328D"/>
    <w:rsid w:val="00B83548"/>
    <w:rsid w:val="00B856B3"/>
    <w:rsid w:val="00B857A8"/>
    <w:rsid w:val="00B9301F"/>
    <w:rsid w:val="00B944B6"/>
    <w:rsid w:val="00B96C77"/>
    <w:rsid w:val="00BA4CD1"/>
    <w:rsid w:val="00BA53E2"/>
    <w:rsid w:val="00BA5583"/>
    <w:rsid w:val="00BA64FB"/>
    <w:rsid w:val="00BB3BF9"/>
    <w:rsid w:val="00BB3E54"/>
    <w:rsid w:val="00BC00AA"/>
    <w:rsid w:val="00BC19A0"/>
    <w:rsid w:val="00BC4572"/>
    <w:rsid w:val="00BD1E5C"/>
    <w:rsid w:val="00BD22F3"/>
    <w:rsid w:val="00BD34F7"/>
    <w:rsid w:val="00BD5551"/>
    <w:rsid w:val="00BE0197"/>
    <w:rsid w:val="00BE05C1"/>
    <w:rsid w:val="00BE178D"/>
    <w:rsid w:val="00BE1B39"/>
    <w:rsid w:val="00BE2C77"/>
    <w:rsid w:val="00BE2F8B"/>
    <w:rsid w:val="00BE6607"/>
    <w:rsid w:val="00BE74F2"/>
    <w:rsid w:val="00BE7804"/>
    <w:rsid w:val="00BF111D"/>
    <w:rsid w:val="00BF53C3"/>
    <w:rsid w:val="00BF7DB1"/>
    <w:rsid w:val="00C009A7"/>
    <w:rsid w:val="00C01F9B"/>
    <w:rsid w:val="00C06685"/>
    <w:rsid w:val="00C06C29"/>
    <w:rsid w:val="00C07196"/>
    <w:rsid w:val="00C10107"/>
    <w:rsid w:val="00C10ABC"/>
    <w:rsid w:val="00C14F38"/>
    <w:rsid w:val="00C20465"/>
    <w:rsid w:val="00C2266A"/>
    <w:rsid w:val="00C22A63"/>
    <w:rsid w:val="00C22AE3"/>
    <w:rsid w:val="00C2447F"/>
    <w:rsid w:val="00C26991"/>
    <w:rsid w:val="00C43E41"/>
    <w:rsid w:val="00C44D19"/>
    <w:rsid w:val="00C4503A"/>
    <w:rsid w:val="00C507CC"/>
    <w:rsid w:val="00C511CA"/>
    <w:rsid w:val="00C520BB"/>
    <w:rsid w:val="00C66E65"/>
    <w:rsid w:val="00C66F95"/>
    <w:rsid w:val="00C6795C"/>
    <w:rsid w:val="00C712D0"/>
    <w:rsid w:val="00C75749"/>
    <w:rsid w:val="00C77487"/>
    <w:rsid w:val="00C8143F"/>
    <w:rsid w:val="00C8157D"/>
    <w:rsid w:val="00C828E2"/>
    <w:rsid w:val="00C83FEF"/>
    <w:rsid w:val="00C85F2B"/>
    <w:rsid w:val="00C870C8"/>
    <w:rsid w:val="00C90E57"/>
    <w:rsid w:val="00C925CD"/>
    <w:rsid w:val="00C92AE3"/>
    <w:rsid w:val="00C93BA9"/>
    <w:rsid w:val="00C9502F"/>
    <w:rsid w:val="00CA198A"/>
    <w:rsid w:val="00CA4120"/>
    <w:rsid w:val="00CA6496"/>
    <w:rsid w:val="00CB2BBD"/>
    <w:rsid w:val="00CB2CB3"/>
    <w:rsid w:val="00CB50DC"/>
    <w:rsid w:val="00CB66E0"/>
    <w:rsid w:val="00CB72A2"/>
    <w:rsid w:val="00CC02F0"/>
    <w:rsid w:val="00CC0740"/>
    <w:rsid w:val="00CC315D"/>
    <w:rsid w:val="00CC5045"/>
    <w:rsid w:val="00CD0D29"/>
    <w:rsid w:val="00CD0DB2"/>
    <w:rsid w:val="00CD1404"/>
    <w:rsid w:val="00CD7E1B"/>
    <w:rsid w:val="00CD7EDB"/>
    <w:rsid w:val="00CE0D54"/>
    <w:rsid w:val="00CE37E9"/>
    <w:rsid w:val="00CE4CF3"/>
    <w:rsid w:val="00CE5829"/>
    <w:rsid w:val="00CF3BBC"/>
    <w:rsid w:val="00CF4C1E"/>
    <w:rsid w:val="00CF5A5B"/>
    <w:rsid w:val="00CF7E28"/>
    <w:rsid w:val="00D02BD3"/>
    <w:rsid w:val="00D1360F"/>
    <w:rsid w:val="00D1364E"/>
    <w:rsid w:val="00D1555D"/>
    <w:rsid w:val="00D16212"/>
    <w:rsid w:val="00D21905"/>
    <w:rsid w:val="00D23663"/>
    <w:rsid w:val="00D27D2E"/>
    <w:rsid w:val="00D32638"/>
    <w:rsid w:val="00D35926"/>
    <w:rsid w:val="00D35E65"/>
    <w:rsid w:val="00D40AD7"/>
    <w:rsid w:val="00D442EA"/>
    <w:rsid w:val="00D5584B"/>
    <w:rsid w:val="00D55DCE"/>
    <w:rsid w:val="00D5683E"/>
    <w:rsid w:val="00D622B9"/>
    <w:rsid w:val="00D6482C"/>
    <w:rsid w:val="00D74D70"/>
    <w:rsid w:val="00D764DE"/>
    <w:rsid w:val="00D814B5"/>
    <w:rsid w:val="00D921C5"/>
    <w:rsid w:val="00DA0FE8"/>
    <w:rsid w:val="00DA47FF"/>
    <w:rsid w:val="00DB356A"/>
    <w:rsid w:val="00DB388F"/>
    <w:rsid w:val="00DB3B5A"/>
    <w:rsid w:val="00DB50A1"/>
    <w:rsid w:val="00DB53BD"/>
    <w:rsid w:val="00DB7A24"/>
    <w:rsid w:val="00DC0376"/>
    <w:rsid w:val="00DC2700"/>
    <w:rsid w:val="00DC4F4E"/>
    <w:rsid w:val="00DD1A73"/>
    <w:rsid w:val="00DD2863"/>
    <w:rsid w:val="00DD3086"/>
    <w:rsid w:val="00DD64B9"/>
    <w:rsid w:val="00DD6DEA"/>
    <w:rsid w:val="00DE76DF"/>
    <w:rsid w:val="00DE7A6F"/>
    <w:rsid w:val="00DF240D"/>
    <w:rsid w:val="00DF62B9"/>
    <w:rsid w:val="00DF6542"/>
    <w:rsid w:val="00DF74FD"/>
    <w:rsid w:val="00E05B56"/>
    <w:rsid w:val="00E12469"/>
    <w:rsid w:val="00E151E5"/>
    <w:rsid w:val="00E165D7"/>
    <w:rsid w:val="00E21434"/>
    <w:rsid w:val="00E2547A"/>
    <w:rsid w:val="00E25EA8"/>
    <w:rsid w:val="00E273DC"/>
    <w:rsid w:val="00E27C48"/>
    <w:rsid w:val="00E328E0"/>
    <w:rsid w:val="00E34B83"/>
    <w:rsid w:val="00E36548"/>
    <w:rsid w:val="00E37683"/>
    <w:rsid w:val="00E41F88"/>
    <w:rsid w:val="00E42481"/>
    <w:rsid w:val="00E4292D"/>
    <w:rsid w:val="00E430F5"/>
    <w:rsid w:val="00E4329B"/>
    <w:rsid w:val="00E43959"/>
    <w:rsid w:val="00E44565"/>
    <w:rsid w:val="00E45142"/>
    <w:rsid w:val="00E55E93"/>
    <w:rsid w:val="00E57DE3"/>
    <w:rsid w:val="00E57F63"/>
    <w:rsid w:val="00E7093F"/>
    <w:rsid w:val="00E72A98"/>
    <w:rsid w:val="00E80034"/>
    <w:rsid w:val="00E81468"/>
    <w:rsid w:val="00E84B69"/>
    <w:rsid w:val="00E87B9F"/>
    <w:rsid w:val="00E91178"/>
    <w:rsid w:val="00EA1B14"/>
    <w:rsid w:val="00EA42D3"/>
    <w:rsid w:val="00EA5632"/>
    <w:rsid w:val="00EB05C4"/>
    <w:rsid w:val="00EB2106"/>
    <w:rsid w:val="00EB260D"/>
    <w:rsid w:val="00EB3737"/>
    <w:rsid w:val="00EB472C"/>
    <w:rsid w:val="00EB6D36"/>
    <w:rsid w:val="00EB79FF"/>
    <w:rsid w:val="00EC5598"/>
    <w:rsid w:val="00EC5E06"/>
    <w:rsid w:val="00EC70E2"/>
    <w:rsid w:val="00ED1C1B"/>
    <w:rsid w:val="00ED20C9"/>
    <w:rsid w:val="00ED5469"/>
    <w:rsid w:val="00EE1B93"/>
    <w:rsid w:val="00EE37A3"/>
    <w:rsid w:val="00EE569F"/>
    <w:rsid w:val="00EF0C35"/>
    <w:rsid w:val="00EF3F29"/>
    <w:rsid w:val="00F01AED"/>
    <w:rsid w:val="00F01FA3"/>
    <w:rsid w:val="00F0451B"/>
    <w:rsid w:val="00F0483F"/>
    <w:rsid w:val="00F0645B"/>
    <w:rsid w:val="00F071FF"/>
    <w:rsid w:val="00F12FF7"/>
    <w:rsid w:val="00F15BB1"/>
    <w:rsid w:val="00F1602B"/>
    <w:rsid w:val="00F21F02"/>
    <w:rsid w:val="00F23D37"/>
    <w:rsid w:val="00F250E9"/>
    <w:rsid w:val="00F27FA5"/>
    <w:rsid w:val="00F310C7"/>
    <w:rsid w:val="00F322BD"/>
    <w:rsid w:val="00F40CE2"/>
    <w:rsid w:val="00F41A2B"/>
    <w:rsid w:val="00F46960"/>
    <w:rsid w:val="00F47024"/>
    <w:rsid w:val="00F50654"/>
    <w:rsid w:val="00F517FC"/>
    <w:rsid w:val="00F52FBB"/>
    <w:rsid w:val="00F5331C"/>
    <w:rsid w:val="00F552B5"/>
    <w:rsid w:val="00F5664C"/>
    <w:rsid w:val="00F57E71"/>
    <w:rsid w:val="00F628D8"/>
    <w:rsid w:val="00F726D3"/>
    <w:rsid w:val="00F7574E"/>
    <w:rsid w:val="00F76DD1"/>
    <w:rsid w:val="00F77ADD"/>
    <w:rsid w:val="00F817AA"/>
    <w:rsid w:val="00F83381"/>
    <w:rsid w:val="00F9085D"/>
    <w:rsid w:val="00F90E48"/>
    <w:rsid w:val="00F94069"/>
    <w:rsid w:val="00FA0AF8"/>
    <w:rsid w:val="00FA3DE7"/>
    <w:rsid w:val="00FB520C"/>
    <w:rsid w:val="00FB5260"/>
    <w:rsid w:val="00FB5431"/>
    <w:rsid w:val="00FC1F5D"/>
    <w:rsid w:val="00FC3FE1"/>
    <w:rsid w:val="00FC51D4"/>
    <w:rsid w:val="00FC7992"/>
    <w:rsid w:val="00FD4C86"/>
    <w:rsid w:val="00FE7965"/>
    <w:rsid w:val="00FF019C"/>
    <w:rsid w:val="00FF3B60"/>
    <w:rsid w:val="00FF5877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3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E8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15E88"/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515E88"/>
    <w:rPr>
      <w:rFonts w:ascii="Arial" w:hAnsi="Arial" w:cs="Arial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1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  <w:style w:type="paragraph" w:styleId="Header">
    <w:name w:val="header"/>
    <w:basedOn w:val="Normal"/>
    <w:link w:val="Head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7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7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12552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892</cp:revision>
  <dcterms:created xsi:type="dcterms:W3CDTF">2016-05-09T06:58:00Z</dcterms:created>
  <dcterms:modified xsi:type="dcterms:W3CDTF">2016-06-13T00:37:00Z</dcterms:modified>
</cp:coreProperties>
</file>