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F78" w:rsidRPr="00CB71AA" w:rsidRDefault="007D76A7" w:rsidP="007D76A7">
      <w:pPr>
        <w:jc w:val="center"/>
        <w:rPr>
          <w:rFonts w:asciiTheme="majorHAnsi" w:hAnsiTheme="majorHAnsi"/>
          <w:b/>
          <w:sz w:val="24"/>
          <w:szCs w:val="24"/>
        </w:rPr>
      </w:pPr>
      <w:r w:rsidRPr="00CB71AA">
        <w:rPr>
          <w:rFonts w:asciiTheme="majorHAnsi" w:hAnsiTheme="majorHAnsi"/>
          <w:b/>
          <w:sz w:val="24"/>
          <w:szCs w:val="24"/>
        </w:rPr>
        <w:t>Assiettes</w:t>
      </w:r>
    </w:p>
    <w:p w:rsidR="007D76A7" w:rsidRPr="00CB71AA" w:rsidRDefault="007D76A7" w:rsidP="007D76A7">
      <w:pPr>
        <w:jc w:val="center"/>
        <w:rPr>
          <w:rFonts w:asciiTheme="majorHAnsi" w:hAnsiTheme="majorHAnsi"/>
          <w:b/>
          <w:sz w:val="24"/>
          <w:szCs w:val="24"/>
        </w:rPr>
      </w:pPr>
    </w:p>
    <w:p w:rsidR="007D76A7" w:rsidRPr="00CB71AA" w:rsidRDefault="007D76A7">
      <w:pPr>
        <w:rPr>
          <w:rFonts w:asciiTheme="majorHAnsi" w:hAnsiTheme="majorHAnsi"/>
          <w:b/>
          <w:sz w:val="24"/>
          <w:szCs w:val="24"/>
          <w:u w:val="single"/>
        </w:rPr>
      </w:pPr>
      <w:r w:rsidRPr="00CB71AA">
        <w:rPr>
          <w:rFonts w:asciiTheme="majorHAnsi" w:hAnsiTheme="majorHAnsi"/>
          <w:b/>
          <w:sz w:val="24"/>
          <w:szCs w:val="24"/>
          <w:u w:val="single"/>
        </w:rPr>
        <w:t xml:space="preserve">Aujourd’hui : </w:t>
      </w:r>
    </w:p>
    <w:p w:rsidR="007D76A7" w:rsidRPr="00F51B15" w:rsidRDefault="007D76A7" w:rsidP="007D76A7">
      <w:pPr>
        <w:pStyle w:val="Paragraphedeliste"/>
        <w:rPr>
          <w:rFonts w:asciiTheme="majorHAnsi" w:hAnsiTheme="majorHAnsi"/>
          <w:sz w:val="24"/>
          <w:szCs w:val="24"/>
          <w:u w:val="single"/>
        </w:rPr>
      </w:pPr>
    </w:p>
    <w:p w:rsidR="007D76A7" w:rsidRPr="00BC6143" w:rsidRDefault="007D76A7" w:rsidP="00E67A7D">
      <w:pPr>
        <w:pStyle w:val="Paragraphedeliste"/>
        <w:numPr>
          <w:ilvl w:val="0"/>
          <w:numId w:val="5"/>
        </w:numPr>
        <w:rPr>
          <w:rFonts w:asciiTheme="majorHAnsi" w:hAnsiTheme="majorHAnsi"/>
          <w:sz w:val="24"/>
          <w:szCs w:val="24"/>
          <w:highlight w:val="green"/>
          <w:u w:val="single"/>
        </w:rPr>
      </w:pPr>
      <w:r w:rsidRPr="00BC6143">
        <w:rPr>
          <w:rFonts w:asciiTheme="majorHAnsi" w:hAnsiTheme="majorHAnsi"/>
          <w:sz w:val="24"/>
          <w:szCs w:val="24"/>
          <w:highlight w:val="green"/>
          <w:u w:val="single"/>
        </w:rPr>
        <w:t>Assiette des cotisations sociales</w:t>
      </w:r>
    </w:p>
    <w:p w:rsidR="0051519E" w:rsidRPr="0051519E" w:rsidRDefault="0051519E" w:rsidP="00E67A7D">
      <w:pPr>
        <w:shd w:val="clear" w:color="auto" w:fill="FFFFFF"/>
        <w:spacing w:after="0" w:line="240" w:lineRule="auto"/>
        <w:jc w:val="both"/>
        <w:rPr>
          <w:rFonts w:ascii="Arial" w:eastAsia="Times New Roman" w:hAnsi="Arial" w:cs="Arial"/>
          <w:color w:val="000000"/>
          <w:sz w:val="20"/>
          <w:szCs w:val="20"/>
          <w:lang w:eastAsia="fr-FR"/>
        </w:rPr>
      </w:pPr>
      <w:r w:rsidRPr="0051519E">
        <w:rPr>
          <w:rFonts w:ascii="Arial" w:eastAsia="Times New Roman" w:hAnsi="Arial" w:cs="Arial"/>
          <w:color w:val="000000"/>
          <w:sz w:val="20"/>
          <w:szCs w:val="20"/>
          <w:lang w:eastAsia="fr-FR"/>
        </w:rPr>
        <w:t>L’assiette des cotisations est la base sur laquelle sont appliqués les taux des différentes cotisations et contributions.</w:t>
      </w:r>
    </w:p>
    <w:p w:rsidR="0051519E" w:rsidRPr="0051519E" w:rsidRDefault="0051519E" w:rsidP="00E67A7D">
      <w:pPr>
        <w:shd w:val="clear" w:color="auto" w:fill="FFFFFF"/>
        <w:spacing w:after="0" w:line="240" w:lineRule="auto"/>
        <w:jc w:val="both"/>
        <w:rPr>
          <w:rFonts w:ascii="Arial" w:eastAsia="Times New Roman" w:hAnsi="Arial" w:cs="Arial"/>
          <w:color w:val="000000"/>
          <w:sz w:val="20"/>
          <w:szCs w:val="20"/>
          <w:lang w:eastAsia="fr-FR"/>
        </w:rPr>
      </w:pPr>
      <w:r w:rsidRPr="0051519E">
        <w:rPr>
          <w:rFonts w:ascii="Arial" w:eastAsia="Times New Roman" w:hAnsi="Arial" w:cs="Arial"/>
          <w:color w:val="000000"/>
          <w:sz w:val="20"/>
          <w:szCs w:val="20"/>
          <w:lang w:eastAsia="fr-FR"/>
        </w:rPr>
        <w:t>Elle correspond au montant global des rémunérations, c’est-à-dire non seulement les rémunérations en espèces (</w:t>
      </w:r>
      <w:r w:rsidRPr="0051519E">
        <w:rPr>
          <w:rFonts w:ascii="Arial" w:eastAsia="Times New Roman" w:hAnsi="Arial" w:cs="Arial"/>
          <w:i/>
          <w:iCs/>
          <w:color w:val="000000"/>
          <w:sz w:val="20"/>
          <w:szCs w:val="20"/>
          <w:lang w:eastAsia="fr-FR"/>
        </w:rPr>
        <w:t>indemnités, primes, gratifications…</w:t>
      </w:r>
      <w:r w:rsidRPr="0051519E">
        <w:rPr>
          <w:rFonts w:ascii="Arial" w:eastAsia="Times New Roman" w:hAnsi="Arial" w:cs="Arial"/>
          <w:color w:val="000000"/>
          <w:sz w:val="20"/>
          <w:szCs w:val="20"/>
          <w:lang w:eastAsia="fr-FR"/>
        </w:rPr>
        <w:t>) mais également les avantages en nature, tels que les repas fournis, le logement, le véhicule de « fonction »…</w:t>
      </w:r>
    </w:p>
    <w:p w:rsidR="0051519E" w:rsidRPr="0051519E" w:rsidRDefault="0051519E" w:rsidP="00E67A7D">
      <w:pPr>
        <w:shd w:val="clear" w:color="auto" w:fill="FFFFFF"/>
        <w:spacing w:before="315" w:after="0" w:line="240" w:lineRule="auto"/>
        <w:jc w:val="both"/>
        <w:rPr>
          <w:rFonts w:ascii="Arial" w:eastAsia="Times New Roman" w:hAnsi="Arial" w:cs="Arial"/>
          <w:color w:val="000000"/>
          <w:sz w:val="20"/>
          <w:szCs w:val="20"/>
          <w:lang w:eastAsia="fr-FR"/>
        </w:rPr>
      </w:pPr>
      <w:r w:rsidRPr="0051519E">
        <w:rPr>
          <w:rFonts w:ascii="Arial" w:eastAsia="Times New Roman" w:hAnsi="Arial" w:cs="Arial"/>
          <w:color w:val="000000"/>
          <w:sz w:val="20"/>
          <w:szCs w:val="20"/>
          <w:lang w:eastAsia="fr-FR"/>
        </w:rPr>
        <w:t>Les cotisations et contributions sont calculées sur la totalité des sommes versées pouvant être qualifiées de rémunérations, d’autres le sont dans la limite d’un ou plusieurs plafonds mensuels de Sécurité sociale.</w:t>
      </w:r>
    </w:p>
    <w:p w:rsidR="0051519E" w:rsidRDefault="0051519E" w:rsidP="00E67A7D">
      <w:pPr>
        <w:shd w:val="clear" w:color="auto" w:fill="FFFFFF"/>
        <w:spacing w:after="0" w:line="240" w:lineRule="auto"/>
        <w:jc w:val="both"/>
        <w:rPr>
          <w:rFonts w:ascii="Arial" w:eastAsia="Times New Roman" w:hAnsi="Arial" w:cs="Arial"/>
          <w:color w:val="000000"/>
          <w:sz w:val="20"/>
          <w:szCs w:val="20"/>
          <w:lang w:eastAsia="fr-FR"/>
        </w:rPr>
      </w:pPr>
      <w:r w:rsidRPr="0051519E">
        <w:rPr>
          <w:rFonts w:ascii="Arial" w:eastAsia="Times New Roman" w:hAnsi="Arial" w:cs="Arial"/>
          <w:color w:val="000000"/>
          <w:sz w:val="20"/>
          <w:szCs w:val="20"/>
          <w:lang w:eastAsia="fr-FR"/>
        </w:rPr>
        <w:t>Le montant des rémunérations à prendre en compte pour la base de calcul des cotisations ne peut être inférieur au </w:t>
      </w:r>
      <w:hyperlink r:id="rId6" w:history="1">
        <w:r w:rsidRPr="0051519E">
          <w:rPr>
            <w:rFonts w:ascii="Arial" w:eastAsia="Times New Roman" w:hAnsi="Arial" w:cs="Arial"/>
            <w:color w:val="3163A7"/>
            <w:sz w:val="20"/>
            <w:szCs w:val="20"/>
            <w:lang w:eastAsia="fr-FR"/>
          </w:rPr>
          <w:t>Smic</w:t>
        </w:r>
      </w:hyperlink>
      <w:r w:rsidRPr="0051519E">
        <w:rPr>
          <w:rFonts w:ascii="Arial" w:eastAsia="Times New Roman" w:hAnsi="Arial" w:cs="Arial"/>
          <w:color w:val="000000"/>
          <w:sz w:val="20"/>
          <w:szCs w:val="20"/>
          <w:lang w:eastAsia="fr-FR"/>
        </w:rPr>
        <w:t> majoré de certaines primes ou majorations.</w:t>
      </w:r>
    </w:p>
    <w:p w:rsidR="00746984" w:rsidRDefault="00746984" w:rsidP="00E67A7D">
      <w:pPr>
        <w:shd w:val="clear" w:color="auto" w:fill="FFFFFF"/>
        <w:spacing w:after="0" w:line="240" w:lineRule="auto"/>
        <w:jc w:val="both"/>
        <w:rPr>
          <w:rFonts w:ascii="Arial" w:eastAsia="Times New Roman" w:hAnsi="Arial" w:cs="Arial"/>
          <w:color w:val="000000"/>
          <w:sz w:val="20"/>
          <w:szCs w:val="20"/>
          <w:lang w:eastAsia="fr-FR"/>
        </w:rPr>
      </w:pPr>
    </w:p>
    <w:p w:rsidR="00746984" w:rsidRPr="0051519E" w:rsidRDefault="00746984" w:rsidP="00E67A7D">
      <w:pPr>
        <w:shd w:val="clear" w:color="auto" w:fill="FFFFFF"/>
        <w:spacing w:after="0" w:line="240" w:lineRule="auto"/>
        <w:jc w:val="both"/>
        <w:rPr>
          <w:rFonts w:ascii="Arial" w:eastAsia="Times New Roman" w:hAnsi="Arial" w:cs="Arial"/>
          <w:color w:val="000000"/>
          <w:sz w:val="20"/>
          <w:szCs w:val="20"/>
          <w:lang w:eastAsia="fr-FR"/>
        </w:rPr>
      </w:pPr>
      <w:r>
        <w:rPr>
          <w:rFonts w:ascii="Arial" w:eastAsia="Times New Roman" w:hAnsi="Arial" w:cs="Arial"/>
          <w:color w:val="000000"/>
          <w:sz w:val="20"/>
          <w:szCs w:val="20"/>
          <w:lang w:eastAsia="fr-FR"/>
        </w:rPr>
        <w:t xml:space="preserve">Les cotisations sociales sont prélevées seulement sur les revenus d’activité contrairement à la CSG et à la CRDS. </w:t>
      </w:r>
    </w:p>
    <w:p w:rsidR="0051519E" w:rsidRDefault="0051519E" w:rsidP="00F51B15">
      <w:pPr>
        <w:rPr>
          <w:rFonts w:asciiTheme="majorHAnsi" w:hAnsiTheme="majorHAnsi"/>
          <w:sz w:val="24"/>
          <w:szCs w:val="24"/>
        </w:rPr>
      </w:pPr>
    </w:p>
    <w:p w:rsidR="007D76A7" w:rsidRPr="00BC6143" w:rsidRDefault="007D76A7" w:rsidP="00E67A7D">
      <w:pPr>
        <w:pStyle w:val="Paragraphedeliste"/>
        <w:numPr>
          <w:ilvl w:val="0"/>
          <w:numId w:val="5"/>
        </w:numPr>
        <w:rPr>
          <w:rFonts w:asciiTheme="majorHAnsi" w:hAnsiTheme="majorHAnsi"/>
          <w:sz w:val="24"/>
          <w:szCs w:val="24"/>
          <w:highlight w:val="green"/>
          <w:u w:val="single"/>
        </w:rPr>
      </w:pPr>
      <w:r w:rsidRPr="00BC6143">
        <w:rPr>
          <w:rFonts w:asciiTheme="majorHAnsi" w:hAnsiTheme="majorHAnsi"/>
          <w:sz w:val="24"/>
          <w:szCs w:val="24"/>
          <w:highlight w:val="green"/>
          <w:u w:val="single"/>
        </w:rPr>
        <w:t>Assiette du forfait social</w:t>
      </w:r>
    </w:p>
    <w:p w:rsidR="000F43E8" w:rsidRDefault="000F43E8" w:rsidP="000F43E8">
      <w:pPr>
        <w:rPr>
          <w:rFonts w:asciiTheme="majorHAnsi" w:hAnsiTheme="majorHAnsi"/>
          <w:sz w:val="24"/>
          <w:szCs w:val="24"/>
        </w:rPr>
      </w:pPr>
      <w:r>
        <w:rPr>
          <w:rFonts w:asciiTheme="majorHAnsi" w:hAnsiTheme="majorHAnsi"/>
          <w:sz w:val="24"/>
          <w:szCs w:val="24"/>
        </w:rPr>
        <w:t xml:space="preserve">Deux sortes de forfait social : </w:t>
      </w:r>
    </w:p>
    <w:p w:rsidR="000F43E8" w:rsidRDefault="000F43E8" w:rsidP="00E67A7D">
      <w:pPr>
        <w:pStyle w:val="Paragraphedeliste"/>
        <w:numPr>
          <w:ilvl w:val="0"/>
          <w:numId w:val="6"/>
        </w:numPr>
        <w:jc w:val="both"/>
      </w:pPr>
      <w:r>
        <w:t>forfait social sur prévoyance de 8 % </w:t>
      </w:r>
    </w:p>
    <w:p w:rsidR="000F43E8" w:rsidRDefault="000F43E8" w:rsidP="00E67A7D">
      <w:pPr>
        <w:pStyle w:val="Paragraphedeliste"/>
        <w:numPr>
          <w:ilvl w:val="0"/>
          <w:numId w:val="6"/>
        </w:numPr>
        <w:jc w:val="both"/>
      </w:pPr>
      <w:r>
        <w:t>forfait social de 20 % sur les sommes exonérées de charges sociales mais soumises à CSG CRDS (intéressement, participation, etc.).</w:t>
      </w:r>
    </w:p>
    <w:p w:rsidR="00F51B15" w:rsidRPr="00F51B15" w:rsidRDefault="00F51B15" w:rsidP="00F51B15">
      <w:pPr>
        <w:shd w:val="clear" w:color="auto" w:fill="FFFFFF"/>
        <w:spacing w:after="0" w:line="240" w:lineRule="auto"/>
        <w:jc w:val="both"/>
        <w:rPr>
          <w:rFonts w:ascii="Arial" w:eastAsia="Times New Roman" w:hAnsi="Arial" w:cs="Arial"/>
          <w:color w:val="000000"/>
          <w:sz w:val="20"/>
          <w:szCs w:val="20"/>
          <w:lang w:eastAsia="fr-FR"/>
        </w:rPr>
      </w:pPr>
      <w:r w:rsidRPr="00F51B15">
        <w:rPr>
          <w:rFonts w:ascii="Arial" w:eastAsia="Times New Roman" w:hAnsi="Arial" w:cs="Arial"/>
          <w:color w:val="000000"/>
          <w:sz w:val="20"/>
          <w:szCs w:val="20"/>
          <w:lang w:eastAsia="fr-FR"/>
        </w:rPr>
        <w:t xml:space="preserve">Le forfait social est une contribution à la charge de l’employeur. Elle est prélevée sur les </w:t>
      </w:r>
      <w:r w:rsidRPr="00F51B15">
        <w:rPr>
          <w:rFonts w:ascii="Arial" w:eastAsia="Times New Roman" w:hAnsi="Arial" w:cs="Arial"/>
          <w:b/>
          <w:color w:val="000000"/>
          <w:sz w:val="20"/>
          <w:szCs w:val="20"/>
          <w:lang w:eastAsia="fr-FR"/>
        </w:rPr>
        <w:t>rémunérations ou gains exonérés de cotisations de Sécurité sociale mais assujettie à la contribution sociale généralisée</w:t>
      </w:r>
      <w:r w:rsidRPr="00F51B15">
        <w:rPr>
          <w:rFonts w:ascii="Arial" w:eastAsia="Times New Roman" w:hAnsi="Arial" w:cs="Arial"/>
          <w:color w:val="000000"/>
          <w:sz w:val="20"/>
          <w:szCs w:val="20"/>
          <w:lang w:eastAsia="fr-FR"/>
        </w:rPr>
        <w:t xml:space="preserve"> (</w:t>
      </w:r>
      <w:hyperlink r:id="rId7" w:history="1">
        <w:r w:rsidRPr="00F51B15">
          <w:rPr>
            <w:rFonts w:ascii="Arial" w:eastAsia="Times New Roman" w:hAnsi="Arial" w:cs="Arial"/>
            <w:color w:val="3163A7"/>
            <w:sz w:val="20"/>
            <w:szCs w:val="20"/>
            <w:lang w:eastAsia="fr-FR"/>
          </w:rPr>
          <w:t>CSG</w:t>
        </w:r>
      </w:hyperlink>
      <w:r w:rsidRPr="00F51B15">
        <w:rPr>
          <w:rFonts w:ascii="Arial" w:eastAsia="Times New Roman" w:hAnsi="Arial" w:cs="Arial"/>
          <w:color w:val="000000"/>
          <w:sz w:val="20"/>
          <w:szCs w:val="20"/>
          <w:lang w:eastAsia="fr-FR"/>
        </w:rPr>
        <w:t>).</w:t>
      </w:r>
    </w:p>
    <w:p w:rsidR="00F51B15" w:rsidRPr="00F51B15" w:rsidRDefault="00F51B15" w:rsidP="00F51B15">
      <w:pPr>
        <w:shd w:val="clear" w:color="auto" w:fill="FFFFFF"/>
        <w:spacing w:before="315" w:after="0" w:line="240" w:lineRule="auto"/>
        <w:jc w:val="both"/>
        <w:rPr>
          <w:rFonts w:ascii="Arial" w:eastAsia="Times New Roman" w:hAnsi="Arial" w:cs="Arial"/>
          <w:color w:val="000000"/>
          <w:sz w:val="20"/>
          <w:szCs w:val="20"/>
          <w:lang w:eastAsia="fr-FR"/>
        </w:rPr>
      </w:pPr>
      <w:r w:rsidRPr="00F51B15">
        <w:rPr>
          <w:rFonts w:ascii="Arial" w:eastAsia="Times New Roman" w:hAnsi="Arial" w:cs="Arial"/>
          <w:color w:val="000000"/>
          <w:sz w:val="20"/>
          <w:szCs w:val="20"/>
          <w:lang w:eastAsia="fr-FR"/>
        </w:rPr>
        <w:t>Ces deux conditions sont cumulatives.</w:t>
      </w:r>
    </w:p>
    <w:p w:rsidR="00F51B15" w:rsidRPr="00F51B15" w:rsidRDefault="00F51B15" w:rsidP="00F51B15">
      <w:pPr>
        <w:shd w:val="clear" w:color="auto" w:fill="FFFFFF"/>
        <w:spacing w:before="315" w:after="0" w:line="240" w:lineRule="auto"/>
        <w:jc w:val="both"/>
        <w:rPr>
          <w:rFonts w:ascii="Arial" w:eastAsia="Times New Roman" w:hAnsi="Arial" w:cs="Arial"/>
          <w:color w:val="000000"/>
          <w:sz w:val="20"/>
          <w:szCs w:val="20"/>
          <w:lang w:eastAsia="fr-FR"/>
        </w:rPr>
      </w:pPr>
      <w:r w:rsidRPr="00F51B15">
        <w:rPr>
          <w:rFonts w:ascii="Arial" w:eastAsia="Times New Roman" w:hAnsi="Arial" w:cs="Arial"/>
          <w:color w:val="000000"/>
          <w:sz w:val="20"/>
          <w:szCs w:val="20"/>
          <w:lang w:eastAsia="fr-FR"/>
        </w:rPr>
        <w:t>Par exception au principe,</w:t>
      </w:r>
    </w:p>
    <w:p w:rsidR="00F51B15" w:rsidRPr="00F51B15" w:rsidRDefault="00F51B15" w:rsidP="00F51B15">
      <w:pPr>
        <w:numPr>
          <w:ilvl w:val="0"/>
          <w:numId w:val="2"/>
        </w:numPr>
        <w:shd w:val="clear" w:color="auto" w:fill="FFFFFF"/>
        <w:spacing w:after="0" w:line="240" w:lineRule="auto"/>
        <w:ind w:left="0"/>
        <w:jc w:val="both"/>
        <w:rPr>
          <w:rFonts w:ascii="Arial" w:eastAsia="Times New Roman" w:hAnsi="Arial" w:cs="Arial"/>
          <w:color w:val="000000"/>
          <w:sz w:val="20"/>
          <w:szCs w:val="20"/>
          <w:lang w:eastAsia="fr-FR"/>
        </w:rPr>
      </w:pPr>
      <w:r w:rsidRPr="00F51B15">
        <w:rPr>
          <w:rFonts w:ascii="Arial" w:eastAsia="Times New Roman" w:hAnsi="Arial" w:cs="Arial"/>
          <w:color w:val="000000"/>
          <w:sz w:val="20"/>
          <w:szCs w:val="20"/>
          <w:lang w:eastAsia="fr-FR"/>
        </w:rPr>
        <w:t>certaines sommes sont expressément soumises au forfait social bien que ne remplissant pas les deux conditions,</w:t>
      </w:r>
    </w:p>
    <w:p w:rsidR="00F51B15" w:rsidRPr="00F51B15" w:rsidRDefault="00F51B15" w:rsidP="00F51B15">
      <w:pPr>
        <w:numPr>
          <w:ilvl w:val="0"/>
          <w:numId w:val="2"/>
        </w:numPr>
        <w:shd w:val="clear" w:color="auto" w:fill="FFFFFF"/>
        <w:spacing w:after="0" w:line="240" w:lineRule="auto"/>
        <w:ind w:left="0"/>
        <w:jc w:val="both"/>
        <w:rPr>
          <w:rFonts w:ascii="Arial" w:eastAsia="Times New Roman" w:hAnsi="Arial" w:cs="Arial"/>
          <w:color w:val="000000"/>
          <w:sz w:val="20"/>
          <w:szCs w:val="20"/>
          <w:lang w:eastAsia="fr-FR"/>
        </w:rPr>
      </w:pPr>
      <w:r w:rsidRPr="00F51B15">
        <w:rPr>
          <w:rFonts w:ascii="Arial" w:eastAsia="Times New Roman" w:hAnsi="Arial" w:cs="Arial"/>
          <w:color w:val="000000"/>
          <w:sz w:val="20"/>
          <w:szCs w:val="20"/>
          <w:lang w:eastAsia="fr-FR"/>
        </w:rPr>
        <w:t>d’autres sont exclues indépendamment de leur assujettissement à CSG ou aux cotisations.</w:t>
      </w:r>
    </w:p>
    <w:p w:rsidR="00F51B15" w:rsidRPr="00F51B15" w:rsidRDefault="00F51B15" w:rsidP="00F51B15">
      <w:pPr>
        <w:rPr>
          <w:rFonts w:asciiTheme="majorHAnsi" w:hAnsiTheme="majorHAnsi"/>
          <w:sz w:val="24"/>
          <w:szCs w:val="24"/>
        </w:rPr>
      </w:pPr>
    </w:p>
    <w:p w:rsidR="002405B2" w:rsidRPr="002E3DC6" w:rsidRDefault="007D76A7" w:rsidP="00E67A7D">
      <w:pPr>
        <w:pStyle w:val="Paragraphedeliste"/>
        <w:numPr>
          <w:ilvl w:val="0"/>
          <w:numId w:val="5"/>
        </w:numPr>
        <w:rPr>
          <w:rFonts w:asciiTheme="majorHAnsi" w:hAnsiTheme="majorHAnsi"/>
          <w:b/>
          <w:sz w:val="24"/>
          <w:szCs w:val="24"/>
          <w:highlight w:val="green"/>
        </w:rPr>
      </w:pPr>
      <w:r w:rsidRPr="00BC6143">
        <w:rPr>
          <w:rFonts w:asciiTheme="majorHAnsi" w:hAnsiTheme="majorHAnsi"/>
          <w:sz w:val="24"/>
          <w:szCs w:val="24"/>
          <w:highlight w:val="green"/>
          <w:u w:val="single"/>
        </w:rPr>
        <w:t>Assiette de la CSG-CRDS</w:t>
      </w:r>
      <w:r w:rsidR="00F13EF2" w:rsidRPr="00BC6143">
        <w:rPr>
          <w:rFonts w:asciiTheme="majorHAnsi" w:hAnsiTheme="majorHAnsi"/>
          <w:sz w:val="24"/>
          <w:szCs w:val="24"/>
          <w:highlight w:val="green"/>
          <w:u w:val="single"/>
        </w:rPr>
        <w:t xml:space="preserve"> </w:t>
      </w:r>
    </w:p>
    <w:p w:rsidR="002E3DC6" w:rsidRPr="002E3DC6" w:rsidRDefault="002E3DC6" w:rsidP="002E3DC6">
      <w:pPr>
        <w:rPr>
          <w:rFonts w:asciiTheme="majorHAnsi" w:hAnsiTheme="majorHAnsi"/>
          <w:b/>
          <w:sz w:val="24"/>
          <w:szCs w:val="24"/>
        </w:rPr>
      </w:pPr>
      <w:r w:rsidRPr="002E3DC6">
        <w:rPr>
          <w:rFonts w:asciiTheme="majorHAnsi" w:hAnsiTheme="majorHAnsi"/>
          <w:b/>
          <w:sz w:val="24"/>
          <w:szCs w:val="24"/>
        </w:rPr>
        <w:t xml:space="preserve">Historique : </w:t>
      </w:r>
    </w:p>
    <w:p w:rsidR="002E3DC6" w:rsidRDefault="002E3DC6" w:rsidP="00AA7CAF">
      <w:pPr>
        <w:spacing w:after="0"/>
        <w:rPr>
          <w:rFonts w:asciiTheme="majorHAnsi" w:hAnsiTheme="majorHAnsi"/>
          <w:sz w:val="24"/>
          <w:szCs w:val="24"/>
        </w:rPr>
      </w:pPr>
      <w:r w:rsidRPr="002E3DC6">
        <w:rPr>
          <w:rFonts w:asciiTheme="majorHAnsi" w:hAnsiTheme="majorHAnsi"/>
          <w:sz w:val="24"/>
          <w:szCs w:val="24"/>
        </w:rPr>
        <w:t>1991 : création de la CSG avec la même assiette que celle des cotisations sociales</w:t>
      </w:r>
    </w:p>
    <w:p w:rsidR="002E3DC6" w:rsidRDefault="002E3DC6" w:rsidP="00AA7CAF">
      <w:pPr>
        <w:spacing w:after="0"/>
        <w:rPr>
          <w:rFonts w:asciiTheme="majorHAnsi" w:hAnsiTheme="majorHAnsi"/>
          <w:sz w:val="24"/>
          <w:szCs w:val="24"/>
        </w:rPr>
      </w:pPr>
      <w:r>
        <w:rPr>
          <w:rFonts w:asciiTheme="majorHAnsi" w:hAnsiTheme="majorHAnsi"/>
          <w:sz w:val="24"/>
          <w:szCs w:val="24"/>
        </w:rPr>
        <w:t xml:space="preserve">1996 : création de la CRDS </w:t>
      </w:r>
    </w:p>
    <w:p w:rsidR="002E3DC6" w:rsidRPr="002E3DC6" w:rsidRDefault="002E3DC6" w:rsidP="00AA7CAF">
      <w:pPr>
        <w:spacing w:after="0"/>
        <w:rPr>
          <w:rFonts w:asciiTheme="majorHAnsi" w:hAnsiTheme="majorHAnsi"/>
          <w:sz w:val="24"/>
          <w:szCs w:val="24"/>
        </w:rPr>
      </w:pPr>
      <w:r>
        <w:rPr>
          <w:rFonts w:asciiTheme="majorHAnsi" w:hAnsiTheme="majorHAnsi"/>
          <w:sz w:val="24"/>
          <w:szCs w:val="24"/>
        </w:rPr>
        <w:t xml:space="preserve">1997 : convergence de la CSG et de la CRDS </w:t>
      </w:r>
    </w:p>
    <w:p w:rsidR="002E3DC6" w:rsidRDefault="002E3DC6" w:rsidP="00FC27A5">
      <w:pPr>
        <w:shd w:val="clear" w:color="auto" w:fill="FFFFFF"/>
        <w:spacing w:after="0" w:line="240" w:lineRule="auto"/>
        <w:rPr>
          <w:rFonts w:ascii="Arial" w:eastAsia="Times New Roman" w:hAnsi="Arial" w:cs="Arial"/>
          <w:color w:val="000000"/>
          <w:sz w:val="20"/>
          <w:szCs w:val="20"/>
          <w:lang w:eastAsia="fr-FR"/>
        </w:rPr>
      </w:pPr>
    </w:p>
    <w:p w:rsidR="002E3DC6" w:rsidRDefault="002E3DC6" w:rsidP="00FC27A5">
      <w:pPr>
        <w:shd w:val="clear" w:color="auto" w:fill="FFFFFF"/>
        <w:spacing w:after="0" w:line="240" w:lineRule="auto"/>
        <w:rPr>
          <w:rFonts w:ascii="Arial" w:eastAsia="Times New Roman" w:hAnsi="Arial" w:cs="Arial"/>
          <w:color w:val="000000"/>
          <w:sz w:val="20"/>
          <w:szCs w:val="20"/>
          <w:lang w:eastAsia="fr-FR"/>
        </w:rPr>
      </w:pPr>
    </w:p>
    <w:p w:rsidR="00FC27A5" w:rsidRPr="00FC27A5" w:rsidRDefault="00FC27A5" w:rsidP="00FC27A5">
      <w:pPr>
        <w:shd w:val="clear" w:color="auto" w:fill="FFFFFF"/>
        <w:spacing w:after="0" w:line="240" w:lineRule="auto"/>
        <w:rPr>
          <w:rFonts w:ascii="Arial" w:eastAsia="Times New Roman" w:hAnsi="Arial" w:cs="Arial"/>
          <w:color w:val="000000"/>
          <w:sz w:val="20"/>
          <w:szCs w:val="20"/>
          <w:lang w:eastAsia="fr-FR"/>
        </w:rPr>
      </w:pPr>
      <w:r w:rsidRPr="00FC27A5">
        <w:rPr>
          <w:rFonts w:ascii="Arial" w:eastAsia="Times New Roman" w:hAnsi="Arial" w:cs="Arial"/>
          <w:color w:val="000000"/>
          <w:sz w:val="20"/>
          <w:szCs w:val="20"/>
          <w:lang w:eastAsia="fr-FR"/>
        </w:rPr>
        <w:lastRenderedPageBreak/>
        <w:t>La contribution sociale généralisée (</w:t>
      </w:r>
      <w:hyperlink r:id="rId8" w:history="1">
        <w:r w:rsidRPr="00FC27A5">
          <w:rPr>
            <w:rFonts w:ascii="Arial" w:eastAsia="Times New Roman" w:hAnsi="Arial" w:cs="Arial"/>
            <w:color w:val="3163A7"/>
            <w:sz w:val="20"/>
            <w:szCs w:val="20"/>
            <w:lang w:eastAsia="fr-FR"/>
          </w:rPr>
          <w:t>CSG</w:t>
        </w:r>
      </w:hyperlink>
      <w:r w:rsidRPr="00FC27A5">
        <w:rPr>
          <w:rFonts w:ascii="Arial" w:eastAsia="Times New Roman" w:hAnsi="Arial" w:cs="Arial"/>
          <w:color w:val="000000"/>
          <w:sz w:val="20"/>
          <w:szCs w:val="20"/>
          <w:lang w:eastAsia="fr-FR"/>
        </w:rPr>
        <w:t>) est un impôt destiné à participer au financement de la protection sociale.</w:t>
      </w:r>
    </w:p>
    <w:p w:rsidR="00FC27A5" w:rsidRPr="00FC27A5" w:rsidRDefault="00FC27A5" w:rsidP="00FC27A5">
      <w:pPr>
        <w:shd w:val="clear" w:color="auto" w:fill="FFFFFF"/>
        <w:spacing w:before="315" w:after="0" w:line="240" w:lineRule="auto"/>
        <w:rPr>
          <w:rFonts w:ascii="Arial" w:eastAsia="Times New Roman" w:hAnsi="Arial" w:cs="Arial"/>
          <w:color w:val="000000"/>
          <w:sz w:val="20"/>
          <w:szCs w:val="20"/>
          <w:lang w:eastAsia="fr-FR"/>
        </w:rPr>
      </w:pPr>
      <w:r w:rsidRPr="00FC27A5">
        <w:rPr>
          <w:rFonts w:ascii="Arial" w:eastAsia="Times New Roman" w:hAnsi="Arial" w:cs="Arial"/>
          <w:color w:val="000000"/>
          <w:sz w:val="20"/>
          <w:szCs w:val="20"/>
          <w:lang w:eastAsia="fr-FR"/>
        </w:rPr>
        <w:t xml:space="preserve">A la différence des cotisations sociales qui ne portent que sur les revenus d’activité, la CSG concerne, outre les revenus d’activité et de remplacement (allocations chômage, indemnités journalières…), les revenus du patrimoine, les produits de placement ou les sommes engagées </w:t>
      </w:r>
      <w:proofErr w:type="gramStart"/>
      <w:r w:rsidRPr="00FC27A5">
        <w:rPr>
          <w:rFonts w:ascii="Arial" w:eastAsia="Times New Roman" w:hAnsi="Arial" w:cs="Arial"/>
          <w:color w:val="000000"/>
          <w:sz w:val="20"/>
          <w:szCs w:val="20"/>
          <w:lang w:eastAsia="fr-FR"/>
        </w:rPr>
        <w:t>ou</w:t>
      </w:r>
      <w:proofErr w:type="gramEnd"/>
      <w:r w:rsidRPr="00FC27A5">
        <w:rPr>
          <w:rFonts w:ascii="Arial" w:eastAsia="Times New Roman" w:hAnsi="Arial" w:cs="Arial"/>
          <w:color w:val="000000"/>
          <w:sz w:val="20"/>
          <w:szCs w:val="20"/>
          <w:lang w:eastAsia="fr-FR"/>
        </w:rPr>
        <w:t xml:space="preserve"> redistribuées par les jeux.</w:t>
      </w:r>
    </w:p>
    <w:p w:rsidR="00FC27A5" w:rsidRDefault="00FC27A5" w:rsidP="00FC27A5">
      <w:pPr>
        <w:shd w:val="clear" w:color="auto" w:fill="FFFFFF"/>
        <w:spacing w:after="0" w:line="240" w:lineRule="auto"/>
        <w:rPr>
          <w:rFonts w:ascii="Arial" w:eastAsia="Times New Roman" w:hAnsi="Arial" w:cs="Arial"/>
          <w:color w:val="000000"/>
          <w:sz w:val="20"/>
          <w:szCs w:val="20"/>
          <w:lang w:eastAsia="fr-FR"/>
        </w:rPr>
      </w:pPr>
      <w:r w:rsidRPr="00FC27A5">
        <w:rPr>
          <w:rFonts w:ascii="Arial" w:eastAsia="Times New Roman" w:hAnsi="Arial" w:cs="Arial"/>
          <w:color w:val="000000"/>
          <w:sz w:val="20"/>
          <w:szCs w:val="20"/>
          <w:lang w:eastAsia="fr-FR"/>
        </w:rPr>
        <w:t>Elle est prélevée à la source sur la plupart des revenus. Elle est recouvrée par les</w:t>
      </w:r>
      <w:r>
        <w:rPr>
          <w:rFonts w:ascii="Arial" w:eastAsia="Times New Roman" w:hAnsi="Arial" w:cs="Arial"/>
          <w:color w:val="000000"/>
          <w:sz w:val="20"/>
          <w:szCs w:val="20"/>
          <w:lang w:eastAsia="fr-FR"/>
        </w:rPr>
        <w:t xml:space="preserve"> </w:t>
      </w:r>
      <w:hyperlink r:id="rId9" w:history="1">
        <w:r w:rsidRPr="00FC27A5">
          <w:rPr>
            <w:rFonts w:ascii="Arial" w:eastAsia="Times New Roman" w:hAnsi="Arial" w:cs="Arial"/>
            <w:color w:val="3163A7"/>
            <w:sz w:val="20"/>
            <w:szCs w:val="20"/>
            <w:lang w:eastAsia="fr-FR"/>
          </w:rPr>
          <w:t>Urssaf</w:t>
        </w:r>
      </w:hyperlink>
      <w:r w:rsidRPr="00FC27A5">
        <w:rPr>
          <w:rFonts w:ascii="Arial" w:eastAsia="Times New Roman" w:hAnsi="Arial" w:cs="Arial"/>
          <w:color w:val="000000"/>
          <w:sz w:val="20"/>
          <w:szCs w:val="20"/>
          <w:lang w:eastAsia="fr-FR"/>
        </w:rPr>
        <w:t> sur les revenus d’activité et par l’administration fiscale sur les revenus du patrimoine.</w:t>
      </w:r>
    </w:p>
    <w:p w:rsidR="000B4145" w:rsidRDefault="000B4145" w:rsidP="00FC27A5">
      <w:pPr>
        <w:shd w:val="clear" w:color="auto" w:fill="FFFFFF"/>
        <w:spacing w:after="0" w:line="240" w:lineRule="auto"/>
        <w:rPr>
          <w:rFonts w:ascii="Arial" w:eastAsia="Times New Roman" w:hAnsi="Arial" w:cs="Arial"/>
          <w:color w:val="000000"/>
          <w:sz w:val="20"/>
          <w:szCs w:val="20"/>
          <w:lang w:eastAsia="fr-FR"/>
        </w:rPr>
      </w:pPr>
    </w:p>
    <w:p w:rsidR="000B4145" w:rsidRPr="00FC27A5" w:rsidRDefault="000B4145" w:rsidP="00FC27A5">
      <w:pPr>
        <w:shd w:val="clear" w:color="auto" w:fill="FFFFFF"/>
        <w:spacing w:after="0" w:line="240" w:lineRule="auto"/>
        <w:rPr>
          <w:rFonts w:ascii="Arial" w:eastAsia="Times New Roman" w:hAnsi="Arial" w:cs="Arial"/>
          <w:color w:val="000000"/>
          <w:sz w:val="20"/>
          <w:szCs w:val="20"/>
          <w:lang w:eastAsia="fr-FR"/>
        </w:rPr>
      </w:pPr>
      <w:r>
        <w:rPr>
          <w:rFonts w:ascii="Arial" w:hAnsi="Arial" w:cs="Arial"/>
          <w:color w:val="000000"/>
          <w:sz w:val="18"/>
          <w:szCs w:val="18"/>
          <w:shd w:val="clear" w:color="auto" w:fill="FFFFFF"/>
        </w:rPr>
        <w:t>Ainsi, l'assiette de la CSG est constituée, en application de l'</w:t>
      </w:r>
      <w:hyperlink r:id="rId10" w:tgtFrame="_blank" w:tooltip="Code de la sécurité sociale Article L136-2" w:history="1">
        <w:r>
          <w:rPr>
            <w:rStyle w:val="Lienhypertexte"/>
            <w:rFonts w:ascii="Arial" w:hAnsi="Arial" w:cs="Arial"/>
            <w:b/>
            <w:bCs/>
            <w:color w:val="B3438D"/>
            <w:sz w:val="26"/>
            <w:szCs w:val="26"/>
            <w:shd w:val="clear" w:color="auto" w:fill="FFFFFF"/>
          </w:rPr>
          <w:t>article L. 136-2 du CSS</w:t>
        </w:r>
      </w:hyperlink>
      <w:r>
        <w:rPr>
          <w:rFonts w:ascii="Arial" w:hAnsi="Arial" w:cs="Arial"/>
          <w:color w:val="000000"/>
          <w:sz w:val="18"/>
          <w:szCs w:val="18"/>
          <w:shd w:val="clear" w:color="auto" w:fill="FFFFFF"/>
        </w:rPr>
        <w:t>, du montant brut des traitements, indemnités, émoluments, salaires, allocations, pensions y compris les majorations et bonifications pour enfants, les rentes viagères autres que celles visées au 6 de l'</w:t>
      </w:r>
      <w:hyperlink r:id="rId11" w:tgtFrame="_blank" w:tooltip="Code général des impôts Article 158" w:history="1">
        <w:r>
          <w:rPr>
            <w:rStyle w:val="Lienhypertexte"/>
            <w:rFonts w:ascii="Arial" w:hAnsi="Arial" w:cs="Arial"/>
            <w:b/>
            <w:bCs/>
            <w:color w:val="B3438D"/>
            <w:sz w:val="26"/>
            <w:szCs w:val="26"/>
            <w:shd w:val="clear" w:color="auto" w:fill="FFFFFF"/>
          </w:rPr>
          <w:t>article 158 du CGI</w:t>
        </w:r>
      </w:hyperlink>
      <w:r>
        <w:rPr>
          <w:rStyle w:val="apple-converted-space"/>
          <w:rFonts w:ascii="Arial" w:hAnsi="Arial" w:cs="Arial"/>
          <w:color w:val="000000"/>
          <w:sz w:val="18"/>
          <w:szCs w:val="18"/>
          <w:shd w:val="clear" w:color="auto" w:fill="FFFFFF"/>
        </w:rPr>
        <w:t> </w:t>
      </w:r>
      <w:r>
        <w:rPr>
          <w:rFonts w:ascii="Arial" w:hAnsi="Arial" w:cs="Arial"/>
          <w:color w:val="000000"/>
          <w:sz w:val="18"/>
          <w:szCs w:val="18"/>
          <w:shd w:val="clear" w:color="auto" w:fill="FFFFFF"/>
        </w:rPr>
        <w:t>et les revenus tirés des activités exercées par les personnes mentionnées à</w:t>
      </w:r>
      <w:r>
        <w:rPr>
          <w:rStyle w:val="apple-converted-space"/>
          <w:rFonts w:ascii="Arial" w:hAnsi="Arial" w:cs="Arial"/>
          <w:color w:val="000000"/>
          <w:sz w:val="18"/>
          <w:szCs w:val="18"/>
          <w:shd w:val="clear" w:color="auto" w:fill="FFFFFF"/>
        </w:rPr>
        <w:t> </w:t>
      </w:r>
      <w:hyperlink r:id="rId12" w:tgtFrame="_blank" w:tooltip="Code de la sécurité sociale Article L311-2" w:history="1">
        <w:r>
          <w:rPr>
            <w:rStyle w:val="Lienhypertexte"/>
            <w:rFonts w:ascii="Arial" w:hAnsi="Arial" w:cs="Arial"/>
            <w:b/>
            <w:bCs/>
            <w:color w:val="B3438D"/>
            <w:sz w:val="26"/>
            <w:szCs w:val="26"/>
            <w:shd w:val="clear" w:color="auto" w:fill="FFFFFF"/>
          </w:rPr>
          <w:t>l'article L. 311-2 du CSS</w:t>
        </w:r>
      </w:hyperlink>
      <w:r>
        <w:rPr>
          <w:rStyle w:val="apple-converted-space"/>
          <w:rFonts w:ascii="Arial" w:hAnsi="Arial" w:cs="Arial"/>
          <w:color w:val="000000"/>
          <w:sz w:val="18"/>
          <w:szCs w:val="18"/>
          <w:shd w:val="clear" w:color="auto" w:fill="FFFFFF"/>
        </w:rPr>
        <w:t> </w:t>
      </w:r>
      <w:r>
        <w:rPr>
          <w:rFonts w:ascii="Arial" w:hAnsi="Arial" w:cs="Arial"/>
          <w:color w:val="000000"/>
          <w:sz w:val="18"/>
          <w:szCs w:val="18"/>
          <w:shd w:val="clear" w:color="auto" w:fill="FFFFFF"/>
        </w:rPr>
        <w:t>et à l'</w:t>
      </w:r>
      <w:hyperlink r:id="rId13" w:tgtFrame="_blank" w:tooltip="Code de la sécurité sociale Article L311-3" w:history="1">
        <w:r>
          <w:rPr>
            <w:rStyle w:val="Lienhypertexte"/>
            <w:rFonts w:ascii="Arial" w:hAnsi="Arial" w:cs="Arial"/>
            <w:b/>
            <w:bCs/>
            <w:color w:val="B3438D"/>
            <w:sz w:val="26"/>
            <w:szCs w:val="26"/>
            <w:shd w:val="clear" w:color="auto" w:fill="FFFFFF"/>
          </w:rPr>
          <w:t>article L. 311-3 du CSS</w:t>
        </w:r>
      </w:hyperlink>
      <w:r>
        <w:rPr>
          <w:rFonts w:ascii="Arial" w:hAnsi="Arial" w:cs="Arial"/>
          <w:color w:val="000000"/>
          <w:sz w:val="18"/>
          <w:szCs w:val="18"/>
          <w:shd w:val="clear" w:color="auto" w:fill="FFFFFF"/>
        </w:rPr>
        <w:t>.</w:t>
      </w:r>
    </w:p>
    <w:p w:rsidR="00FC27A5" w:rsidRDefault="00FC27A5" w:rsidP="00F51B15">
      <w:pPr>
        <w:rPr>
          <w:rFonts w:asciiTheme="majorHAnsi" w:hAnsiTheme="majorHAnsi"/>
          <w:sz w:val="24"/>
          <w:szCs w:val="24"/>
          <w:u w:val="single"/>
        </w:rPr>
      </w:pPr>
    </w:p>
    <w:p w:rsidR="00C21A5D" w:rsidRDefault="00C21A5D" w:rsidP="00F51B15">
      <w:pPr>
        <w:rPr>
          <w:rFonts w:asciiTheme="majorHAnsi" w:hAnsiTheme="majorHAnsi"/>
          <w:sz w:val="24"/>
          <w:szCs w:val="24"/>
          <w:u w:val="single"/>
        </w:rPr>
      </w:pPr>
      <w:r>
        <w:rPr>
          <w:rFonts w:ascii="Segoe UI" w:hAnsi="Segoe UI" w:cs="Segoe UI"/>
          <w:b/>
          <w:bCs/>
          <w:color w:val="333333"/>
          <w:sz w:val="33"/>
          <w:szCs w:val="33"/>
          <w:shd w:val="clear" w:color="auto" w:fill="FFFFFF"/>
        </w:rPr>
        <w:t>Circulaire ministérielle du 16 janvier 1991</w:t>
      </w:r>
    </w:p>
    <w:p w:rsidR="00C21A5D" w:rsidRPr="00C21A5D" w:rsidRDefault="00C21A5D" w:rsidP="00C21A5D">
      <w:pPr>
        <w:shd w:val="clear" w:color="auto" w:fill="FFFFFF"/>
        <w:spacing w:after="150" w:line="240" w:lineRule="auto"/>
        <w:textAlignment w:val="baseline"/>
        <w:rPr>
          <w:rFonts w:ascii="Segoe UI" w:eastAsia="Times New Roman" w:hAnsi="Segoe UI" w:cs="Segoe UI"/>
          <w:color w:val="333333"/>
          <w:sz w:val="18"/>
          <w:szCs w:val="18"/>
          <w:lang w:eastAsia="fr-FR"/>
        </w:rPr>
      </w:pPr>
      <w:r>
        <w:rPr>
          <w:rFonts w:ascii="Segoe UI" w:eastAsia="Times New Roman" w:hAnsi="Segoe UI" w:cs="Segoe UI"/>
          <w:color w:val="333333"/>
          <w:sz w:val="18"/>
          <w:szCs w:val="18"/>
          <w:lang w:eastAsia="fr-FR"/>
        </w:rPr>
        <w:t>L</w:t>
      </w:r>
      <w:r w:rsidRPr="00C21A5D">
        <w:rPr>
          <w:rFonts w:ascii="Segoe UI" w:eastAsia="Times New Roman" w:hAnsi="Segoe UI" w:cs="Segoe UI"/>
          <w:color w:val="333333"/>
          <w:sz w:val="18"/>
          <w:szCs w:val="18"/>
          <w:lang w:eastAsia="fr-FR"/>
        </w:rPr>
        <w:t>es revenus assujettis à la contribution sur les revenus d'activité et de remplacement sont les revenus versés à compter du 1</w:t>
      </w:r>
      <w:r w:rsidRPr="00C21A5D">
        <w:rPr>
          <w:rFonts w:ascii="Segoe UI" w:eastAsia="Times New Roman" w:hAnsi="Segoe UI" w:cs="Segoe UI"/>
          <w:color w:val="333333"/>
          <w:sz w:val="18"/>
          <w:szCs w:val="18"/>
          <w:vertAlign w:val="superscript"/>
          <w:lang w:eastAsia="fr-FR"/>
        </w:rPr>
        <w:t>er</w:t>
      </w:r>
      <w:r w:rsidRPr="00C21A5D">
        <w:rPr>
          <w:rFonts w:ascii="Segoe UI" w:eastAsia="Times New Roman" w:hAnsi="Segoe UI" w:cs="Segoe UI"/>
          <w:color w:val="333333"/>
          <w:sz w:val="18"/>
          <w:szCs w:val="18"/>
          <w:lang w:eastAsia="fr-FR"/>
        </w:rPr>
        <w:t> février 1991.</w:t>
      </w:r>
    </w:p>
    <w:p w:rsidR="00C21A5D" w:rsidRPr="00C21A5D" w:rsidRDefault="00C21A5D" w:rsidP="00C21A5D">
      <w:pPr>
        <w:shd w:val="clear" w:color="auto" w:fill="FFFFFF"/>
        <w:spacing w:after="150" w:line="240" w:lineRule="auto"/>
        <w:textAlignment w:val="baseline"/>
        <w:rPr>
          <w:rFonts w:ascii="Segoe UI" w:eastAsia="Times New Roman" w:hAnsi="Segoe UI" w:cs="Segoe UI"/>
          <w:color w:val="333333"/>
          <w:sz w:val="18"/>
          <w:szCs w:val="18"/>
          <w:lang w:eastAsia="fr-FR"/>
        </w:rPr>
      </w:pPr>
      <w:r w:rsidRPr="00C21A5D">
        <w:rPr>
          <w:rFonts w:ascii="Segoe UI" w:eastAsia="Times New Roman" w:hAnsi="Segoe UI" w:cs="Segoe UI"/>
          <w:color w:val="333333"/>
          <w:sz w:val="18"/>
          <w:szCs w:val="18"/>
          <w:lang w:eastAsia="fr-FR"/>
        </w:rPr>
        <w:t>Sont donc visés tous les revenus versés à compter de cette date, quelle que soit la période au titre de laquelle ils sont versés, cela tant pour les revenus d'activité que de remplacement.</w:t>
      </w:r>
    </w:p>
    <w:p w:rsidR="00C21A5D" w:rsidRPr="00C21A5D" w:rsidRDefault="00C21A5D" w:rsidP="00C21A5D">
      <w:pPr>
        <w:shd w:val="clear" w:color="auto" w:fill="FFFFFF"/>
        <w:spacing w:after="150" w:line="240" w:lineRule="auto"/>
        <w:textAlignment w:val="baseline"/>
        <w:rPr>
          <w:rFonts w:ascii="Segoe UI" w:eastAsia="Times New Roman" w:hAnsi="Segoe UI" w:cs="Segoe UI"/>
          <w:color w:val="333333"/>
          <w:sz w:val="18"/>
          <w:szCs w:val="18"/>
          <w:lang w:eastAsia="fr-FR"/>
        </w:rPr>
      </w:pPr>
      <w:r w:rsidRPr="00C21A5D">
        <w:rPr>
          <w:rFonts w:ascii="Segoe UI" w:eastAsia="Times New Roman" w:hAnsi="Segoe UI" w:cs="Segoe UI"/>
          <w:color w:val="333333"/>
          <w:sz w:val="18"/>
          <w:szCs w:val="18"/>
          <w:lang w:eastAsia="fr-FR"/>
        </w:rPr>
        <w:t>Sont assujettis à la C.S.G. l'ensemble des revenus d'activité et de remplacement, à l'exception de ceux expressément exonérés par l'article 128 de la loi de finances pour 1991. Le seul fait qu'une catégorie de revenus ne soit pas expressément mentionnée par la loi n'emporte pas son exonération dès lors qu'elle est assimilable aux « traitements, indemnités, émoluments, salaires, allocations, pensions ».</w:t>
      </w:r>
    </w:p>
    <w:p w:rsidR="00C21A5D" w:rsidRPr="00C21A5D" w:rsidRDefault="00C21A5D" w:rsidP="00C21A5D">
      <w:pPr>
        <w:shd w:val="clear" w:color="auto" w:fill="FFFFFF"/>
        <w:spacing w:after="150" w:line="240" w:lineRule="auto"/>
        <w:textAlignment w:val="baseline"/>
        <w:rPr>
          <w:rFonts w:ascii="Segoe UI" w:eastAsia="Times New Roman" w:hAnsi="Segoe UI" w:cs="Segoe UI"/>
          <w:color w:val="333333"/>
          <w:sz w:val="18"/>
          <w:szCs w:val="18"/>
          <w:lang w:eastAsia="fr-FR"/>
        </w:rPr>
      </w:pPr>
      <w:r w:rsidRPr="00C21A5D">
        <w:rPr>
          <w:rFonts w:ascii="Segoe UI" w:eastAsia="Times New Roman" w:hAnsi="Segoe UI" w:cs="Segoe UI"/>
          <w:color w:val="333333"/>
          <w:sz w:val="18"/>
          <w:szCs w:val="18"/>
          <w:lang w:eastAsia="fr-FR"/>
        </w:rPr>
        <w:t>Entrent notamment dans le champ de la C.S.G.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salaires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revenus d'activité non salariaux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retraites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allocations de chômage et de préretraite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indemnités liées à une fonction élective ou publique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pensions d'invalidité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revenus versés par un organisme assureur (entreprise d'assurance, institution de prévoyance, mutuelle)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droits d'auteur ;</w:t>
      </w:r>
    </w:p>
    <w:p w:rsidR="00C21A5D" w:rsidRPr="00C21A5D" w:rsidRDefault="00C21A5D" w:rsidP="00C21A5D">
      <w:pPr>
        <w:shd w:val="clear" w:color="auto" w:fill="FFFFFF"/>
        <w:spacing w:after="0" w:line="240" w:lineRule="auto"/>
        <w:textAlignment w:val="baseline"/>
        <w:rPr>
          <w:rFonts w:ascii="inherit" w:eastAsia="Times New Roman" w:hAnsi="inherit" w:cs="Segoe UI"/>
          <w:color w:val="333333"/>
          <w:sz w:val="18"/>
          <w:szCs w:val="18"/>
          <w:lang w:eastAsia="fr-FR"/>
        </w:rPr>
      </w:pPr>
      <w:r w:rsidRPr="00C21A5D">
        <w:rPr>
          <w:rFonts w:ascii="inherit" w:eastAsia="Times New Roman" w:hAnsi="inherit" w:cs="Segoe UI"/>
          <w:color w:val="333333"/>
          <w:sz w:val="18"/>
          <w:szCs w:val="18"/>
          <w:lang w:eastAsia="fr-FR"/>
        </w:rPr>
        <w:t>- les droits voisins.</w:t>
      </w:r>
    </w:p>
    <w:p w:rsidR="00C21A5D" w:rsidRPr="00C21A5D" w:rsidRDefault="00C21A5D" w:rsidP="00C21A5D">
      <w:pPr>
        <w:shd w:val="clear" w:color="auto" w:fill="FFFFFF"/>
        <w:spacing w:after="150" w:line="240" w:lineRule="auto"/>
        <w:textAlignment w:val="baseline"/>
        <w:rPr>
          <w:rFonts w:ascii="Segoe UI" w:eastAsia="Times New Roman" w:hAnsi="Segoe UI" w:cs="Segoe UI"/>
          <w:color w:val="333333"/>
          <w:sz w:val="18"/>
          <w:szCs w:val="18"/>
          <w:lang w:eastAsia="fr-FR"/>
        </w:rPr>
      </w:pPr>
      <w:r w:rsidRPr="00C21A5D">
        <w:rPr>
          <w:rFonts w:ascii="Segoe UI" w:eastAsia="Times New Roman" w:hAnsi="Segoe UI" w:cs="Segoe UI"/>
          <w:color w:val="333333"/>
          <w:sz w:val="18"/>
          <w:szCs w:val="18"/>
          <w:lang w:eastAsia="fr-FR"/>
        </w:rPr>
        <w:t>Sont en revanche exonérées ou non comprises dans le champ de la contribution : les prestations familiales versées par les organismes de sécurité sociale, l'allocation du revenu minimum d'insertion, les bourses à caractère social, la solde des appelés et la solde spéciale progressive, les indemnités journalières maladie, maternité et accidents du travail, servies par ou pour le compte des organismes de sécurité sociale, les rentes accidents du travail, les rémunérations des apprentis et des stagiaires de la formation professionnelle rémunérés par l'Etat. Le détail des revenus exonérés figure en annexe.</w:t>
      </w:r>
    </w:p>
    <w:p w:rsidR="0051519E" w:rsidRDefault="0051519E" w:rsidP="00F51B15">
      <w:pPr>
        <w:rPr>
          <w:rFonts w:asciiTheme="majorHAnsi" w:hAnsiTheme="majorHAnsi"/>
          <w:sz w:val="24"/>
          <w:szCs w:val="24"/>
          <w:u w:val="single"/>
        </w:rPr>
      </w:pPr>
    </w:p>
    <w:p w:rsidR="00C21A5D" w:rsidRDefault="00C21A5D" w:rsidP="00F51B15">
      <w:pPr>
        <w:rPr>
          <w:rFonts w:asciiTheme="majorHAnsi" w:hAnsiTheme="majorHAnsi"/>
          <w:sz w:val="24"/>
          <w:szCs w:val="24"/>
          <w:u w:val="single"/>
        </w:rPr>
      </w:pPr>
      <w:r>
        <w:rPr>
          <w:rFonts w:ascii="Segoe UI" w:hAnsi="Segoe UI" w:cs="Segoe UI"/>
          <w:color w:val="333333"/>
          <w:sz w:val="18"/>
          <w:szCs w:val="18"/>
          <w:shd w:val="clear" w:color="auto" w:fill="FFFFFF"/>
        </w:rPr>
        <w:t xml:space="preserve">Pour la détermination des personnes assujetties à la C.S.G. sont applicables les règles fiscales </w:t>
      </w:r>
      <w:r w:rsidRPr="00C21A5D">
        <w:rPr>
          <w:rFonts w:ascii="Segoe UI" w:hAnsi="Segoe UI" w:cs="Segoe UI"/>
          <w:color w:val="333333"/>
          <w:sz w:val="18"/>
          <w:szCs w:val="18"/>
          <w:highlight w:val="yellow"/>
          <w:shd w:val="clear" w:color="auto" w:fill="FFFFFF"/>
        </w:rPr>
        <w:t>; pour les règles d'assiette et de détermination des catégories de revenus sont applicables, sauf exceptions mentionnées ci-après, les règles en vigueur pour les cotisations du régime général de sécurité sociale.</w:t>
      </w:r>
      <w:r>
        <w:rPr>
          <w:rFonts w:ascii="Segoe UI" w:hAnsi="Segoe UI" w:cs="Segoe UI"/>
          <w:color w:val="333333"/>
          <w:sz w:val="18"/>
          <w:szCs w:val="18"/>
          <w:shd w:val="clear" w:color="auto" w:fill="FFFFFF"/>
        </w:rPr>
        <w:t xml:space="preserve"> Ces dernières sont donc mises en œuvre pour des catégories de revenus qui n'y étaient pas soumises, que leur régime de cotisation soit différent ou qu'elles ne fassent pas l'objet de cotisations. Ainsi la loi fait référence à</w:t>
      </w:r>
      <w:r>
        <w:rPr>
          <w:rStyle w:val="apple-converted-space"/>
          <w:rFonts w:ascii="Segoe UI" w:hAnsi="Segoe UI" w:cs="Segoe UI"/>
          <w:color w:val="333333"/>
          <w:sz w:val="18"/>
          <w:szCs w:val="18"/>
          <w:shd w:val="clear" w:color="auto" w:fill="FFFFFF"/>
        </w:rPr>
        <w:t> </w:t>
      </w:r>
      <w:hyperlink r:id="rId14" w:history="1">
        <w:r>
          <w:rPr>
            <w:rStyle w:val="Lienhypertexte"/>
            <w:rFonts w:ascii="Segoe UI" w:hAnsi="Segoe UI" w:cs="Segoe UI"/>
            <w:color w:val="0071B9"/>
            <w:sz w:val="18"/>
            <w:szCs w:val="18"/>
            <w:bdr w:val="none" w:sz="0" w:space="0" w:color="auto" w:frame="1"/>
            <w:shd w:val="clear" w:color="auto" w:fill="FFFFFF"/>
          </w:rPr>
          <w:t>l'article L. 242-1</w:t>
        </w:r>
      </w:hyperlink>
      <w:r>
        <w:rPr>
          <w:rStyle w:val="apple-converted-space"/>
          <w:rFonts w:ascii="Segoe UI" w:hAnsi="Segoe UI" w:cs="Segoe UI"/>
          <w:color w:val="333333"/>
          <w:sz w:val="18"/>
          <w:szCs w:val="18"/>
          <w:shd w:val="clear" w:color="auto" w:fill="FFFFFF"/>
        </w:rPr>
        <w:t> </w:t>
      </w:r>
      <w:r>
        <w:rPr>
          <w:rFonts w:ascii="Segoe UI" w:hAnsi="Segoe UI" w:cs="Segoe UI"/>
          <w:color w:val="333333"/>
          <w:sz w:val="18"/>
          <w:szCs w:val="18"/>
          <w:shd w:val="clear" w:color="auto" w:fill="FFFFFF"/>
        </w:rPr>
        <w:t>du code de la Sécurité sociale pour l'évaluation des salaires, reprend l'article L. 242-11 pour les travailleurs indépendants et en matière de recouvrement se réfère aux dispositions du code de la sécurité sociale sur le recouvrement des cotisations au régime général (chapitres III et IV du titre IV du livre III).</w:t>
      </w:r>
    </w:p>
    <w:p w:rsidR="00377A5D" w:rsidRPr="00377A5D" w:rsidRDefault="00377A5D" w:rsidP="00377A5D">
      <w:pPr>
        <w:pStyle w:val="Paragraphedeliste"/>
        <w:numPr>
          <w:ilvl w:val="1"/>
          <w:numId w:val="2"/>
        </w:numPr>
        <w:jc w:val="both"/>
        <w:rPr>
          <w:rFonts w:asciiTheme="majorHAnsi" w:hAnsiTheme="majorHAnsi"/>
          <w:sz w:val="24"/>
          <w:szCs w:val="24"/>
          <w:u w:val="single"/>
        </w:rPr>
      </w:pPr>
      <w:r w:rsidRPr="002321A4">
        <w:rPr>
          <w:rFonts w:asciiTheme="majorHAnsi" w:hAnsiTheme="majorHAnsi"/>
          <w:b/>
          <w:sz w:val="24"/>
          <w:szCs w:val="24"/>
        </w:rPr>
        <w:lastRenderedPageBreak/>
        <w:t>Divergence en 199</w:t>
      </w:r>
      <w:r w:rsidR="000370E5" w:rsidRPr="002321A4">
        <w:rPr>
          <w:rFonts w:asciiTheme="majorHAnsi" w:hAnsiTheme="majorHAnsi"/>
          <w:b/>
          <w:sz w:val="24"/>
          <w:szCs w:val="24"/>
        </w:rPr>
        <w:t>6 quand la CRDS a été créé</w:t>
      </w:r>
      <w:r>
        <w:rPr>
          <w:rFonts w:asciiTheme="majorHAnsi" w:hAnsiTheme="majorHAnsi"/>
          <w:sz w:val="24"/>
          <w:szCs w:val="24"/>
        </w:rPr>
        <w:t xml:space="preserve"> et alignement </w:t>
      </w:r>
      <w:r w:rsidR="000370E5">
        <w:rPr>
          <w:rFonts w:asciiTheme="majorHAnsi" w:hAnsiTheme="majorHAnsi"/>
          <w:sz w:val="24"/>
          <w:szCs w:val="24"/>
        </w:rPr>
        <w:t xml:space="preserve">des assiettes de la CSG et de la CRDS en 1997 </w:t>
      </w:r>
      <w:r>
        <w:rPr>
          <w:rFonts w:asciiTheme="majorHAnsi" w:hAnsiTheme="majorHAnsi"/>
          <w:sz w:val="24"/>
          <w:szCs w:val="24"/>
        </w:rPr>
        <w:t xml:space="preserve"> </w:t>
      </w:r>
    </w:p>
    <w:p w:rsidR="00377A5D" w:rsidRDefault="002321A4" w:rsidP="0080500B">
      <w:pPr>
        <w:jc w:val="both"/>
        <w:rPr>
          <w:rFonts w:asciiTheme="majorHAnsi" w:hAnsiTheme="majorHAnsi"/>
          <w:sz w:val="24"/>
          <w:szCs w:val="24"/>
        </w:rPr>
      </w:pPr>
      <w:r>
        <w:rPr>
          <w:rFonts w:asciiTheme="majorHAnsi" w:hAnsiTheme="majorHAnsi"/>
          <w:sz w:val="24"/>
          <w:szCs w:val="24"/>
        </w:rPr>
        <w:t xml:space="preserve">A la création de la CRDS en 1996, l’assiette est plus large que celle de la CSG puisqu’elle inclut un certain nombre d’indemnités et d’avantages affranchis de cotisations de Sécurité sociale et donc de CSG : </w:t>
      </w:r>
    </w:p>
    <w:p w:rsidR="002321A4" w:rsidRDefault="002321A4" w:rsidP="00E67A7D">
      <w:pPr>
        <w:pStyle w:val="Paragraphedeliste"/>
        <w:numPr>
          <w:ilvl w:val="2"/>
          <w:numId w:val="2"/>
        </w:numPr>
        <w:rPr>
          <w:rFonts w:asciiTheme="majorHAnsi" w:hAnsiTheme="majorHAnsi"/>
          <w:sz w:val="24"/>
          <w:szCs w:val="24"/>
        </w:rPr>
      </w:pPr>
      <w:r>
        <w:rPr>
          <w:rFonts w:asciiTheme="majorHAnsi" w:hAnsiTheme="majorHAnsi"/>
          <w:sz w:val="24"/>
          <w:szCs w:val="24"/>
        </w:rPr>
        <w:t>Contributions patronales de retraite et de prévoyance</w:t>
      </w:r>
    </w:p>
    <w:p w:rsidR="002321A4" w:rsidRDefault="002321A4" w:rsidP="00E67A7D">
      <w:pPr>
        <w:pStyle w:val="Paragraphedeliste"/>
        <w:numPr>
          <w:ilvl w:val="2"/>
          <w:numId w:val="2"/>
        </w:numPr>
        <w:rPr>
          <w:rFonts w:asciiTheme="majorHAnsi" w:hAnsiTheme="majorHAnsi"/>
          <w:sz w:val="24"/>
          <w:szCs w:val="24"/>
        </w:rPr>
      </w:pPr>
      <w:r>
        <w:rPr>
          <w:rFonts w:asciiTheme="majorHAnsi" w:hAnsiTheme="majorHAnsi"/>
          <w:sz w:val="24"/>
          <w:szCs w:val="24"/>
        </w:rPr>
        <w:t>Indemnités versées à l’occasion de la rupture ou de la modification du contrat</w:t>
      </w:r>
    </w:p>
    <w:p w:rsidR="002321A4" w:rsidRPr="002321A4" w:rsidRDefault="002321A4" w:rsidP="00E67A7D">
      <w:pPr>
        <w:pStyle w:val="Paragraphedeliste"/>
        <w:numPr>
          <w:ilvl w:val="2"/>
          <w:numId w:val="2"/>
        </w:numPr>
        <w:rPr>
          <w:rFonts w:asciiTheme="majorHAnsi" w:hAnsiTheme="majorHAnsi"/>
          <w:sz w:val="24"/>
          <w:szCs w:val="24"/>
        </w:rPr>
      </w:pPr>
      <w:r>
        <w:rPr>
          <w:rFonts w:asciiTheme="majorHAnsi" w:hAnsiTheme="majorHAnsi"/>
          <w:sz w:val="24"/>
          <w:szCs w:val="24"/>
        </w:rPr>
        <w:t>Allocations conventionnelles aux salariés en congé parental ou à temps partiel</w:t>
      </w:r>
    </w:p>
    <w:p w:rsidR="00377A5D" w:rsidRDefault="00377A5D" w:rsidP="00F51B15">
      <w:pPr>
        <w:rPr>
          <w:rFonts w:asciiTheme="majorHAnsi" w:hAnsiTheme="majorHAnsi"/>
          <w:sz w:val="24"/>
          <w:szCs w:val="24"/>
          <w:u w:val="single"/>
        </w:rPr>
      </w:pPr>
    </w:p>
    <w:p w:rsidR="00722883" w:rsidRPr="00722883" w:rsidRDefault="00722883" w:rsidP="00722883">
      <w:pPr>
        <w:shd w:val="clear" w:color="auto" w:fill="FFFFFF"/>
        <w:spacing w:after="135" w:line="270" w:lineRule="atLeast"/>
        <w:jc w:val="both"/>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La CSG a été instaurée par la loi de finances pour 1991. Son taux initial, fixé à 1,1 %, a été successivement porté à 2,4 % en 1993, 3,4 % en 1997, 7,5 % en 1998 et 8,2 % pour les seuls revenus du capital en 2005.</w:t>
      </w:r>
    </w:p>
    <w:p w:rsidR="00722883" w:rsidRPr="00722883" w:rsidRDefault="00722883" w:rsidP="00722883">
      <w:pPr>
        <w:shd w:val="clear" w:color="auto" w:fill="FFFFFF"/>
        <w:spacing w:after="135" w:line="270" w:lineRule="atLeast"/>
        <w:jc w:val="both"/>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Son assiette, d’abord limitée aux produits soumis au prélèvement forfaitaire libératoire, a été étendue en 1997 à l’ensemble des revenus du patrimoine et des produits de placement (hors livrets d’épargne réglementés).</w:t>
      </w:r>
    </w:p>
    <w:p w:rsidR="00722883" w:rsidRDefault="00722883" w:rsidP="00722883">
      <w:pPr>
        <w:jc w:val="both"/>
        <w:rPr>
          <w:rFonts w:asciiTheme="majorHAnsi" w:hAnsiTheme="majorHAnsi"/>
          <w:sz w:val="24"/>
          <w:szCs w:val="24"/>
          <w:u w:val="single"/>
        </w:rPr>
      </w:pPr>
    </w:p>
    <w:p w:rsidR="00722883" w:rsidRPr="00722883" w:rsidRDefault="00722883" w:rsidP="00722883">
      <w:pPr>
        <w:jc w:val="both"/>
        <w:rPr>
          <w:rFonts w:asciiTheme="majorHAnsi" w:hAnsiTheme="majorHAnsi"/>
          <w:b/>
          <w:sz w:val="24"/>
          <w:szCs w:val="24"/>
        </w:rPr>
      </w:pPr>
      <w:r>
        <w:rPr>
          <w:rFonts w:asciiTheme="majorHAnsi" w:hAnsiTheme="majorHAnsi"/>
          <w:b/>
          <w:sz w:val="24"/>
          <w:szCs w:val="24"/>
        </w:rPr>
        <w:t>L’assiette actuelle de la CSG et de la CRDS</w:t>
      </w:r>
      <w:r w:rsidR="00D428C5">
        <w:rPr>
          <w:rFonts w:asciiTheme="majorHAnsi" w:hAnsiTheme="majorHAnsi"/>
          <w:b/>
          <w:sz w:val="24"/>
          <w:szCs w:val="24"/>
        </w:rPr>
        <w:t xml:space="preserve"> : </w:t>
      </w:r>
    </w:p>
    <w:p w:rsidR="00722883" w:rsidRPr="00722883" w:rsidRDefault="00722883" w:rsidP="00722883">
      <w:pPr>
        <w:shd w:val="clear" w:color="auto" w:fill="FFFFFF"/>
        <w:spacing w:before="315" w:after="0" w:line="240" w:lineRule="auto"/>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 xml:space="preserve">La base de calcul de ces deux contributions est </w:t>
      </w:r>
      <w:r w:rsidRPr="00722883">
        <w:rPr>
          <w:rFonts w:ascii="Arial" w:eastAsia="Times New Roman" w:hAnsi="Arial" w:cs="Arial"/>
          <w:color w:val="000000"/>
          <w:sz w:val="20"/>
          <w:szCs w:val="20"/>
          <w:highlight w:val="yellow"/>
          <w:lang w:eastAsia="fr-FR"/>
        </w:rPr>
        <w:t>plus large que celle des cotisations de Sécurité sociale.</w:t>
      </w:r>
    </w:p>
    <w:p w:rsidR="00722883" w:rsidRPr="00722883" w:rsidRDefault="00722883" w:rsidP="00722883">
      <w:pPr>
        <w:shd w:val="clear" w:color="auto" w:fill="FFFFFF"/>
        <w:spacing w:before="315" w:after="0" w:line="240" w:lineRule="auto"/>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La CSG et la CRDS sont calculées sur tous les éléments soumis à cotisations de Sécurité sociale ainsi que sur les éléments ci-dessous :</w:t>
      </w:r>
    </w:p>
    <w:p w:rsidR="00722883" w:rsidRPr="00722883" w:rsidRDefault="00722883" w:rsidP="00722883">
      <w:pPr>
        <w:numPr>
          <w:ilvl w:val="0"/>
          <w:numId w:val="10"/>
        </w:numPr>
        <w:shd w:val="clear" w:color="auto" w:fill="FFFFFF"/>
        <w:spacing w:after="0" w:line="240" w:lineRule="auto"/>
        <w:ind w:left="0"/>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les contributions patronales finançant les prestations de retraite supplémentaire et de prévoyance complémentaire, autres que celles versées aux régimes obligatoires de retraite complémentaire,</w:t>
      </w:r>
    </w:p>
    <w:p w:rsidR="00722883" w:rsidRPr="00722883" w:rsidRDefault="00722883" w:rsidP="00722883">
      <w:pPr>
        <w:numPr>
          <w:ilvl w:val="0"/>
          <w:numId w:val="10"/>
        </w:numPr>
        <w:shd w:val="clear" w:color="auto" w:fill="FFFFFF"/>
        <w:spacing w:after="0" w:line="240" w:lineRule="auto"/>
        <w:ind w:left="0"/>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les indemnités de mise à la retraite, de licenciement ou de départ volontaire dans le cadre d’un plan social, pour la partie qui excède les montants conventionnels ou légaux,</w:t>
      </w:r>
    </w:p>
    <w:p w:rsidR="00722883" w:rsidRPr="00722883" w:rsidRDefault="00722883" w:rsidP="00722883">
      <w:pPr>
        <w:numPr>
          <w:ilvl w:val="0"/>
          <w:numId w:val="10"/>
        </w:numPr>
        <w:shd w:val="clear" w:color="auto" w:fill="FFFFFF"/>
        <w:spacing w:after="0" w:line="240" w:lineRule="auto"/>
        <w:ind w:left="0"/>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les primes liées à la participation et à l’intéressement des salariés aux résultats de l’entreprise.</w:t>
      </w:r>
    </w:p>
    <w:p w:rsidR="00722883" w:rsidRPr="00722883" w:rsidRDefault="00722883" w:rsidP="00722883">
      <w:pPr>
        <w:shd w:val="clear" w:color="auto" w:fill="FFFFFF"/>
        <w:spacing w:before="315" w:after="0" w:line="240" w:lineRule="auto"/>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Les déductions forfaitaires spécifiques pour frais professionnels dont bénéficient certaines professions ne sont pas applicables pour le calcul de la CSG et de la CRDS. Les employeurs doivent asseoir ces contributions sur le salaire avant déduction forfaitaire.</w:t>
      </w:r>
    </w:p>
    <w:p w:rsidR="00722883" w:rsidRPr="00722883" w:rsidRDefault="00722883" w:rsidP="00722883">
      <w:pPr>
        <w:shd w:val="clear" w:color="auto" w:fill="FFFFFF"/>
        <w:spacing w:before="315" w:after="0" w:line="240" w:lineRule="auto"/>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La CSG et la CRDS sont également dues sur les revenus de remplacement :</w:t>
      </w:r>
    </w:p>
    <w:p w:rsidR="00722883" w:rsidRPr="00722883" w:rsidRDefault="00722883" w:rsidP="00722883">
      <w:pPr>
        <w:numPr>
          <w:ilvl w:val="0"/>
          <w:numId w:val="11"/>
        </w:numPr>
        <w:shd w:val="clear" w:color="auto" w:fill="FFFFFF"/>
        <w:spacing w:after="0" w:line="240" w:lineRule="auto"/>
        <w:ind w:left="0"/>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les pensions de retraite et d’invalidité,</w:t>
      </w:r>
    </w:p>
    <w:p w:rsidR="00722883" w:rsidRPr="00722883" w:rsidRDefault="00722883" w:rsidP="00722883">
      <w:pPr>
        <w:numPr>
          <w:ilvl w:val="0"/>
          <w:numId w:val="11"/>
        </w:numPr>
        <w:shd w:val="clear" w:color="auto" w:fill="FFFFFF"/>
        <w:spacing w:after="0" w:line="240" w:lineRule="auto"/>
        <w:ind w:left="0"/>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les allocations de chômage et de préretraite.</w:t>
      </w:r>
    </w:p>
    <w:p w:rsidR="00722883" w:rsidRPr="00722883" w:rsidRDefault="00722883" w:rsidP="00722883">
      <w:pPr>
        <w:shd w:val="clear" w:color="auto" w:fill="FFFFFF"/>
        <w:spacing w:before="315" w:after="0" w:line="240" w:lineRule="auto"/>
        <w:rPr>
          <w:rFonts w:ascii="Arial" w:eastAsia="Times New Roman" w:hAnsi="Arial" w:cs="Arial"/>
          <w:color w:val="000000"/>
          <w:sz w:val="20"/>
          <w:szCs w:val="20"/>
          <w:lang w:eastAsia="fr-FR"/>
        </w:rPr>
      </w:pPr>
      <w:r w:rsidRPr="00722883">
        <w:rPr>
          <w:rFonts w:ascii="Arial" w:eastAsia="Times New Roman" w:hAnsi="Arial" w:cs="Arial"/>
          <w:color w:val="000000"/>
          <w:sz w:val="20"/>
          <w:szCs w:val="20"/>
          <w:lang w:eastAsia="fr-FR"/>
        </w:rPr>
        <w:t>Les allocations de chômage et de préretraite, ainsi que les pensions de retraite et d’invalidité peuvent être exonérées de CSG-CRDS ou soumises à un taux réduit selon les ressources du bénéficiaire.</w:t>
      </w:r>
    </w:p>
    <w:p w:rsidR="00722883" w:rsidRDefault="00722883" w:rsidP="00722883">
      <w:pPr>
        <w:jc w:val="both"/>
        <w:rPr>
          <w:rFonts w:asciiTheme="majorHAnsi" w:hAnsiTheme="majorHAnsi"/>
          <w:sz w:val="24"/>
          <w:szCs w:val="24"/>
          <w:u w:val="single"/>
        </w:rPr>
      </w:pPr>
    </w:p>
    <w:p w:rsidR="00377A5D" w:rsidRDefault="00377A5D" w:rsidP="00F51B15">
      <w:pPr>
        <w:rPr>
          <w:rFonts w:asciiTheme="majorHAnsi" w:hAnsiTheme="majorHAnsi"/>
          <w:sz w:val="24"/>
          <w:szCs w:val="24"/>
          <w:u w:val="single"/>
        </w:rPr>
      </w:pPr>
    </w:p>
    <w:p w:rsidR="00DC709E" w:rsidRPr="00F51B15" w:rsidRDefault="00DC709E" w:rsidP="00F51B15">
      <w:pPr>
        <w:rPr>
          <w:rFonts w:asciiTheme="majorHAnsi" w:hAnsiTheme="majorHAnsi"/>
          <w:sz w:val="24"/>
          <w:szCs w:val="24"/>
          <w:u w:val="single"/>
        </w:rPr>
      </w:pPr>
    </w:p>
    <w:p w:rsidR="007D76A7" w:rsidRPr="00BC6143" w:rsidRDefault="007D76A7" w:rsidP="00E67A7D">
      <w:pPr>
        <w:pStyle w:val="Paragraphedeliste"/>
        <w:numPr>
          <w:ilvl w:val="0"/>
          <w:numId w:val="5"/>
        </w:numPr>
        <w:rPr>
          <w:rFonts w:asciiTheme="majorHAnsi" w:hAnsiTheme="majorHAnsi"/>
          <w:sz w:val="24"/>
          <w:szCs w:val="24"/>
          <w:highlight w:val="green"/>
          <w:u w:val="single"/>
        </w:rPr>
      </w:pPr>
      <w:r w:rsidRPr="00BC6143">
        <w:rPr>
          <w:rFonts w:asciiTheme="majorHAnsi" w:hAnsiTheme="majorHAnsi"/>
          <w:sz w:val="24"/>
          <w:szCs w:val="24"/>
          <w:highlight w:val="green"/>
          <w:u w:val="single"/>
        </w:rPr>
        <w:lastRenderedPageBreak/>
        <w:t>Assiette de la taxe sur les salaires</w:t>
      </w:r>
    </w:p>
    <w:p w:rsidR="006C7058" w:rsidRPr="008406FF" w:rsidRDefault="006C7058" w:rsidP="002719DD">
      <w:pPr>
        <w:rPr>
          <w:rFonts w:asciiTheme="majorHAnsi" w:hAnsiTheme="majorHAnsi"/>
          <w:b/>
          <w:sz w:val="24"/>
          <w:szCs w:val="24"/>
        </w:rPr>
      </w:pPr>
      <w:r w:rsidRPr="008406FF">
        <w:rPr>
          <w:rFonts w:asciiTheme="majorHAnsi" w:hAnsiTheme="majorHAnsi"/>
          <w:b/>
          <w:sz w:val="24"/>
          <w:szCs w:val="24"/>
        </w:rPr>
        <w:t xml:space="preserve">Historique de la taxe sur les salaires : </w:t>
      </w:r>
    </w:p>
    <w:p w:rsidR="006C7058" w:rsidRDefault="000952CC" w:rsidP="002719DD">
      <w:pPr>
        <w:rPr>
          <w:rFonts w:asciiTheme="majorHAnsi" w:hAnsiTheme="majorHAnsi"/>
          <w:sz w:val="24"/>
          <w:szCs w:val="24"/>
        </w:rPr>
      </w:pPr>
      <w:r>
        <w:rPr>
          <w:rFonts w:asciiTheme="majorHAnsi" w:hAnsiTheme="majorHAnsi"/>
          <w:sz w:val="24"/>
          <w:szCs w:val="24"/>
        </w:rPr>
        <w:t xml:space="preserve">La taxe sur les salaires s’est construite en 3 étapes : </w:t>
      </w:r>
    </w:p>
    <w:p w:rsidR="000952CC" w:rsidRPr="008406FF" w:rsidRDefault="008406FF" w:rsidP="008406FF">
      <w:pPr>
        <w:pStyle w:val="Paragraphedeliste"/>
        <w:numPr>
          <w:ilvl w:val="0"/>
          <w:numId w:val="7"/>
        </w:numPr>
        <w:rPr>
          <w:sz w:val="24"/>
          <w:szCs w:val="24"/>
        </w:rPr>
      </w:pPr>
      <w:r w:rsidRPr="008406FF">
        <w:rPr>
          <w:color w:val="545454"/>
          <w:sz w:val="21"/>
          <w:szCs w:val="21"/>
          <w:shd w:val="clear" w:color="auto" w:fill="FFFFFF"/>
        </w:rPr>
        <w:t>La taxe sur les salaires trouve son origine dans l'article 70 du décret du 9 décembre 1948 (n° 48-1986) qui instituait un versement forfaitaire sur les salaires mis à la charge des employeurs et des débiteurs de certaines pensions.</w:t>
      </w:r>
    </w:p>
    <w:p w:rsidR="008406FF" w:rsidRPr="008406FF" w:rsidRDefault="008406FF" w:rsidP="008406FF">
      <w:pPr>
        <w:pStyle w:val="Paragraphedeliste"/>
        <w:numPr>
          <w:ilvl w:val="0"/>
          <w:numId w:val="7"/>
        </w:numPr>
        <w:shd w:val="clear" w:color="auto" w:fill="FFFFFF"/>
        <w:spacing w:after="0" w:line="240" w:lineRule="auto"/>
        <w:textAlignment w:val="baseline"/>
        <w:rPr>
          <w:rFonts w:eastAsia="Times New Roman" w:cs="Times New Roman"/>
          <w:color w:val="545454"/>
          <w:sz w:val="21"/>
          <w:szCs w:val="21"/>
          <w:lang w:eastAsia="fr-FR"/>
        </w:rPr>
      </w:pPr>
      <w:r w:rsidRPr="008406FF">
        <w:rPr>
          <w:rFonts w:eastAsia="Times New Roman" w:cs="Times New Roman"/>
          <w:color w:val="545454"/>
          <w:sz w:val="21"/>
          <w:szCs w:val="21"/>
          <w:lang w:eastAsia="fr-FR"/>
        </w:rPr>
        <w:t>La généralisation de la taxe sur la valeur ajoutée (TVA) rendue effective à compter du 1</w:t>
      </w:r>
      <w:r w:rsidRPr="008406FF">
        <w:rPr>
          <w:rFonts w:eastAsia="Times New Roman" w:cs="Times New Roman"/>
          <w:color w:val="545454"/>
          <w:sz w:val="21"/>
          <w:szCs w:val="21"/>
          <w:vertAlign w:val="superscript"/>
          <w:lang w:eastAsia="fr-FR"/>
        </w:rPr>
        <w:t>er</w:t>
      </w:r>
      <w:r w:rsidRPr="008406FF">
        <w:rPr>
          <w:rFonts w:eastAsia="Times New Roman" w:cs="Times New Roman"/>
          <w:color w:val="545454"/>
          <w:sz w:val="21"/>
          <w:szCs w:val="21"/>
          <w:lang w:eastAsia="fr-FR"/>
        </w:rPr>
        <w:t> janvier 1968 a eu en effet pour corollaire la suppression de la taxe locale.</w:t>
      </w:r>
    </w:p>
    <w:p w:rsidR="008406FF" w:rsidRPr="008406FF" w:rsidRDefault="008406FF" w:rsidP="008406FF">
      <w:pPr>
        <w:shd w:val="clear" w:color="auto" w:fill="FFFFFF"/>
        <w:spacing w:after="0" w:line="240" w:lineRule="auto"/>
        <w:ind w:firstLine="708"/>
        <w:textAlignment w:val="baseline"/>
        <w:rPr>
          <w:rFonts w:eastAsia="Times New Roman" w:cs="Times New Roman"/>
          <w:color w:val="545454"/>
          <w:sz w:val="21"/>
          <w:szCs w:val="21"/>
          <w:lang w:eastAsia="fr-FR"/>
        </w:rPr>
      </w:pPr>
      <w:r w:rsidRPr="008406FF">
        <w:rPr>
          <w:rFonts w:eastAsia="Times New Roman" w:cs="Times New Roman"/>
          <w:color w:val="545454"/>
          <w:sz w:val="21"/>
          <w:szCs w:val="21"/>
          <w:lang w:eastAsia="fr-FR"/>
        </w:rPr>
        <w:t>A compter du 1</w:t>
      </w:r>
      <w:r w:rsidRPr="008406FF">
        <w:rPr>
          <w:rFonts w:eastAsia="Times New Roman" w:cs="Times New Roman"/>
          <w:color w:val="545454"/>
          <w:sz w:val="21"/>
          <w:szCs w:val="21"/>
          <w:vertAlign w:val="superscript"/>
          <w:lang w:eastAsia="fr-FR"/>
        </w:rPr>
        <w:t>er</w:t>
      </w:r>
      <w:r w:rsidRPr="008406FF">
        <w:rPr>
          <w:rFonts w:eastAsia="Times New Roman" w:cs="Times New Roman"/>
          <w:color w:val="545454"/>
          <w:sz w:val="21"/>
          <w:szCs w:val="21"/>
          <w:lang w:eastAsia="fr-FR"/>
        </w:rPr>
        <w:t> janvier 1968, le versement forfaitaire a pris la dénomination de taxe sur les</w:t>
      </w:r>
      <w:r w:rsidRPr="008406FF">
        <w:rPr>
          <w:rFonts w:eastAsia="Times New Roman" w:cs="Times New Roman"/>
          <w:color w:val="545454"/>
          <w:sz w:val="21"/>
          <w:szCs w:val="21"/>
          <w:lang w:eastAsia="fr-FR"/>
        </w:rPr>
        <w:tab/>
        <w:t>salaires.</w:t>
      </w:r>
    </w:p>
    <w:p w:rsidR="008406FF" w:rsidRPr="008406FF" w:rsidRDefault="008406FF" w:rsidP="008406FF">
      <w:pPr>
        <w:shd w:val="clear" w:color="auto" w:fill="FFFFFF"/>
        <w:spacing w:before="150" w:after="150" w:line="240" w:lineRule="auto"/>
        <w:ind w:left="708"/>
        <w:textAlignment w:val="baseline"/>
        <w:rPr>
          <w:rFonts w:eastAsia="Times New Roman" w:cs="Times New Roman"/>
          <w:color w:val="545454"/>
          <w:sz w:val="21"/>
          <w:szCs w:val="21"/>
          <w:lang w:eastAsia="fr-FR"/>
        </w:rPr>
      </w:pPr>
      <w:r w:rsidRPr="008406FF">
        <w:rPr>
          <w:rFonts w:eastAsia="Times New Roman" w:cs="Times New Roman"/>
          <w:color w:val="545454"/>
          <w:sz w:val="21"/>
          <w:szCs w:val="21"/>
          <w:lang w:eastAsia="fr-FR"/>
        </w:rPr>
        <w:t>Dans un second temps, les lois du 9 octobre 1968 (n° 68-878) et du 29 novembre 1968 (n° 68-1043) ont profondément modifié le système :</w:t>
      </w:r>
    </w:p>
    <w:p w:rsidR="008406FF" w:rsidRDefault="008406FF" w:rsidP="008406FF">
      <w:pPr>
        <w:shd w:val="clear" w:color="auto" w:fill="FFFFFF"/>
        <w:spacing w:before="150" w:after="150" w:line="240" w:lineRule="auto"/>
        <w:ind w:left="360"/>
        <w:textAlignment w:val="baseline"/>
        <w:rPr>
          <w:rFonts w:eastAsia="Times New Roman" w:cs="Times New Roman"/>
          <w:color w:val="545454"/>
          <w:sz w:val="21"/>
          <w:szCs w:val="21"/>
          <w:lang w:eastAsia="fr-FR"/>
        </w:rPr>
      </w:pPr>
      <w:r w:rsidRPr="008406FF">
        <w:rPr>
          <w:rFonts w:eastAsia="Times New Roman" w:cs="Times New Roman"/>
          <w:color w:val="545454"/>
          <w:sz w:val="21"/>
          <w:szCs w:val="21"/>
          <w:lang w:eastAsia="fr-FR"/>
        </w:rPr>
        <w:t>Ø En vue de faciliter les exportations, la taxe sur les salaires a cessé d'être réclamée aux employeurs soumis à la TVA sur 90 % au moins de leur chiffre d'affaires.</w:t>
      </w:r>
    </w:p>
    <w:p w:rsidR="008406FF" w:rsidRPr="008406FF" w:rsidRDefault="008406FF" w:rsidP="008406FF">
      <w:pPr>
        <w:pStyle w:val="Paragraphedeliste"/>
        <w:numPr>
          <w:ilvl w:val="0"/>
          <w:numId w:val="7"/>
        </w:numPr>
        <w:shd w:val="clear" w:color="auto" w:fill="FFFFFF"/>
        <w:spacing w:before="150" w:after="150" w:line="240" w:lineRule="auto"/>
        <w:textAlignment w:val="baseline"/>
        <w:rPr>
          <w:rFonts w:eastAsia="Times New Roman" w:cs="Times New Roman"/>
          <w:color w:val="545454"/>
          <w:sz w:val="21"/>
          <w:szCs w:val="21"/>
          <w:lang w:eastAsia="fr-FR"/>
        </w:rPr>
      </w:pPr>
      <w:r>
        <w:rPr>
          <w:rFonts w:eastAsia="Times New Roman" w:cs="Times New Roman"/>
          <w:color w:val="545454"/>
          <w:sz w:val="21"/>
          <w:szCs w:val="21"/>
          <w:lang w:eastAsia="fr-FR"/>
        </w:rPr>
        <w:t>Des aménagements après 1968</w:t>
      </w:r>
    </w:p>
    <w:p w:rsidR="008406FF" w:rsidRDefault="008406FF" w:rsidP="002719DD">
      <w:pPr>
        <w:rPr>
          <w:rFonts w:asciiTheme="majorHAnsi" w:hAnsiTheme="majorHAnsi"/>
          <w:sz w:val="24"/>
          <w:szCs w:val="24"/>
        </w:rPr>
      </w:pPr>
    </w:p>
    <w:p w:rsidR="00376264" w:rsidRPr="00376264" w:rsidRDefault="00376264" w:rsidP="00376264">
      <w:pPr>
        <w:pStyle w:val="Paragraphedeliste"/>
        <w:numPr>
          <w:ilvl w:val="0"/>
          <w:numId w:val="4"/>
        </w:numPr>
        <w:rPr>
          <w:rFonts w:asciiTheme="majorHAnsi" w:hAnsiTheme="majorHAnsi"/>
          <w:b/>
          <w:sz w:val="24"/>
          <w:szCs w:val="24"/>
        </w:rPr>
      </w:pPr>
      <w:r w:rsidRPr="00376264">
        <w:rPr>
          <w:rFonts w:asciiTheme="majorHAnsi" w:hAnsiTheme="majorHAnsi"/>
          <w:b/>
          <w:sz w:val="24"/>
          <w:szCs w:val="24"/>
        </w:rPr>
        <w:t>Alignement en 2001 sur l’assiette des cotisations sociales</w:t>
      </w:r>
    </w:p>
    <w:p w:rsidR="002719DD" w:rsidRPr="002719DD" w:rsidRDefault="002719DD" w:rsidP="002719DD">
      <w:pPr>
        <w:shd w:val="clear" w:color="auto" w:fill="FFFFFF"/>
        <w:spacing w:after="0" w:line="240" w:lineRule="auto"/>
        <w:textAlignment w:val="baseline"/>
        <w:rPr>
          <w:rFonts w:ascii="Times New Roman" w:eastAsia="Times New Roman" w:hAnsi="Times New Roman" w:cs="Times New Roman"/>
          <w:color w:val="545454"/>
          <w:sz w:val="21"/>
          <w:szCs w:val="21"/>
          <w:lang w:eastAsia="fr-FR"/>
        </w:rPr>
      </w:pPr>
      <w:r w:rsidRPr="002719DD">
        <w:rPr>
          <w:rFonts w:ascii="Times New Roman" w:eastAsia="Times New Roman" w:hAnsi="Times New Roman" w:cs="Times New Roman"/>
          <w:color w:val="545454"/>
          <w:sz w:val="21"/>
          <w:szCs w:val="21"/>
          <w:lang w:eastAsia="fr-FR"/>
        </w:rPr>
        <w:t>Jusqu'au 1</w:t>
      </w:r>
      <w:r w:rsidRPr="002719DD">
        <w:rPr>
          <w:rFonts w:ascii="Times New Roman" w:eastAsia="Times New Roman" w:hAnsi="Times New Roman" w:cs="Times New Roman"/>
          <w:color w:val="545454"/>
          <w:sz w:val="21"/>
          <w:szCs w:val="21"/>
          <w:vertAlign w:val="superscript"/>
          <w:lang w:eastAsia="fr-FR"/>
        </w:rPr>
        <w:t>er</w:t>
      </w:r>
      <w:r w:rsidRPr="002719DD">
        <w:rPr>
          <w:rFonts w:ascii="Times New Roman" w:eastAsia="Times New Roman" w:hAnsi="Times New Roman" w:cs="Times New Roman"/>
          <w:color w:val="545454"/>
          <w:sz w:val="21"/>
          <w:szCs w:val="21"/>
          <w:lang w:eastAsia="fr-FR"/>
        </w:rPr>
        <w:t> janvier 2001, la taxe sur les salaires disposait d'une assiette propre. En effet, contrairement aux autres prélèvements sur les salaires dus par les employeurs dont l'assiette est celle des cotisations de sécurité sociale (taxe d'apprentissage par exemple), la taxe sur les salaires se calculait sur le montant total brut des rémunérations imposables.</w:t>
      </w:r>
    </w:p>
    <w:p w:rsidR="002719DD" w:rsidRPr="002719DD" w:rsidRDefault="002719DD" w:rsidP="002719DD">
      <w:pPr>
        <w:shd w:val="clear" w:color="auto" w:fill="FFFFFF"/>
        <w:spacing w:after="0" w:line="240" w:lineRule="auto"/>
        <w:textAlignment w:val="baseline"/>
        <w:rPr>
          <w:rFonts w:ascii="Times New Roman" w:eastAsia="Times New Roman" w:hAnsi="Times New Roman" w:cs="Times New Roman"/>
          <w:color w:val="545454"/>
          <w:sz w:val="21"/>
          <w:szCs w:val="21"/>
          <w:lang w:eastAsia="fr-FR"/>
        </w:rPr>
      </w:pPr>
      <w:r w:rsidRPr="002719DD">
        <w:rPr>
          <w:rFonts w:ascii="Times New Roman" w:eastAsia="Times New Roman" w:hAnsi="Times New Roman" w:cs="Times New Roman"/>
          <w:color w:val="545454"/>
          <w:sz w:val="21"/>
          <w:szCs w:val="21"/>
          <w:lang w:eastAsia="fr-FR"/>
        </w:rPr>
        <w:t>Les rémunérations imposables peuvent se définir, sous réserve des exonérations spécifiques prévues dans le code général des Impôts (articles 231 </w:t>
      </w:r>
      <w:r w:rsidRPr="002719DD">
        <w:rPr>
          <w:rFonts w:ascii="Times New Roman" w:eastAsia="Times New Roman" w:hAnsi="Times New Roman" w:cs="Times New Roman"/>
          <w:i/>
          <w:iCs/>
          <w:color w:val="545454"/>
          <w:sz w:val="21"/>
          <w:szCs w:val="21"/>
          <w:lang w:eastAsia="fr-FR"/>
        </w:rPr>
        <w:t>bis</w:t>
      </w:r>
      <w:r w:rsidRPr="002719DD">
        <w:rPr>
          <w:rFonts w:ascii="Times New Roman" w:eastAsia="Times New Roman" w:hAnsi="Times New Roman" w:cs="Times New Roman"/>
          <w:color w:val="545454"/>
          <w:sz w:val="21"/>
          <w:szCs w:val="21"/>
          <w:lang w:eastAsia="fr-FR"/>
        </w:rPr>
        <w:t xml:space="preserve"> C à Q et article 51 de l'annexe II), comme étant l'ensemble des sommes qualifiées de traitements ou de salaires pour l'établissement de l'impôt sur le revenu y compris la valeur des avantages en </w:t>
      </w:r>
      <w:proofErr w:type="gramStart"/>
      <w:r w:rsidRPr="002719DD">
        <w:rPr>
          <w:rFonts w:ascii="Times New Roman" w:eastAsia="Times New Roman" w:hAnsi="Times New Roman" w:cs="Times New Roman"/>
          <w:color w:val="545454"/>
          <w:sz w:val="21"/>
          <w:szCs w:val="21"/>
          <w:lang w:eastAsia="fr-FR"/>
        </w:rPr>
        <w:t>nature .</w:t>
      </w:r>
      <w:proofErr w:type="gramEnd"/>
    </w:p>
    <w:p w:rsidR="002719DD" w:rsidRPr="002719DD" w:rsidRDefault="002719DD" w:rsidP="002719DD">
      <w:pPr>
        <w:shd w:val="clear" w:color="auto" w:fill="FFFFFF"/>
        <w:spacing w:after="0" w:line="240" w:lineRule="auto"/>
        <w:textAlignment w:val="baseline"/>
        <w:rPr>
          <w:rFonts w:ascii="Times New Roman" w:eastAsia="Times New Roman" w:hAnsi="Times New Roman" w:cs="Times New Roman"/>
          <w:color w:val="545454"/>
          <w:sz w:val="21"/>
          <w:szCs w:val="21"/>
          <w:lang w:eastAsia="fr-FR"/>
        </w:rPr>
      </w:pPr>
      <w:r w:rsidRPr="002719DD">
        <w:rPr>
          <w:rFonts w:ascii="Times New Roman" w:eastAsia="Times New Roman" w:hAnsi="Times New Roman" w:cs="Times New Roman"/>
          <w:color w:val="545454"/>
          <w:sz w:val="21"/>
          <w:szCs w:val="21"/>
          <w:highlight w:val="yellow"/>
          <w:lang w:eastAsia="fr-FR"/>
        </w:rPr>
        <w:t>L'article 10 de la loi de finances pour 2001</w:t>
      </w:r>
      <w:r w:rsidRPr="002719DD">
        <w:rPr>
          <w:rFonts w:ascii="Times New Roman" w:eastAsia="Times New Roman" w:hAnsi="Times New Roman" w:cs="Times New Roman"/>
          <w:color w:val="545454"/>
          <w:sz w:val="21"/>
          <w:szCs w:val="21"/>
          <w:highlight w:val="yellow"/>
          <w:vertAlign w:val="superscript"/>
          <w:lang w:eastAsia="fr-FR"/>
        </w:rPr>
        <w:t>16</w:t>
      </w:r>
      <w:bookmarkStart w:id="0" w:name="fnref16"/>
      <w:bookmarkEnd w:id="0"/>
      <w:r w:rsidRPr="002719DD">
        <w:rPr>
          <w:rFonts w:ascii="Times New Roman" w:eastAsia="Times New Roman" w:hAnsi="Times New Roman" w:cs="Times New Roman"/>
          <w:color w:val="545454"/>
          <w:sz w:val="21"/>
          <w:szCs w:val="21"/>
          <w:highlight w:val="yellow"/>
          <w:vertAlign w:val="superscript"/>
          <w:lang w:eastAsia="fr-FR"/>
        </w:rPr>
        <w:t>(</w:t>
      </w:r>
      <w:hyperlink r:id="rId15" w:anchor="fn16" w:history="1">
        <w:r w:rsidRPr="00376264">
          <w:rPr>
            <w:rFonts w:ascii="Times New Roman" w:eastAsia="Times New Roman" w:hAnsi="Times New Roman" w:cs="Times New Roman"/>
            <w:color w:val="000000"/>
            <w:sz w:val="21"/>
            <w:szCs w:val="21"/>
            <w:highlight w:val="yellow"/>
            <w:u w:val="single"/>
            <w:lang w:eastAsia="fr-FR"/>
          </w:rPr>
          <w:t>*</w:t>
        </w:r>
      </w:hyperlink>
      <w:r w:rsidRPr="002719DD">
        <w:rPr>
          <w:rFonts w:ascii="Times New Roman" w:eastAsia="Times New Roman" w:hAnsi="Times New Roman" w:cs="Times New Roman"/>
          <w:color w:val="545454"/>
          <w:sz w:val="21"/>
          <w:szCs w:val="21"/>
          <w:highlight w:val="yellow"/>
          <w:vertAlign w:val="superscript"/>
          <w:lang w:eastAsia="fr-FR"/>
        </w:rPr>
        <w:t>)</w:t>
      </w:r>
      <w:r w:rsidRPr="00376264">
        <w:rPr>
          <w:rFonts w:ascii="Times New Roman" w:eastAsia="Times New Roman" w:hAnsi="Times New Roman" w:cs="Times New Roman"/>
          <w:color w:val="545454"/>
          <w:sz w:val="21"/>
          <w:szCs w:val="21"/>
          <w:highlight w:val="yellow"/>
          <w:lang w:eastAsia="fr-FR"/>
        </w:rPr>
        <w:t> </w:t>
      </w:r>
      <w:r w:rsidRPr="002719DD">
        <w:rPr>
          <w:rFonts w:ascii="Times New Roman" w:eastAsia="Times New Roman" w:hAnsi="Times New Roman" w:cs="Times New Roman"/>
          <w:color w:val="545454"/>
          <w:sz w:val="21"/>
          <w:szCs w:val="21"/>
          <w:highlight w:val="yellow"/>
          <w:lang w:eastAsia="fr-FR"/>
        </w:rPr>
        <w:t>aligne l'assiette de la taxe sur les salaires sur celle des cotisations sociales.</w:t>
      </w:r>
    </w:p>
    <w:p w:rsidR="002719DD" w:rsidRDefault="002719DD" w:rsidP="002719DD">
      <w:pPr>
        <w:rPr>
          <w:rFonts w:asciiTheme="majorHAnsi" w:hAnsiTheme="majorHAnsi"/>
          <w:sz w:val="24"/>
          <w:szCs w:val="24"/>
        </w:rPr>
      </w:pPr>
    </w:p>
    <w:p w:rsidR="00376264" w:rsidRPr="00376264" w:rsidRDefault="00376264" w:rsidP="00BC6143">
      <w:pPr>
        <w:pStyle w:val="Paragraphedeliste"/>
        <w:numPr>
          <w:ilvl w:val="0"/>
          <w:numId w:val="4"/>
        </w:numPr>
        <w:jc w:val="both"/>
        <w:rPr>
          <w:rFonts w:asciiTheme="majorHAnsi" w:hAnsiTheme="majorHAnsi"/>
          <w:b/>
          <w:sz w:val="24"/>
          <w:szCs w:val="24"/>
        </w:rPr>
      </w:pPr>
      <w:r w:rsidRPr="00376264">
        <w:rPr>
          <w:rFonts w:asciiTheme="majorHAnsi" w:hAnsiTheme="majorHAnsi"/>
          <w:b/>
          <w:sz w:val="24"/>
          <w:szCs w:val="24"/>
        </w:rPr>
        <w:t xml:space="preserve">Alignement </w:t>
      </w:r>
      <w:r>
        <w:rPr>
          <w:rFonts w:asciiTheme="majorHAnsi" w:hAnsiTheme="majorHAnsi"/>
          <w:b/>
          <w:sz w:val="24"/>
          <w:szCs w:val="24"/>
        </w:rPr>
        <w:t xml:space="preserve">en 2014 </w:t>
      </w:r>
      <w:r w:rsidRPr="00376264">
        <w:rPr>
          <w:rFonts w:asciiTheme="majorHAnsi" w:hAnsiTheme="majorHAnsi"/>
          <w:b/>
          <w:sz w:val="24"/>
          <w:szCs w:val="24"/>
        </w:rPr>
        <w:t>sur l’assiette de la CSG-CRDS</w:t>
      </w:r>
      <w:r w:rsidR="00CF6C5E">
        <w:rPr>
          <w:rFonts w:asciiTheme="majorHAnsi" w:hAnsiTheme="majorHAnsi"/>
          <w:b/>
          <w:sz w:val="24"/>
          <w:szCs w:val="24"/>
        </w:rPr>
        <w:t xml:space="preserve"> qui est la même depuis 1997</w:t>
      </w:r>
      <w:r w:rsidR="00BC6143">
        <w:rPr>
          <w:rFonts w:asciiTheme="majorHAnsi" w:hAnsiTheme="majorHAnsi"/>
          <w:b/>
          <w:sz w:val="24"/>
          <w:szCs w:val="24"/>
        </w:rPr>
        <w:t>, date à laquelle les assiettes de la CSG et celle de la CRDS ont fusionné</w:t>
      </w:r>
    </w:p>
    <w:p w:rsidR="00507CEA" w:rsidRPr="00507CEA" w:rsidRDefault="00507CEA" w:rsidP="00507CEA">
      <w:pPr>
        <w:shd w:val="clear" w:color="auto" w:fill="FFFFFF"/>
        <w:spacing w:before="100" w:beforeAutospacing="1" w:after="100" w:afterAutospacing="1" w:line="240" w:lineRule="auto"/>
        <w:outlineLvl w:val="0"/>
        <w:rPr>
          <w:rFonts w:ascii="Arial" w:eastAsia="Times New Roman" w:hAnsi="Arial" w:cs="Arial"/>
          <w:b/>
          <w:bCs/>
          <w:color w:val="FF9966"/>
          <w:kern w:val="36"/>
          <w:sz w:val="27"/>
          <w:szCs w:val="27"/>
          <w:lang w:eastAsia="fr-FR"/>
        </w:rPr>
      </w:pPr>
      <w:r w:rsidRPr="00507CEA">
        <w:rPr>
          <w:rFonts w:ascii="Arial" w:eastAsia="Times New Roman" w:hAnsi="Arial" w:cs="Arial"/>
          <w:b/>
          <w:bCs/>
          <w:color w:val="FF9966"/>
          <w:kern w:val="36"/>
          <w:sz w:val="27"/>
          <w:szCs w:val="27"/>
          <w:highlight w:val="yellow"/>
          <w:lang w:eastAsia="fr-FR"/>
        </w:rPr>
        <w:t>II. L'assiette de la taxe sur les salaires est en principe identique à celle de la contribution sociale généralisée (CSG)</w:t>
      </w:r>
    </w:p>
    <w:p w:rsidR="00507CEA" w:rsidRPr="00507CEA" w:rsidRDefault="00507CEA" w:rsidP="00507CEA">
      <w:pPr>
        <w:shd w:val="clear" w:color="auto" w:fill="FFFFFF"/>
        <w:spacing w:before="100" w:beforeAutospacing="1" w:after="100" w:afterAutospacing="1" w:line="240" w:lineRule="auto"/>
        <w:rPr>
          <w:rFonts w:ascii="Arial" w:eastAsia="Times New Roman" w:hAnsi="Arial" w:cs="Arial"/>
          <w:color w:val="000000"/>
          <w:sz w:val="18"/>
          <w:szCs w:val="18"/>
          <w:lang w:eastAsia="fr-FR"/>
        </w:rPr>
      </w:pPr>
      <w:r w:rsidRPr="00507CEA">
        <w:rPr>
          <w:rFonts w:ascii="Arial" w:eastAsia="Times New Roman" w:hAnsi="Arial" w:cs="Arial"/>
          <w:color w:val="000000"/>
          <w:sz w:val="18"/>
          <w:szCs w:val="18"/>
          <w:lang w:eastAsia="fr-FR"/>
        </w:rPr>
        <w:t>L'assiette de la taxe sur les salaires est constituée par le montant brut des rémunérations, indemnités, allocations, primes, y compris les avantages en nature ou en espèce versés au salarié en contrepartie ou à l'occasion du travail et effectivement alloués durant l'année civile à l'ensemble du personnel.</w:t>
      </w:r>
    </w:p>
    <w:p w:rsidR="00507CEA" w:rsidRPr="00507CEA" w:rsidRDefault="00507CEA" w:rsidP="00507CEA">
      <w:pPr>
        <w:shd w:val="clear" w:color="auto" w:fill="FFFFFF"/>
        <w:spacing w:before="100" w:beforeAutospacing="1" w:after="100" w:afterAutospacing="1" w:line="240" w:lineRule="auto"/>
        <w:rPr>
          <w:rFonts w:ascii="Arial" w:eastAsia="Times New Roman" w:hAnsi="Arial" w:cs="Arial"/>
          <w:color w:val="000000"/>
          <w:sz w:val="18"/>
          <w:szCs w:val="18"/>
          <w:lang w:eastAsia="fr-FR"/>
        </w:rPr>
      </w:pPr>
      <w:r w:rsidRPr="00507CEA">
        <w:rPr>
          <w:rFonts w:ascii="Arial" w:eastAsia="Times New Roman" w:hAnsi="Arial" w:cs="Arial"/>
          <w:color w:val="000000"/>
          <w:sz w:val="18"/>
          <w:szCs w:val="18"/>
          <w:lang w:eastAsia="fr-FR"/>
        </w:rPr>
        <w:t>Il y a unicité, sauf stipulations contraires prévues par le législateur (</w:t>
      </w:r>
      <w:hyperlink r:id="rId16" w:tooltip="TPS - Taxe sur les salaires - Base d'imposition - Exonérations spécifiques à la taxe sur les salaires" w:history="1">
        <w:r w:rsidRPr="00507CEA">
          <w:rPr>
            <w:rFonts w:ascii="Arial" w:eastAsia="Times New Roman" w:hAnsi="Arial" w:cs="Arial"/>
            <w:b/>
            <w:bCs/>
            <w:color w:val="B3438D"/>
            <w:sz w:val="20"/>
            <w:szCs w:val="20"/>
            <w:u w:val="single"/>
            <w:lang w:eastAsia="fr-FR"/>
          </w:rPr>
          <w:t>BOI-TPS TS-20-20</w:t>
        </w:r>
      </w:hyperlink>
      <w:r w:rsidRPr="00507CEA">
        <w:rPr>
          <w:rFonts w:ascii="Arial" w:eastAsia="Times New Roman" w:hAnsi="Arial" w:cs="Arial"/>
          <w:color w:val="000000"/>
          <w:sz w:val="18"/>
          <w:szCs w:val="18"/>
          <w:lang w:eastAsia="fr-FR"/>
        </w:rPr>
        <w:t>), entre l'assiette de la CSG d'activité et celle de la taxe sur les salaires.</w:t>
      </w:r>
    </w:p>
    <w:p w:rsidR="00507CEA" w:rsidRPr="00507CEA" w:rsidRDefault="00507CEA" w:rsidP="00507CEA">
      <w:pPr>
        <w:shd w:val="clear" w:color="auto" w:fill="FFFFFF"/>
        <w:spacing w:before="100" w:beforeAutospacing="1" w:after="100" w:afterAutospacing="1" w:line="240" w:lineRule="auto"/>
        <w:rPr>
          <w:rFonts w:ascii="Arial" w:eastAsia="Times New Roman" w:hAnsi="Arial" w:cs="Arial"/>
          <w:color w:val="000000"/>
          <w:sz w:val="18"/>
          <w:szCs w:val="18"/>
          <w:lang w:eastAsia="fr-FR"/>
        </w:rPr>
      </w:pPr>
      <w:r w:rsidRPr="00507CEA">
        <w:rPr>
          <w:rFonts w:ascii="Arial" w:eastAsia="Times New Roman" w:hAnsi="Arial" w:cs="Arial"/>
          <w:color w:val="000000"/>
          <w:sz w:val="18"/>
          <w:szCs w:val="18"/>
          <w:lang w:eastAsia="fr-FR"/>
        </w:rPr>
        <w:t>Conformément aux dispositions de l'</w:t>
      </w:r>
      <w:hyperlink r:id="rId17" w:tgtFrame="_blank" w:tooltip="Code général des impôts Article 231" w:history="1">
        <w:r w:rsidRPr="00507CEA">
          <w:rPr>
            <w:rFonts w:ascii="Arial" w:eastAsia="Times New Roman" w:hAnsi="Arial" w:cs="Arial"/>
            <w:b/>
            <w:bCs/>
            <w:color w:val="B3438D"/>
            <w:sz w:val="20"/>
            <w:szCs w:val="20"/>
            <w:u w:val="single"/>
            <w:lang w:eastAsia="fr-FR"/>
          </w:rPr>
          <w:t>article 231 du CGI</w:t>
        </w:r>
      </w:hyperlink>
      <w:r w:rsidRPr="00507CEA">
        <w:rPr>
          <w:rFonts w:ascii="Arial" w:eastAsia="Times New Roman" w:hAnsi="Arial" w:cs="Arial"/>
          <w:color w:val="000000"/>
          <w:sz w:val="18"/>
          <w:szCs w:val="18"/>
          <w:lang w:eastAsia="fr-FR"/>
        </w:rPr>
        <w:t>, les rémunérations imposables à la taxe sur les salaires sont retenues pour leur montant évalué selon les règles prévues à l'</w:t>
      </w:r>
      <w:hyperlink r:id="rId18" w:tgtFrame="_blank" w:tooltip="Code de la sécurité sociale Article L136-2" w:history="1">
        <w:r w:rsidRPr="00507CEA">
          <w:rPr>
            <w:rFonts w:ascii="Arial" w:eastAsia="Times New Roman" w:hAnsi="Arial" w:cs="Arial"/>
            <w:b/>
            <w:bCs/>
            <w:color w:val="B3438D"/>
            <w:sz w:val="20"/>
            <w:szCs w:val="20"/>
            <w:u w:val="single"/>
            <w:lang w:eastAsia="fr-FR"/>
          </w:rPr>
          <w:t>article L. 136-2 du code de la sécurité sociale (CSS)</w:t>
        </w:r>
      </w:hyperlink>
      <w:r w:rsidRPr="00507CEA">
        <w:rPr>
          <w:rFonts w:ascii="Arial" w:eastAsia="Times New Roman" w:hAnsi="Arial" w:cs="Arial"/>
          <w:color w:val="000000"/>
          <w:sz w:val="18"/>
          <w:szCs w:val="18"/>
          <w:lang w:eastAsia="fr-FR"/>
        </w:rPr>
        <w:t>, sans qu'il soit toutefois fait application du deuxième alinéa du I et du 6° du II du même article.</w:t>
      </w:r>
    </w:p>
    <w:p w:rsidR="00507CEA" w:rsidRPr="00507CEA" w:rsidRDefault="000B4145" w:rsidP="00507CEA">
      <w:pPr>
        <w:shd w:val="clear" w:color="auto" w:fill="FFFFFF"/>
        <w:spacing w:before="100" w:beforeAutospacing="1" w:after="100" w:afterAutospacing="1" w:line="240" w:lineRule="auto"/>
        <w:rPr>
          <w:rFonts w:ascii="Arial" w:eastAsia="Times New Roman" w:hAnsi="Arial" w:cs="Arial"/>
          <w:color w:val="000000"/>
          <w:sz w:val="18"/>
          <w:szCs w:val="18"/>
          <w:lang w:eastAsia="fr-FR"/>
        </w:rPr>
      </w:pPr>
      <w:r>
        <w:rPr>
          <w:rFonts w:ascii="Arial" w:eastAsia="Times New Roman" w:hAnsi="Arial" w:cs="Arial"/>
          <w:color w:val="000000"/>
          <w:sz w:val="18"/>
          <w:szCs w:val="18"/>
          <w:lang w:eastAsia="fr-FR"/>
        </w:rPr>
        <w:lastRenderedPageBreak/>
        <w:t>L</w:t>
      </w:r>
      <w:r w:rsidR="00507CEA" w:rsidRPr="00507CEA">
        <w:rPr>
          <w:rFonts w:ascii="Arial" w:eastAsia="Times New Roman" w:hAnsi="Arial" w:cs="Arial"/>
          <w:color w:val="000000"/>
          <w:sz w:val="18"/>
          <w:szCs w:val="18"/>
          <w:lang w:eastAsia="fr-FR"/>
        </w:rPr>
        <w:t>a référence à l'assiette de la CSG conduit à inclure dans l'assiette de la taxe sur les salaires toutes les sommes considérées comme des rémunérations au sens de la réglementation sociale, sauf exonérations prévues par la loi fiscale.</w:t>
      </w:r>
    </w:p>
    <w:p w:rsidR="007D76A7" w:rsidRPr="00CB71AA" w:rsidRDefault="007D76A7" w:rsidP="007D76A7">
      <w:pPr>
        <w:pStyle w:val="Paragraphedeliste"/>
        <w:rPr>
          <w:rFonts w:asciiTheme="majorHAnsi" w:hAnsiTheme="majorHAnsi"/>
          <w:sz w:val="24"/>
          <w:szCs w:val="24"/>
          <w:u w:val="single"/>
        </w:rPr>
      </w:pPr>
    </w:p>
    <w:p w:rsidR="002E3DC6" w:rsidRDefault="002E3DC6" w:rsidP="002E3DC6">
      <w:pPr>
        <w:rPr>
          <w:rFonts w:asciiTheme="majorHAnsi" w:hAnsiTheme="majorHAnsi"/>
          <w:b/>
          <w:sz w:val="24"/>
          <w:szCs w:val="24"/>
        </w:rPr>
      </w:pPr>
      <w:r w:rsidRPr="002405B2">
        <w:rPr>
          <w:rFonts w:asciiTheme="majorHAnsi" w:hAnsiTheme="majorHAnsi"/>
          <w:b/>
          <w:sz w:val="24"/>
          <w:szCs w:val="24"/>
        </w:rPr>
        <w:t>Assiette de la taxe sur les salaires aujourd’hui identique à l’assiette de la CSG</w:t>
      </w:r>
      <w:r>
        <w:rPr>
          <w:rFonts w:asciiTheme="majorHAnsi" w:hAnsiTheme="majorHAnsi"/>
          <w:b/>
          <w:sz w:val="24"/>
          <w:szCs w:val="24"/>
        </w:rPr>
        <w:t>-CRDS</w:t>
      </w:r>
    </w:p>
    <w:p w:rsidR="002E3DC6" w:rsidRPr="00FB2D66" w:rsidRDefault="002E3DC6" w:rsidP="002E3DC6">
      <w:pPr>
        <w:shd w:val="clear" w:color="auto" w:fill="E2F0EE"/>
        <w:spacing w:after="150" w:line="285" w:lineRule="atLeast"/>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L’assiette et le barème de la taxe sur les salaires ont été récemment modifiés par l’article 13 de la loi de financement de la sécurité sociale pour 2013, datée du 17 décembre 2012.</w:t>
      </w:r>
    </w:p>
    <w:p w:rsidR="002E3DC6" w:rsidRPr="00FB2D66" w:rsidRDefault="002E3DC6" w:rsidP="002E3DC6">
      <w:pPr>
        <w:shd w:val="clear" w:color="auto" w:fill="E2F0EE"/>
        <w:spacing w:after="150" w:line="285" w:lineRule="atLeast"/>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S’agissant de l’assiette, à compter du 1er janvier 2013, les rémunérations soumises à la taxe sur les salaires seront dorénavant déterminées par les règles prévues par l’article L. 136-2 du Code de la sécurité sociale qui concerne la CSG applicable aux revenus d’activités.</w:t>
      </w:r>
    </w:p>
    <w:p w:rsidR="002E3DC6" w:rsidRPr="00FB2D66" w:rsidRDefault="002E3DC6" w:rsidP="002E3DC6">
      <w:pPr>
        <w:shd w:val="clear" w:color="auto" w:fill="E2F0EE"/>
        <w:spacing w:after="150" w:line="285" w:lineRule="atLeast"/>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En effectuant ce renvoi, le législateur a souhaité inclure dans l’assiette de la taxe sur les salaires des éléments de la rémunération qui, jusqu’à présent, y échappaient, à savoir :</w:t>
      </w:r>
    </w:p>
    <w:p w:rsidR="002E3DC6" w:rsidRPr="00FB2D66" w:rsidRDefault="002E3DC6" w:rsidP="002E3DC6">
      <w:pPr>
        <w:numPr>
          <w:ilvl w:val="0"/>
          <w:numId w:val="3"/>
        </w:numPr>
        <w:shd w:val="clear" w:color="auto" w:fill="E2F0EE"/>
        <w:spacing w:after="0" w:line="285" w:lineRule="atLeast"/>
        <w:ind w:left="0"/>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l’intéressement,</w:t>
      </w:r>
    </w:p>
    <w:p w:rsidR="002E3DC6" w:rsidRPr="00FB2D66" w:rsidRDefault="002E3DC6" w:rsidP="002E3DC6">
      <w:pPr>
        <w:numPr>
          <w:ilvl w:val="0"/>
          <w:numId w:val="3"/>
        </w:numPr>
        <w:shd w:val="clear" w:color="auto" w:fill="E2F0EE"/>
        <w:spacing w:after="0" w:line="285" w:lineRule="atLeast"/>
        <w:ind w:left="0"/>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la participation,</w:t>
      </w:r>
    </w:p>
    <w:p w:rsidR="002E3DC6" w:rsidRPr="00FB2D66" w:rsidRDefault="002E3DC6" w:rsidP="002E3DC6">
      <w:pPr>
        <w:numPr>
          <w:ilvl w:val="0"/>
          <w:numId w:val="3"/>
        </w:numPr>
        <w:shd w:val="clear" w:color="auto" w:fill="E2F0EE"/>
        <w:spacing w:after="0" w:line="285" w:lineRule="atLeast"/>
        <w:ind w:left="0"/>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l’abondement employeur au plan d’épargne entreprise (PEE),</w:t>
      </w:r>
    </w:p>
    <w:p w:rsidR="002E3DC6" w:rsidRPr="00FB2D66" w:rsidRDefault="002E3DC6" w:rsidP="002E3DC6">
      <w:pPr>
        <w:numPr>
          <w:ilvl w:val="0"/>
          <w:numId w:val="3"/>
        </w:numPr>
        <w:shd w:val="clear" w:color="auto" w:fill="E2F0EE"/>
        <w:spacing w:after="0" w:line="285" w:lineRule="atLeast"/>
        <w:ind w:left="0"/>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la contribution des employeurs aux prestations complémentaires de retraite et de prévoyance, à l’exception des régimes complémentaires de retraite légalement obligatoire (</w:t>
      </w:r>
      <w:proofErr w:type="spellStart"/>
      <w:r w:rsidRPr="00FB2D66">
        <w:rPr>
          <w:rFonts w:ascii="Arial" w:eastAsia="Times New Roman" w:hAnsi="Arial" w:cs="Arial"/>
          <w:color w:val="333333"/>
          <w:sz w:val="20"/>
          <w:szCs w:val="20"/>
          <w:lang w:eastAsia="fr-FR"/>
        </w:rPr>
        <w:t>e.g</w:t>
      </w:r>
      <w:proofErr w:type="spellEnd"/>
      <w:r w:rsidRPr="00FB2D66">
        <w:rPr>
          <w:rFonts w:ascii="Arial" w:eastAsia="Times New Roman" w:hAnsi="Arial" w:cs="Arial"/>
          <w:color w:val="333333"/>
          <w:sz w:val="20"/>
          <w:szCs w:val="20"/>
          <w:lang w:eastAsia="fr-FR"/>
        </w:rPr>
        <w:t>. ARGIRC, ARCO).</w:t>
      </w:r>
    </w:p>
    <w:p w:rsidR="002E3DC6" w:rsidRPr="00FB2D66" w:rsidRDefault="002E3DC6" w:rsidP="002E3DC6">
      <w:pPr>
        <w:shd w:val="clear" w:color="auto" w:fill="E2F0EE"/>
        <w:spacing w:after="150" w:line="285" w:lineRule="atLeast"/>
        <w:rPr>
          <w:rFonts w:ascii="Arial" w:eastAsia="Times New Roman" w:hAnsi="Arial" w:cs="Arial"/>
          <w:color w:val="333333"/>
          <w:sz w:val="20"/>
          <w:szCs w:val="20"/>
          <w:lang w:eastAsia="fr-FR"/>
        </w:rPr>
      </w:pPr>
      <w:r w:rsidRPr="00FB2D66">
        <w:rPr>
          <w:rFonts w:ascii="Arial" w:eastAsia="Times New Roman" w:hAnsi="Arial" w:cs="Arial"/>
          <w:color w:val="333333"/>
          <w:sz w:val="20"/>
          <w:szCs w:val="20"/>
          <w:lang w:eastAsia="fr-FR"/>
        </w:rPr>
        <w:t>C’était toutefois sans compter sur la modification de l’article L. 136-2 du Code de la sécurité sociale par la loi de finances pour 2013.</w:t>
      </w:r>
    </w:p>
    <w:p w:rsidR="002E3DC6" w:rsidRDefault="002E3DC6" w:rsidP="007D76A7">
      <w:pPr>
        <w:rPr>
          <w:rFonts w:asciiTheme="majorHAnsi" w:hAnsiTheme="majorHAnsi"/>
          <w:b/>
          <w:sz w:val="24"/>
          <w:szCs w:val="24"/>
          <w:u w:val="single"/>
        </w:rPr>
      </w:pPr>
    </w:p>
    <w:p w:rsidR="002E3DC6" w:rsidRDefault="002E3DC6" w:rsidP="007D76A7">
      <w:pPr>
        <w:rPr>
          <w:rFonts w:asciiTheme="majorHAnsi" w:hAnsiTheme="majorHAnsi"/>
          <w:b/>
          <w:sz w:val="24"/>
          <w:szCs w:val="24"/>
          <w:u w:val="single"/>
        </w:rPr>
      </w:pPr>
    </w:p>
    <w:p w:rsidR="002E3DC6" w:rsidRDefault="002E3DC6" w:rsidP="007D76A7">
      <w:pPr>
        <w:rPr>
          <w:rFonts w:asciiTheme="majorHAnsi" w:hAnsiTheme="majorHAnsi"/>
          <w:b/>
          <w:sz w:val="24"/>
          <w:szCs w:val="24"/>
          <w:u w:val="single"/>
        </w:rPr>
      </w:pPr>
    </w:p>
    <w:p w:rsidR="007D76A7" w:rsidRPr="00CB71AA" w:rsidRDefault="007D76A7" w:rsidP="007D76A7">
      <w:pPr>
        <w:rPr>
          <w:rFonts w:asciiTheme="majorHAnsi" w:hAnsiTheme="majorHAnsi"/>
          <w:b/>
          <w:sz w:val="24"/>
          <w:szCs w:val="24"/>
          <w:u w:val="single"/>
        </w:rPr>
      </w:pPr>
      <w:r w:rsidRPr="00CB71AA">
        <w:rPr>
          <w:rFonts w:asciiTheme="majorHAnsi" w:hAnsiTheme="majorHAnsi"/>
          <w:b/>
          <w:sz w:val="24"/>
          <w:szCs w:val="24"/>
          <w:u w:val="single"/>
        </w:rPr>
        <w:t xml:space="preserve">Historique : </w:t>
      </w:r>
    </w:p>
    <w:p w:rsidR="007D76A7" w:rsidRDefault="007D76A7">
      <w:pPr>
        <w:rPr>
          <w:rFonts w:asciiTheme="majorHAnsi" w:hAnsiTheme="majorHAnsi"/>
          <w:sz w:val="24"/>
          <w:szCs w:val="24"/>
        </w:rPr>
      </w:pPr>
    </w:p>
    <w:p w:rsidR="00FB2D66" w:rsidRPr="00E67A7D" w:rsidRDefault="00FB2D66" w:rsidP="00E67A7D">
      <w:pPr>
        <w:pStyle w:val="Paragraphedeliste"/>
        <w:numPr>
          <w:ilvl w:val="2"/>
          <w:numId w:val="2"/>
        </w:numPr>
        <w:rPr>
          <w:rFonts w:asciiTheme="majorHAnsi" w:hAnsiTheme="majorHAnsi"/>
          <w:sz w:val="24"/>
          <w:szCs w:val="24"/>
        </w:rPr>
      </w:pPr>
      <w:r w:rsidRPr="00E67A7D">
        <w:rPr>
          <w:rFonts w:asciiTheme="majorHAnsi" w:hAnsiTheme="majorHAnsi"/>
          <w:sz w:val="24"/>
          <w:szCs w:val="24"/>
        </w:rPr>
        <w:t>LFSS 2013 : convergence de l’assiette de la taxe sur les salaires avec l’assiette de la CSG-CRDS.</w:t>
      </w:r>
      <w:r w:rsidR="002719DD" w:rsidRPr="00E67A7D">
        <w:rPr>
          <w:rFonts w:asciiTheme="majorHAnsi" w:hAnsiTheme="majorHAnsi"/>
          <w:sz w:val="24"/>
          <w:szCs w:val="24"/>
        </w:rPr>
        <w:t xml:space="preserve"> Cela fait que l’on a plus que trois assiettes. </w:t>
      </w:r>
    </w:p>
    <w:p w:rsidR="00377A5D" w:rsidRDefault="00377A5D" w:rsidP="00E67A7D">
      <w:pPr>
        <w:pStyle w:val="Paragraphedeliste"/>
        <w:numPr>
          <w:ilvl w:val="2"/>
          <w:numId w:val="2"/>
        </w:numPr>
        <w:rPr>
          <w:rFonts w:asciiTheme="majorHAnsi" w:hAnsiTheme="majorHAnsi"/>
          <w:sz w:val="24"/>
          <w:szCs w:val="24"/>
        </w:rPr>
      </w:pPr>
      <w:r>
        <w:rPr>
          <w:rFonts w:asciiTheme="majorHAnsi" w:hAnsiTheme="majorHAnsi"/>
          <w:sz w:val="24"/>
          <w:szCs w:val="24"/>
        </w:rPr>
        <w:t xml:space="preserve">1991 : création de la CSG avec la même assiette que celle des cotisations au régime de la sécurité sociale. </w:t>
      </w:r>
    </w:p>
    <w:p w:rsidR="00377A5D" w:rsidRDefault="00377A5D" w:rsidP="00E67A7D">
      <w:pPr>
        <w:pStyle w:val="Paragraphedeliste"/>
        <w:ind w:left="1800"/>
        <w:rPr>
          <w:rFonts w:asciiTheme="majorHAnsi" w:hAnsiTheme="majorHAnsi"/>
          <w:sz w:val="24"/>
          <w:szCs w:val="24"/>
        </w:rPr>
      </w:pPr>
    </w:p>
    <w:p w:rsidR="00C70C16" w:rsidRPr="00FB2D66" w:rsidRDefault="00C70C16" w:rsidP="00E67A7D">
      <w:pPr>
        <w:pStyle w:val="Paragraphedeliste"/>
        <w:ind w:left="1800"/>
        <w:rPr>
          <w:rFonts w:asciiTheme="majorHAnsi" w:hAnsiTheme="majorHAnsi"/>
          <w:sz w:val="24"/>
          <w:szCs w:val="24"/>
        </w:rPr>
      </w:pPr>
    </w:p>
    <w:p w:rsidR="007D76A7" w:rsidRDefault="007D76A7">
      <w:pPr>
        <w:rPr>
          <w:rFonts w:asciiTheme="majorHAnsi" w:hAnsiTheme="majorHAnsi"/>
        </w:rPr>
      </w:pPr>
    </w:p>
    <w:p w:rsidR="00DF1CC5" w:rsidRDefault="00DF1CC5">
      <w:pPr>
        <w:rPr>
          <w:rFonts w:asciiTheme="majorHAnsi" w:hAnsiTheme="majorHAnsi"/>
          <w:b/>
          <w:u w:val="single"/>
        </w:rPr>
      </w:pPr>
      <w:r w:rsidRPr="00DF1CC5">
        <w:rPr>
          <w:rFonts w:asciiTheme="majorHAnsi" w:hAnsiTheme="majorHAnsi"/>
          <w:b/>
          <w:u w:val="single"/>
        </w:rPr>
        <w:t>Assurance chômage : voir quelle est l’</w:t>
      </w:r>
      <w:r>
        <w:rPr>
          <w:rFonts w:asciiTheme="majorHAnsi" w:hAnsiTheme="majorHAnsi"/>
          <w:b/>
          <w:u w:val="single"/>
        </w:rPr>
        <w:t>assiette et comment elle a évol</w:t>
      </w:r>
      <w:r w:rsidRPr="00DF1CC5">
        <w:rPr>
          <w:rFonts w:asciiTheme="majorHAnsi" w:hAnsiTheme="majorHAnsi"/>
          <w:b/>
          <w:u w:val="single"/>
        </w:rPr>
        <w:t>ué</w:t>
      </w:r>
    </w:p>
    <w:p w:rsidR="00904888" w:rsidRDefault="00904888">
      <w:pPr>
        <w:rPr>
          <w:rFonts w:asciiTheme="majorHAnsi" w:hAnsiTheme="majorHAnsi"/>
        </w:rPr>
      </w:pPr>
      <w:r>
        <w:rPr>
          <w:rFonts w:asciiTheme="majorHAnsi" w:hAnsiTheme="majorHAnsi"/>
        </w:rPr>
        <w:t xml:space="preserve">L’assiette de la cotisation d’Assurance chômage est la même que celle des autres cotisations de Sécurité sociale à quelques différences près : </w:t>
      </w:r>
    </w:p>
    <w:p w:rsidR="00904888" w:rsidRPr="00211BD6" w:rsidRDefault="00904888" w:rsidP="006C3436">
      <w:pPr>
        <w:pStyle w:val="Titre2"/>
        <w:shd w:val="clear" w:color="auto" w:fill="FFFFFF"/>
        <w:spacing w:before="0" w:line="288" w:lineRule="auto"/>
        <w:textAlignment w:val="baseline"/>
        <w:rPr>
          <w:rFonts w:ascii="Arial" w:hAnsi="Arial" w:cs="Arial"/>
          <w:color w:val="F6376D"/>
          <w:sz w:val="20"/>
          <w:szCs w:val="20"/>
        </w:rPr>
      </w:pPr>
      <w:r w:rsidRPr="00211BD6">
        <w:rPr>
          <w:rFonts w:ascii="Arial" w:hAnsi="Arial" w:cs="Arial"/>
          <w:color w:val="F6376D"/>
          <w:sz w:val="20"/>
          <w:szCs w:val="20"/>
        </w:rPr>
        <w:lastRenderedPageBreak/>
        <w:t>Non-application de l’assiette forfaitaire</w:t>
      </w:r>
    </w:p>
    <w:p w:rsidR="00904888" w:rsidRPr="00211BD6" w:rsidRDefault="00904888" w:rsidP="006C3436">
      <w:pPr>
        <w:pStyle w:val="Titre4"/>
        <w:shd w:val="clear" w:color="auto" w:fill="FFFFFF"/>
        <w:spacing w:before="0" w:line="288" w:lineRule="auto"/>
        <w:textAlignment w:val="baseline"/>
        <w:rPr>
          <w:rFonts w:ascii="Arial" w:hAnsi="Arial" w:cs="Arial"/>
          <w:color w:val="666666"/>
          <w:sz w:val="20"/>
          <w:szCs w:val="20"/>
        </w:rPr>
      </w:pPr>
      <w:r w:rsidRPr="00211BD6">
        <w:rPr>
          <w:rFonts w:ascii="Arial" w:hAnsi="Arial" w:cs="Arial"/>
          <w:color w:val="666666"/>
          <w:sz w:val="20"/>
          <w:szCs w:val="20"/>
        </w:rPr>
        <w:t>Pour certaines professions, l’assiette retenue pour les cotisations de sécurité sociale est forfaitaire.</w:t>
      </w:r>
    </w:p>
    <w:p w:rsidR="00904888" w:rsidRPr="00211BD6" w:rsidRDefault="00904888" w:rsidP="006C3436">
      <w:pPr>
        <w:pStyle w:val="NormalWeb"/>
        <w:shd w:val="clear" w:color="auto" w:fill="FFFFFF"/>
        <w:spacing w:before="0" w:beforeAutospacing="0" w:after="0" w:afterAutospacing="0" w:line="288" w:lineRule="auto"/>
        <w:textAlignment w:val="baseline"/>
        <w:rPr>
          <w:rFonts w:ascii="Arial" w:hAnsi="Arial" w:cs="Arial"/>
          <w:color w:val="666666"/>
          <w:sz w:val="20"/>
          <w:szCs w:val="20"/>
        </w:rPr>
      </w:pPr>
      <w:r w:rsidRPr="00211BD6">
        <w:rPr>
          <w:rFonts w:ascii="Arial" w:hAnsi="Arial" w:cs="Arial"/>
          <w:color w:val="666666"/>
          <w:sz w:val="20"/>
          <w:szCs w:val="20"/>
        </w:rPr>
        <w:t>L’Annexe VII au règlement général annexé à la Convention du 14 mai 2014 relative à l’indemnisation du chômage déroge à l’assiette de sécurité sociale appliquée à certaines professions.</w:t>
      </w:r>
    </w:p>
    <w:p w:rsidR="00904888" w:rsidRPr="00211BD6" w:rsidRDefault="00904888" w:rsidP="006C3436">
      <w:pPr>
        <w:pStyle w:val="NormalWeb"/>
        <w:shd w:val="clear" w:color="auto" w:fill="FFFFFF"/>
        <w:spacing w:before="0" w:beforeAutospacing="0" w:after="0" w:afterAutospacing="0" w:line="288" w:lineRule="auto"/>
        <w:textAlignment w:val="baseline"/>
        <w:rPr>
          <w:rFonts w:ascii="Arial" w:hAnsi="Arial" w:cs="Arial"/>
          <w:color w:val="666666"/>
          <w:sz w:val="20"/>
          <w:szCs w:val="20"/>
        </w:rPr>
      </w:pPr>
      <w:r w:rsidRPr="00211BD6">
        <w:rPr>
          <w:rFonts w:ascii="Arial" w:hAnsi="Arial" w:cs="Arial"/>
          <w:color w:val="666666"/>
          <w:sz w:val="20"/>
          <w:szCs w:val="20"/>
        </w:rPr>
        <w:t>La base contributive retenue est, par exception à l’assiette de sécurité sociale, celle des rémunérations réelles, dans les limites prévues par le règlement général précité, afin qu’en cas de privation involontaire d’emploi, les intéressés obtiennent un revenu de remplacement calculé en fonction des salaires qu’ils percevaient effectivement.</w:t>
      </w:r>
    </w:p>
    <w:p w:rsidR="00904888" w:rsidRPr="00211BD6" w:rsidRDefault="00904888" w:rsidP="006C3436">
      <w:pPr>
        <w:pStyle w:val="Titre4"/>
        <w:shd w:val="clear" w:color="auto" w:fill="FFFFFF"/>
        <w:spacing w:before="0" w:line="288" w:lineRule="auto"/>
        <w:textAlignment w:val="baseline"/>
        <w:rPr>
          <w:rFonts w:ascii="Arial" w:hAnsi="Arial" w:cs="Arial"/>
          <w:color w:val="666666"/>
          <w:sz w:val="20"/>
          <w:szCs w:val="20"/>
        </w:rPr>
      </w:pPr>
      <w:r w:rsidRPr="00211BD6">
        <w:rPr>
          <w:rFonts w:ascii="Arial" w:hAnsi="Arial" w:cs="Arial"/>
          <w:color w:val="666666"/>
          <w:sz w:val="20"/>
          <w:szCs w:val="20"/>
        </w:rPr>
        <w:t>Il en est ainsi, notamment, pour :</w:t>
      </w:r>
    </w:p>
    <w:p w:rsidR="00904888" w:rsidRPr="00211BD6" w:rsidRDefault="00904888" w:rsidP="006C3436">
      <w:pPr>
        <w:numPr>
          <w:ilvl w:val="0"/>
          <w:numId w:val="8"/>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personnels employés à titre accessoire ou temporaire par des associations et autres, de vacances ou de loisirs,</w:t>
      </w:r>
    </w:p>
    <w:p w:rsidR="00904888" w:rsidRPr="00211BD6" w:rsidRDefault="00904888" w:rsidP="006C3436">
      <w:pPr>
        <w:numPr>
          <w:ilvl w:val="0"/>
          <w:numId w:val="8"/>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personnels d'encadrement des centres de vacances et de loisirs,</w:t>
      </w:r>
    </w:p>
    <w:p w:rsidR="00904888" w:rsidRPr="00211BD6" w:rsidRDefault="00904888" w:rsidP="006C3436">
      <w:pPr>
        <w:numPr>
          <w:ilvl w:val="0"/>
          <w:numId w:val="8"/>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formateurs occasionnels,</w:t>
      </w:r>
    </w:p>
    <w:p w:rsidR="00904888" w:rsidRPr="00211BD6" w:rsidRDefault="00904888" w:rsidP="006C3436">
      <w:pPr>
        <w:numPr>
          <w:ilvl w:val="0"/>
          <w:numId w:val="8"/>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vendeurs à domicile à temps choisi,</w:t>
      </w:r>
    </w:p>
    <w:p w:rsidR="00904888" w:rsidRPr="00211BD6" w:rsidRDefault="00904888" w:rsidP="006C3436">
      <w:pPr>
        <w:numPr>
          <w:ilvl w:val="0"/>
          <w:numId w:val="8"/>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porteurs de presse,</w:t>
      </w:r>
    </w:p>
    <w:p w:rsidR="00904888" w:rsidRPr="00211BD6" w:rsidRDefault="00904888" w:rsidP="006C3436">
      <w:pPr>
        <w:numPr>
          <w:ilvl w:val="0"/>
          <w:numId w:val="8"/>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personnels exerçant une activité pour le compte d'une personne morale à objet sportif, d'une association de jeunesse ou d'éducation populaire visée par l'</w:t>
      </w:r>
      <w:hyperlink r:id="rId19" w:tgtFrame="_blank" w:history="1">
        <w:r w:rsidRPr="00211BD6">
          <w:rPr>
            <w:rStyle w:val="Lienhypertexte"/>
            <w:rFonts w:ascii="Arial" w:hAnsi="Arial" w:cs="Arial"/>
            <w:color w:val="808080"/>
            <w:sz w:val="20"/>
            <w:szCs w:val="20"/>
            <w:bdr w:val="none" w:sz="0" w:space="0" w:color="auto" w:frame="1"/>
          </w:rPr>
          <w:t>arrêté du 27 juillet 1994</w:t>
        </w:r>
      </w:hyperlink>
      <w:r w:rsidRPr="00211BD6">
        <w:rPr>
          <w:rFonts w:ascii="inherit" w:hAnsi="inherit" w:cs="Arial"/>
          <w:color w:val="666666"/>
          <w:sz w:val="20"/>
          <w:szCs w:val="20"/>
        </w:rPr>
        <w:t> (J.O. du 13 août 1994).</w:t>
      </w:r>
    </w:p>
    <w:p w:rsidR="00904888" w:rsidRPr="00211BD6" w:rsidRDefault="00904888" w:rsidP="006C3436">
      <w:pPr>
        <w:pStyle w:val="NormalWeb"/>
        <w:shd w:val="clear" w:color="auto" w:fill="FFFFFF"/>
        <w:spacing w:before="0" w:beforeAutospacing="0" w:after="0" w:afterAutospacing="0" w:line="288" w:lineRule="auto"/>
        <w:textAlignment w:val="baseline"/>
        <w:rPr>
          <w:rFonts w:ascii="Arial" w:hAnsi="Arial" w:cs="Arial"/>
          <w:color w:val="666666"/>
          <w:sz w:val="20"/>
          <w:szCs w:val="20"/>
        </w:rPr>
      </w:pPr>
      <w:r w:rsidRPr="00211BD6">
        <w:rPr>
          <w:rFonts w:ascii="Arial" w:hAnsi="Arial" w:cs="Arial"/>
          <w:color w:val="666666"/>
          <w:sz w:val="20"/>
          <w:szCs w:val="20"/>
        </w:rPr>
        <w:t>La liste des professions visées à l’Annexe XII n’est pas exhaustive. Ainsi, sauf dispositions contraires, il doit toujours être dérogé à l’assiette forfaitaire prévue par la Sécurité sociale afin de calculer les contributions sur les rémunérations réellement perçues par les intéressés.</w:t>
      </w:r>
    </w:p>
    <w:p w:rsidR="00904888" w:rsidRPr="00211BD6" w:rsidRDefault="00904888" w:rsidP="006C3436">
      <w:pPr>
        <w:pStyle w:val="Titre2"/>
        <w:shd w:val="clear" w:color="auto" w:fill="FFFFFF"/>
        <w:spacing w:before="0" w:line="288" w:lineRule="auto"/>
        <w:textAlignment w:val="baseline"/>
        <w:rPr>
          <w:rFonts w:ascii="Arial" w:hAnsi="Arial" w:cs="Arial"/>
          <w:color w:val="F6376D"/>
          <w:sz w:val="20"/>
          <w:szCs w:val="20"/>
        </w:rPr>
      </w:pPr>
      <w:r w:rsidRPr="00211BD6">
        <w:rPr>
          <w:rFonts w:ascii="Arial" w:hAnsi="Arial" w:cs="Arial"/>
          <w:color w:val="F6376D"/>
          <w:sz w:val="20"/>
          <w:szCs w:val="20"/>
        </w:rPr>
        <w:t>Non-application de la déduction forfaitaire</w:t>
      </w:r>
    </w:p>
    <w:p w:rsidR="00904888" w:rsidRPr="00211BD6" w:rsidRDefault="00904888" w:rsidP="006C3436">
      <w:pPr>
        <w:pStyle w:val="NormalWeb"/>
        <w:shd w:val="clear" w:color="auto" w:fill="FFFFFF"/>
        <w:spacing w:before="0" w:beforeAutospacing="0" w:after="0" w:afterAutospacing="0" w:line="288" w:lineRule="auto"/>
        <w:textAlignment w:val="baseline"/>
        <w:rPr>
          <w:rFonts w:ascii="Arial" w:hAnsi="Arial" w:cs="Arial"/>
          <w:color w:val="666666"/>
          <w:sz w:val="20"/>
          <w:szCs w:val="20"/>
        </w:rPr>
      </w:pPr>
      <w:r w:rsidRPr="00211BD6">
        <w:rPr>
          <w:rFonts w:ascii="Arial" w:hAnsi="Arial" w:cs="Arial"/>
          <w:color w:val="666666"/>
          <w:sz w:val="20"/>
          <w:szCs w:val="20"/>
        </w:rPr>
        <w:t>L’Annexe VII susvisée prévoit également que la déduction forfaitaire spécifique de 30% pour frais professionnels, dont bénéficient les journalistes en matière de sécurité sociale, n’est pas appliquée pour le calcul des contributions d’assurance chômage et des cotisations AGS.</w:t>
      </w:r>
    </w:p>
    <w:p w:rsidR="00904888" w:rsidRPr="00211BD6" w:rsidRDefault="00904888" w:rsidP="006C3436">
      <w:pPr>
        <w:pStyle w:val="Titre2"/>
        <w:shd w:val="clear" w:color="auto" w:fill="FFFFFF"/>
        <w:spacing w:before="0" w:line="288" w:lineRule="auto"/>
        <w:textAlignment w:val="baseline"/>
        <w:rPr>
          <w:rFonts w:ascii="Arial" w:hAnsi="Arial" w:cs="Arial"/>
          <w:color w:val="F6376D"/>
          <w:sz w:val="20"/>
          <w:szCs w:val="20"/>
        </w:rPr>
      </w:pPr>
      <w:r w:rsidRPr="00211BD6">
        <w:rPr>
          <w:rFonts w:ascii="Arial" w:hAnsi="Arial" w:cs="Arial"/>
          <w:color w:val="F6376D"/>
          <w:sz w:val="20"/>
          <w:szCs w:val="20"/>
        </w:rPr>
        <w:t>Cas des assiettes spécifiques</w:t>
      </w:r>
    </w:p>
    <w:p w:rsidR="00904888" w:rsidRPr="00211BD6" w:rsidRDefault="00904888" w:rsidP="006C3436">
      <w:pPr>
        <w:pStyle w:val="NormalWeb"/>
        <w:shd w:val="clear" w:color="auto" w:fill="FFFFFF"/>
        <w:spacing w:before="0" w:beforeAutospacing="0" w:after="0" w:afterAutospacing="0" w:line="288" w:lineRule="auto"/>
        <w:textAlignment w:val="baseline"/>
        <w:rPr>
          <w:rFonts w:ascii="Arial" w:hAnsi="Arial" w:cs="Arial"/>
          <w:color w:val="666666"/>
          <w:sz w:val="20"/>
          <w:szCs w:val="20"/>
        </w:rPr>
      </w:pPr>
      <w:r w:rsidRPr="00211BD6">
        <w:rPr>
          <w:rFonts w:ascii="Arial" w:hAnsi="Arial" w:cs="Arial"/>
          <w:color w:val="666666"/>
          <w:sz w:val="20"/>
          <w:szCs w:val="20"/>
        </w:rPr>
        <w:t>En application de dispositions législatives ou conventionnelles, l'assiette des contributions d'assurance chômage de certaines professions fait l'objet de quelques particularités dues à la spécificité de l'exercice de leur activité.</w:t>
      </w:r>
    </w:p>
    <w:p w:rsidR="00904888" w:rsidRPr="00211BD6" w:rsidRDefault="00904888" w:rsidP="006C3436">
      <w:pPr>
        <w:pStyle w:val="NormalWeb"/>
        <w:shd w:val="clear" w:color="auto" w:fill="FFFFFF"/>
        <w:spacing w:before="0" w:beforeAutospacing="0" w:after="0" w:afterAutospacing="0" w:line="288" w:lineRule="auto"/>
        <w:textAlignment w:val="baseline"/>
        <w:rPr>
          <w:rFonts w:ascii="Arial" w:hAnsi="Arial" w:cs="Arial"/>
          <w:color w:val="666666"/>
          <w:sz w:val="20"/>
          <w:szCs w:val="20"/>
        </w:rPr>
      </w:pPr>
      <w:r w:rsidRPr="00211BD6">
        <w:rPr>
          <w:rFonts w:ascii="Arial" w:hAnsi="Arial" w:cs="Arial"/>
          <w:color w:val="666666"/>
          <w:sz w:val="20"/>
          <w:szCs w:val="20"/>
        </w:rPr>
        <w:t>Il en est ainsi pour :</w:t>
      </w:r>
    </w:p>
    <w:p w:rsidR="00904888" w:rsidRPr="00211BD6" w:rsidRDefault="00904888" w:rsidP="006C3436">
      <w:pPr>
        <w:numPr>
          <w:ilvl w:val="0"/>
          <w:numId w:val="9"/>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apprentis : les cotisations sociales d'origine légale et conventionnelle, dues au titre de leurs salaires sont calculées de façon forfaitaire sur la base du salaire légal de base des apprentis (</w:t>
      </w:r>
      <w:hyperlink r:id="rId20" w:tgtFrame="_blank" w:history="1">
        <w:r w:rsidRPr="00211BD6">
          <w:rPr>
            <w:rStyle w:val="Lienhypertexte"/>
            <w:rFonts w:ascii="Arial" w:hAnsi="Arial" w:cs="Arial"/>
            <w:color w:val="808080"/>
            <w:sz w:val="20"/>
            <w:szCs w:val="20"/>
            <w:bdr w:val="none" w:sz="0" w:space="0" w:color="auto" w:frame="1"/>
          </w:rPr>
          <w:t>art. L. 6243-2</w:t>
        </w:r>
      </w:hyperlink>
      <w:r w:rsidRPr="00211BD6">
        <w:rPr>
          <w:rFonts w:ascii="inherit" w:hAnsi="inherit" w:cs="Arial"/>
          <w:color w:val="666666"/>
          <w:sz w:val="20"/>
          <w:szCs w:val="20"/>
        </w:rPr>
        <w:t> du code du travail). L’assiette des cotisations sociales est égale à la rémunération perçue après abattement d’un pourcentage, déterminé par décret, du salaire minimum de croissance. Ce pourcentage est fixé par l’</w:t>
      </w:r>
      <w:hyperlink r:id="rId21" w:tgtFrame="_blank" w:history="1">
        <w:r w:rsidRPr="00211BD6">
          <w:rPr>
            <w:rStyle w:val="Lienhypertexte"/>
            <w:rFonts w:ascii="Arial" w:hAnsi="Arial" w:cs="Arial"/>
            <w:color w:val="808080"/>
            <w:sz w:val="20"/>
            <w:szCs w:val="20"/>
            <w:bdr w:val="none" w:sz="0" w:space="0" w:color="auto" w:frame="1"/>
          </w:rPr>
          <w:t>article D. 6243-5</w:t>
        </w:r>
      </w:hyperlink>
      <w:r w:rsidRPr="00211BD6">
        <w:rPr>
          <w:rFonts w:ascii="inherit" w:hAnsi="inherit" w:cs="Arial"/>
          <w:color w:val="666666"/>
          <w:sz w:val="20"/>
          <w:szCs w:val="20"/>
        </w:rPr>
        <w:t> du même code à 11 % du SMIC.</w:t>
      </w:r>
      <w:r w:rsidRPr="00211BD6">
        <w:rPr>
          <w:rFonts w:ascii="inherit" w:hAnsi="inherit" w:cs="Arial"/>
          <w:color w:val="666666"/>
          <w:sz w:val="20"/>
          <w:szCs w:val="20"/>
        </w:rPr>
        <w:br/>
        <w:t> </w:t>
      </w:r>
    </w:p>
    <w:p w:rsidR="00904888" w:rsidRPr="00211BD6" w:rsidRDefault="00904888" w:rsidP="006C3436">
      <w:pPr>
        <w:numPr>
          <w:ilvl w:val="0"/>
          <w:numId w:val="9"/>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employés de maison : pour les rémunérations versées, il est possible d'opter entre une assiette forfaitaire et une assiette réelle pour le calcul des cotisations sociales d'origine légale ou conventionnelle rendues obligatoire par la loi (</w:t>
      </w:r>
      <w:hyperlink r:id="rId22" w:tgtFrame="_blank" w:history="1">
        <w:r w:rsidRPr="00211BD6">
          <w:rPr>
            <w:rStyle w:val="Lienhypertexte"/>
            <w:rFonts w:ascii="Arial" w:hAnsi="Arial" w:cs="Arial"/>
            <w:color w:val="808080"/>
            <w:sz w:val="20"/>
            <w:szCs w:val="20"/>
            <w:bdr w:val="none" w:sz="0" w:space="0" w:color="auto" w:frame="1"/>
          </w:rPr>
          <w:t>art. 70 de la loi n°94-43 du 18/01/1994</w:t>
        </w:r>
      </w:hyperlink>
      <w:r w:rsidRPr="00211BD6">
        <w:rPr>
          <w:rFonts w:ascii="inherit" w:hAnsi="inherit" w:cs="Arial"/>
          <w:color w:val="666666"/>
          <w:sz w:val="20"/>
          <w:szCs w:val="20"/>
        </w:rPr>
        <w:t> – J.O. du 19 janvier 1994).</w:t>
      </w:r>
      <w:r w:rsidRPr="00211BD6">
        <w:rPr>
          <w:rFonts w:ascii="inherit" w:hAnsi="inherit" w:cs="Arial"/>
          <w:color w:val="666666"/>
          <w:sz w:val="20"/>
          <w:szCs w:val="20"/>
        </w:rPr>
        <w:br/>
        <w:t> </w:t>
      </w:r>
    </w:p>
    <w:p w:rsidR="00904888" w:rsidRPr="00211BD6" w:rsidRDefault="00904888" w:rsidP="006C3436">
      <w:pPr>
        <w:numPr>
          <w:ilvl w:val="0"/>
          <w:numId w:val="9"/>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personnels du secteur de l’hôtellerie, café, restaurant (HCR) : rémunérés au pourboire, la détermination du montant du service peut soulever des difficultés, étant donné que l'employeur n'en a pas toujours la connaissance.</w:t>
      </w:r>
      <w:r w:rsidRPr="00211BD6">
        <w:rPr>
          <w:rFonts w:ascii="inherit" w:hAnsi="inherit" w:cs="Arial"/>
          <w:color w:val="666666"/>
          <w:sz w:val="20"/>
          <w:szCs w:val="20"/>
        </w:rPr>
        <w:br/>
        <w:t> </w:t>
      </w:r>
    </w:p>
    <w:p w:rsidR="00904888" w:rsidRPr="00211BD6" w:rsidRDefault="00904888" w:rsidP="006C3436">
      <w:pPr>
        <w:numPr>
          <w:ilvl w:val="0"/>
          <w:numId w:val="9"/>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t>Les marins pêcheurs : les contributions des marins pêcheurs sont assises sur le salaire forfaitaire servant de base aux cotisations sociales perçues au profit de l’Etablissement national des invalides de la marine (ENIM) et correspondant à la catégorie à laquelle appartient l’intéressé.</w:t>
      </w:r>
      <w:r w:rsidRPr="00211BD6">
        <w:rPr>
          <w:rFonts w:ascii="inherit" w:hAnsi="inherit" w:cs="Arial"/>
          <w:color w:val="666666"/>
          <w:sz w:val="20"/>
          <w:szCs w:val="20"/>
        </w:rPr>
        <w:br/>
        <w:t> </w:t>
      </w:r>
      <w:bookmarkStart w:id="1" w:name="_GoBack"/>
      <w:bookmarkEnd w:id="1"/>
    </w:p>
    <w:p w:rsidR="00904888" w:rsidRPr="00211BD6" w:rsidRDefault="00904888" w:rsidP="006C3436">
      <w:pPr>
        <w:numPr>
          <w:ilvl w:val="0"/>
          <w:numId w:val="9"/>
        </w:numPr>
        <w:shd w:val="clear" w:color="auto" w:fill="FFFFFF"/>
        <w:spacing w:after="0" w:line="288" w:lineRule="auto"/>
        <w:ind w:left="192" w:right="360"/>
        <w:textAlignment w:val="baseline"/>
        <w:rPr>
          <w:rFonts w:ascii="inherit" w:hAnsi="inherit" w:cs="Arial"/>
          <w:color w:val="666666"/>
          <w:sz w:val="20"/>
          <w:szCs w:val="20"/>
        </w:rPr>
      </w:pPr>
      <w:r w:rsidRPr="00211BD6">
        <w:rPr>
          <w:rFonts w:ascii="inherit" w:hAnsi="inherit" w:cs="Arial"/>
          <w:color w:val="666666"/>
          <w:sz w:val="20"/>
          <w:szCs w:val="20"/>
        </w:rPr>
        <w:lastRenderedPageBreak/>
        <w:t>Les ouvriers dockers intermittents : les contributions journalières des ouvriers dockers non mensualisés, correspondant à deux vacations, sont calculées sur la base de 80 % de 1/312ème du plafond annuel de la sécurité sociale.  </w:t>
      </w:r>
    </w:p>
    <w:p w:rsidR="00904888" w:rsidRDefault="00904888" w:rsidP="00904888">
      <w:pPr>
        <w:rPr>
          <w:rFonts w:asciiTheme="majorHAnsi" w:hAnsiTheme="majorHAnsi"/>
        </w:rPr>
      </w:pPr>
    </w:p>
    <w:p w:rsidR="00EA4BBC" w:rsidRDefault="00EA4BBC" w:rsidP="00904888">
      <w:pPr>
        <w:rPr>
          <w:rFonts w:asciiTheme="majorHAnsi" w:hAnsiTheme="majorHAnsi"/>
        </w:rPr>
      </w:pPr>
    </w:p>
    <w:p w:rsidR="00EA4BBC" w:rsidRPr="00E40384" w:rsidRDefault="00EA4BBC" w:rsidP="00EA4BBC">
      <w:pPr>
        <w:jc w:val="both"/>
        <w:rPr>
          <w:rFonts w:asciiTheme="majorHAnsi" w:hAnsiTheme="majorHAnsi"/>
          <w:b/>
        </w:rPr>
      </w:pPr>
      <w:r w:rsidRPr="00E40384">
        <w:rPr>
          <w:rFonts w:asciiTheme="majorHAnsi" w:hAnsiTheme="majorHAnsi"/>
          <w:b/>
        </w:rPr>
        <w:t xml:space="preserve">ANI : instauration d’une majoration et assiette de la majoration spéciale et différentes de l’assiette pour le reste de la cotisation d’Assurance chômage. </w:t>
      </w:r>
    </w:p>
    <w:sectPr w:rsidR="00EA4BBC" w:rsidRPr="00E40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71269"/>
    <w:multiLevelType w:val="multilevel"/>
    <w:tmpl w:val="D8F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543C3D"/>
    <w:multiLevelType w:val="multilevel"/>
    <w:tmpl w:val="7E9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57B0914"/>
    <w:multiLevelType w:val="multilevel"/>
    <w:tmpl w:val="0AB881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32FF25DE"/>
    <w:multiLevelType w:val="hybridMultilevel"/>
    <w:tmpl w:val="08B42A5C"/>
    <w:lvl w:ilvl="0" w:tplc="7F787F16">
      <w:start w:val="6"/>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8D50179"/>
    <w:multiLevelType w:val="hybridMultilevel"/>
    <w:tmpl w:val="E970F174"/>
    <w:lvl w:ilvl="0" w:tplc="7F787F16">
      <w:start w:val="6"/>
      <w:numFmt w:val="bullet"/>
      <w:lvlText w:val="-"/>
      <w:lvlJc w:val="left"/>
      <w:pPr>
        <w:ind w:left="720" w:hanging="360"/>
      </w:pPr>
      <w:rPr>
        <w:rFonts w:ascii="Cambria" w:eastAsiaTheme="minorHAnsi"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3FD73AD"/>
    <w:multiLevelType w:val="hybridMultilevel"/>
    <w:tmpl w:val="A754D51A"/>
    <w:lvl w:ilvl="0" w:tplc="3AB824CA">
      <w:start w:val="1"/>
      <w:numFmt w:val="decimal"/>
      <w:lvlText w:val="%1."/>
      <w:lvlJc w:val="left"/>
      <w:pPr>
        <w:ind w:left="720" w:hanging="360"/>
      </w:pPr>
      <w:rPr>
        <w:rFonts w:asciiTheme="minorHAnsi" w:hAnsiTheme="minorHAnsi" w:hint="default"/>
        <w:color w:val="545454"/>
        <w:sz w:val="2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5C977C8"/>
    <w:multiLevelType w:val="hybridMultilevel"/>
    <w:tmpl w:val="230A77E4"/>
    <w:lvl w:ilvl="0" w:tplc="E3783420">
      <w:start w:val="1"/>
      <w:numFmt w:val="decimal"/>
      <w:lvlText w:val="%1)"/>
      <w:lvlJc w:val="left"/>
      <w:pPr>
        <w:ind w:left="1800" w:hanging="360"/>
      </w:pPr>
      <w:rPr>
        <w:rFonts w:hint="default"/>
      </w:rPr>
    </w:lvl>
    <w:lvl w:ilvl="1" w:tplc="040C0019">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7">
    <w:nsid w:val="4CFF2203"/>
    <w:multiLevelType w:val="multilevel"/>
    <w:tmpl w:val="227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DA7419"/>
    <w:multiLevelType w:val="hybridMultilevel"/>
    <w:tmpl w:val="08EEEC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616D5519"/>
    <w:multiLevelType w:val="multilevel"/>
    <w:tmpl w:val="3E2C95DC"/>
    <w:lvl w:ilvl="0">
      <w:start w:val="1"/>
      <w:numFmt w:val="bullet"/>
      <w:lvlText w:val=""/>
      <w:lvlJc w:val="left"/>
      <w:pPr>
        <w:tabs>
          <w:tab w:val="num" w:pos="1800"/>
        </w:tabs>
        <w:ind w:left="1800" w:hanging="360"/>
      </w:pPr>
      <w:rPr>
        <w:rFonts w:ascii="Symbol" w:hAnsi="Symbol" w:hint="default"/>
        <w:sz w:val="20"/>
      </w:rPr>
    </w:lvl>
    <w:lvl w:ilvl="1">
      <w:start w:val="2"/>
      <w:numFmt w:val="bullet"/>
      <w:lvlText w:val=""/>
      <w:lvlJc w:val="left"/>
      <w:pPr>
        <w:ind w:left="2520" w:hanging="360"/>
      </w:pPr>
      <w:rPr>
        <w:rFonts w:ascii="Wingdings" w:eastAsiaTheme="minorHAnsi" w:hAnsi="Wingdings" w:cstheme="minorBidi" w:hint="default"/>
      </w:rPr>
    </w:lvl>
    <w:lvl w:ilvl="2">
      <w:start w:val="3"/>
      <w:numFmt w:val="bullet"/>
      <w:lvlText w:val="-"/>
      <w:lvlJc w:val="left"/>
      <w:pPr>
        <w:ind w:left="3240" w:hanging="360"/>
      </w:pPr>
      <w:rPr>
        <w:rFonts w:ascii="Cambria" w:eastAsiaTheme="minorHAnsi" w:hAnsi="Cambria" w:cstheme="minorBidi"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nsid w:val="72197E9F"/>
    <w:multiLevelType w:val="multilevel"/>
    <w:tmpl w:val="C656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0"/>
  </w:num>
  <w:num w:numId="4">
    <w:abstractNumId w:val="8"/>
  </w:num>
  <w:num w:numId="5">
    <w:abstractNumId w:val="6"/>
  </w:num>
  <w:num w:numId="6">
    <w:abstractNumId w:val="3"/>
  </w:num>
  <w:num w:numId="7">
    <w:abstractNumId w:val="5"/>
  </w:num>
  <w:num w:numId="8">
    <w:abstractNumId w:val="1"/>
  </w:num>
  <w:num w:numId="9">
    <w:abstractNumId w:val="0"/>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576"/>
    <w:rsid w:val="000370E5"/>
    <w:rsid w:val="000952CC"/>
    <w:rsid w:val="000B4145"/>
    <w:rsid w:val="000F43E8"/>
    <w:rsid w:val="001F26F7"/>
    <w:rsid w:val="00210089"/>
    <w:rsid w:val="00211BD6"/>
    <w:rsid w:val="002321A4"/>
    <w:rsid w:val="002405B2"/>
    <w:rsid w:val="002719DD"/>
    <w:rsid w:val="002E3DC6"/>
    <w:rsid w:val="002E5D9C"/>
    <w:rsid w:val="00376264"/>
    <w:rsid w:val="00377A5D"/>
    <w:rsid w:val="003E0CB6"/>
    <w:rsid w:val="00507CEA"/>
    <w:rsid w:val="0051519E"/>
    <w:rsid w:val="00627A2A"/>
    <w:rsid w:val="006C3436"/>
    <w:rsid w:val="006C7058"/>
    <w:rsid w:val="00722883"/>
    <w:rsid w:val="00746984"/>
    <w:rsid w:val="007D76A7"/>
    <w:rsid w:val="0080500B"/>
    <w:rsid w:val="008406FF"/>
    <w:rsid w:val="008F1576"/>
    <w:rsid w:val="00904888"/>
    <w:rsid w:val="00945368"/>
    <w:rsid w:val="00AA7CAF"/>
    <w:rsid w:val="00AE5D00"/>
    <w:rsid w:val="00B467AA"/>
    <w:rsid w:val="00B97CDB"/>
    <w:rsid w:val="00BC45FC"/>
    <w:rsid w:val="00BC6143"/>
    <w:rsid w:val="00C21A5D"/>
    <w:rsid w:val="00C70C16"/>
    <w:rsid w:val="00CB71AA"/>
    <w:rsid w:val="00CF6C5E"/>
    <w:rsid w:val="00D428C5"/>
    <w:rsid w:val="00DC709E"/>
    <w:rsid w:val="00DF1CC5"/>
    <w:rsid w:val="00E40384"/>
    <w:rsid w:val="00E67A7D"/>
    <w:rsid w:val="00EA4BBC"/>
    <w:rsid w:val="00F0691D"/>
    <w:rsid w:val="00F13EF2"/>
    <w:rsid w:val="00F51B15"/>
    <w:rsid w:val="00FB2D66"/>
    <w:rsid w:val="00FC27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07C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9048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semiHidden/>
    <w:unhideWhenUsed/>
    <w:qFormat/>
    <w:rsid w:val="0090488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D76A7"/>
    <w:pPr>
      <w:ind w:left="720"/>
      <w:contextualSpacing/>
    </w:pPr>
  </w:style>
  <w:style w:type="paragraph" w:styleId="NormalWeb">
    <w:name w:val="Normal (Web)"/>
    <w:basedOn w:val="Normal"/>
    <w:uiPriority w:val="99"/>
    <w:semiHidden/>
    <w:unhideWhenUsed/>
    <w:rsid w:val="00F51B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51B15"/>
    <w:rPr>
      <w:color w:val="0000FF"/>
      <w:u w:val="single"/>
    </w:rPr>
  </w:style>
  <w:style w:type="character" w:styleId="Accentuation">
    <w:name w:val="Emphasis"/>
    <w:basedOn w:val="Policepardfaut"/>
    <w:uiPriority w:val="20"/>
    <w:qFormat/>
    <w:rsid w:val="0051519E"/>
    <w:rPr>
      <w:i/>
      <w:iCs/>
    </w:rPr>
  </w:style>
  <w:style w:type="character" w:customStyle="1" w:styleId="apple-converted-space">
    <w:name w:val="apple-converted-space"/>
    <w:basedOn w:val="Policepardfaut"/>
    <w:rsid w:val="0051519E"/>
  </w:style>
  <w:style w:type="character" w:customStyle="1" w:styleId="Titre1Car">
    <w:name w:val="Titre 1 Car"/>
    <w:basedOn w:val="Policepardfaut"/>
    <w:link w:val="Titre1"/>
    <w:uiPriority w:val="9"/>
    <w:rsid w:val="00507CEA"/>
    <w:rPr>
      <w:rFonts w:ascii="Times New Roman" w:eastAsia="Times New Roman" w:hAnsi="Times New Roman" w:cs="Times New Roman"/>
      <w:b/>
      <w:bCs/>
      <w:kern w:val="36"/>
      <w:sz w:val="48"/>
      <w:szCs w:val="48"/>
      <w:lang w:eastAsia="fr-FR"/>
    </w:rPr>
  </w:style>
  <w:style w:type="paragraph" w:customStyle="1" w:styleId="numero-de-paragraphe-western">
    <w:name w:val="numero-de-paragraphe-western"/>
    <w:basedOn w:val="Normal"/>
    <w:rsid w:val="00507CE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aragraphe-western">
    <w:name w:val="paragraphe-western"/>
    <w:basedOn w:val="Normal"/>
    <w:rsid w:val="00507CE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07CEA"/>
    <w:rPr>
      <w:b/>
      <w:bCs/>
    </w:rPr>
  </w:style>
  <w:style w:type="character" w:customStyle="1" w:styleId="Titre2Car">
    <w:name w:val="Titre 2 Car"/>
    <w:basedOn w:val="Policepardfaut"/>
    <w:link w:val="Titre2"/>
    <w:uiPriority w:val="9"/>
    <w:semiHidden/>
    <w:rsid w:val="00904888"/>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semiHidden/>
    <w:rsid w:val="00904888"/>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507C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9048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semiHidden/>
    <w:unhideWhenUsed/>
    <w:qFormat/>
    <w:rsid w:val="0090488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D76A7"/>
    <w:pPr>
      <w:ind w:left="720"/>
      <w:contextualSpacing/>
    </w:pPr>
  </w:style>
  <w:style w:type="paragraph" w:styleId="NormalWeb">
    <w:name w:val="Normal (Web)"/>
    <w:basedOn w:val="Normal"/>
    <w:uiPriority w:val="99"/>
    <w:semiHidden/>
    <w:unhideWhenUsed/>
    <w:rsid w:val="00F51B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51B15"/>
    <w:rPr>
      <w:color w:val="0000FF"/>
      <w:u w:val="single"/>
    </w:rPr>
  </w:style>
  <w:style w:type="character" w:styleId="Accentuation">
    <w:name w:val="Emphasis"/>
    <w:basedOn w:val="Policepardfaut"/>
    <w:uiPriority w:val="20"/>
    <w:qFormat/>
    <w:rsid w:val="0051519E"/>
    <w:rPr>
      <w:i/>
      <w:iCs/>
    </w:rPr>
  </w:style>
  <w:style w:type="character" w:customStyle="1" w:styleId="apple-converted-space">
    <w:name w:val="apple-converted-space"/>
    <w:basedOn w:val="Policepardfaut"/>
    <w:rsid w:val="0051519E"/>
  </w:style>
  <w:style w:type="character" w:customStyle="1" w:styleId="Titre1Car">
    <w:name w:val="Titre 1 Car"/>
    <w:basedOn w:val="Policepardfaut"/>
    <w:link w:val="Titre1"/>
    <w:uiPriority w:val="9"/>
    <w:rsid w:val="00507CEA"/>
    <w:rPr>
      <w:rFonts w:ascii="Times New Roman" w:eastAsia="Times New Roman" w:hAnsi="Times New Roman" w:cs="Times New Roman"/>
      <w:b/>
      <w:bCs/>
      <w:kern w:val="36"/>
      <w:sz w:val="48"/>
      <w:szCs w:val="48"/>
      <w:lang w:eastAsia="fr-FR"/>
    </w:rPr>
  </w:style>
  <w:style w:type="paragraph" w:customStyle="1" w:styleId="numero-de-paragraphe-western">
    <w:name w:val="numero-de-paragraphe-western"/>
    <w:basedOn w:val="Normal"/>
    <w:rsid w:val="00507CE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aragraphe-western">
    <w:name w:val="paragraphe-western"/>
    <w:basedOn w:val="Normal"/>
    <w:rsid w:val="00507CE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07CEA"/>
    <w:rPr>
      <w:b/>
      <w:bCs/>
    </w:rPr>
  </w:style>
  <w:style w:type="character" w:customStyle="1" w:styleId="Titre2Car">
    <w:name w:val="Titre 2 Car"/>
    <w:basedOn w:val="Policepardfaut"/>
    <w:link w:val="Titre2"/>
    <w:uiPriority w:val="9"/>
    <w:semiHidden/>
    <w:rsid w:val="00904888"/>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semiHidden/>
    <w:rsid w:val="00904888"/>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440448">
      <w:bodyDiv w:val="1"/>
      <w:marLeft w:val="0"/>
      <w:marRight w:val="0"/>
      <w:marTop w:val="0"/>
      <w:marBottom w:val="0"/>
      <w:divBdr>
        <w:top w:val="none" w:sz="0" w:space="0" w:color="auto"/>
        <w:left w:val="none" w:sz="0" w:space="0" w:color="auto"/>
        <w:bottom w:val="none" w:sz="0" w:space="0" w:color="auto"/>
        <w:right w:val="none" w:sz="0" w:space="0" w:color="auto"/>
      </w:divBdr>
    </w:div>
    <w:div w:id="294994970">
      <w:bodyDiv w:val="1"/>
      <w:marLeft w:val="0"/>
      <w:marRight w:val="0"/>
      <w:marTop w:val="0"/>
      <w:marBottom w:val="0"/>
      <w:divBdr>
        <w:top w:val="none" w:sz="0" w:space="0" w:color="auto"/>
        <w:left w:val="none" w:sz="0" w:space="0" w:color="auto"/>
        <w:bottom w:val="none" w:sz="0" w:space="0" w:color="auto"/>
        <w:right w:val="none" w:sz="0" w:space="0" w:color="auto"/>
      </w:divBdr>
    </w:div>
    <w:div w:id="425657902">
      <w:bodyDiv w:val="1"/>
      <w:marLeft w:val="0"/>
      <w:marRight w:val="0"/>
      <w:marTop w:val="0"/>
      <w:marBottom w:val="0"/>
      <w:divBdr>
        <w:top w:val="none" w:sz="0" w:space="0" w:color="auto"/>
        <w:left w:val="none" w:sz="0" w:space="0" w:color="auto"/>
        <w:bottom w:val="none" w:sz="0" w:space="0" w:color="auto"/>
        <w:right w:val="none" w:sz="0" w:space="0" w:color="auto"/>
      </w:divBdr>
    </w:div>
    <w:div w:id="453914422">
      <w:bodyDiv w:val="1"/>
      <w:marLeft w:val="0"/>
      <w:marRight w:val="0"/>
      <w:marTop w:val="0"/>
      <w:marBottom w:val="0"/>
      <w:divBdr>
        <w:top w:val="none" w:sz="0" w:space="0" w:color="auto"/>
        <w:left w:val="none" w:sz="0" w:space="0" w:color="auto"/>
        <w:bottom w:val="none" w:sz="0" w:space="0" w:color="auto"/>
        <w:right w:val="none" w:sz="0" w:space="0" w:color="auto"/>
      </w:divBdr>
    </w:div>
    <w:div w:id="613175116">
      <w:bodyDiv w:val="1"/>
      <w:marLeft w:val="0"/>
      <w:marRight w:val="0"/>
      <w:marTop w:val="0"/>
      <w:marBottom w:val="0"/>
      <w:divBdr>
        <w:top w:val="none" w:sz="0" w:space="0" w:color="auto"/>
        <w:left w:val="none" w:sz="0" w:space="0" w:color="auto"/>
        <w:bottom w:val="none" w:sz="0" w:space="0" w:color="auto"/>
        <w:right w:val="none" w:sz="0" w:space="0" w:color="auto"/>
      </w:divBdr>
    </w:div>
    <w:div w:id="727151195">
      <w:bodyDiv w:val="1"/>
      <w:marLeft w:val="0"/>
      <w:marRight w:val="0"/>
      <w:marTop w:val="0"/>
      <w:marBottom w:val="0"/>
      <w:divBdr>
        <w:top w:val="none" w:sz="0" w:space="0" w:color="auto"/>
        <w:left w:val="none" w:sz="0" w:space="0" w:color="auto"/>
        <w:bottom w:val="none" w:sz="0" w:space="0" w:color="auto"/>
        <w:right w:val="none" w:sz="0" w:space="0" w:color="auto"/>
      </w:divBdr>
    </w:div>
    <w:div w:id="911237710">
      <w:bodyDiv w:val="1"/>
      <w:marLeft w:val="0"/>
      <w:marRight w:val="0"/>
      <w:marTop w:val="0"/>
      <w:marBottom w:val="0"/>
      <w:divBdr>
        <w:top w:val="none" w:sz="0" w:space="0" w:color="auto"/>
        <w:left w:val="none" w:sz="0" w:space="0" w:color="auto"/>
        <w:bottom w:val="none" w:sz="0" w:space="0" w:color="auto"/>
        <w:right w:val="none" w:sz="0" w:space="0" w:color="auto"/>
      </w:divBdr>
    </w:div>
    <w:div w:id="1016466203">
      <w:bodyDiv w:val="1"/>
      <w:marLeft w:val="0"/>
      <w:marRight w:val="0"/>
      <w:marTop w:val="0"/>
      <w:marBottom w:val="0"/>
      <w:divBdr>
        <w:top w:val="none" w:sz="0" w:space="0" w:color="auto"/>
        <w:left w:val="none" w:sz="0" w:space="0" w:color="auto"/>
        <w:bottom w:val="none" w:sz="0" w:space="0" w:color="auto"/>
        <w:right w:val="none" w:sz="0" w:space="0" w:color="auto"/>
      </w:divBdr>
    </w:div>
    <w:div w:id="1623464523">
      <w:bodyDiv w:val="1"/>
      <w:marLeft w:val="0"/>
      <w:marRight w:val="0"/>
      <w:marTop w:val="0"/>
      <w:marBottom w:val="0"/>
      <w:divBdr>
        <w:top w:val="none" w:sz="0" w:space="0" w:color="auto"/>
        <w:left w:val="none" w:sz="0" w:space="0" w:color="auto"/>
        <w:bottom w:val="none" w:sz="0" w:space="0" w:color="auto"/>
        <w:right w:val="none" w:sz="0" w:space="0" w:color="auto"/>
      </w:divBdr>
    </w:div>
    <w:div w:id="1747989478">
      <w:bodyDiv w:val="1"/>
      <w:marLeft w:val="0"/>
      <w:marRight w:val="0"/>
      <w:marTop w:val="0"/>
      <w:marBottom w:val="0"/>
      <w:divBdr>
        <w:top w:val="none" w:sz="0" w:space="0" w:color="auto"/>
        <w:left w:val="none" w:sz="0" w:space="0" w:color="auto"/>
        <w:bottom w:val="none" w:sz="0" w:space="0" w:color="auto"/>
        <w:right w:val="none" w:sz="0" w:space="0" w:color="auto"/>
      </w:divBdr>
      <w:divsChild>
        <w:div w:id="12331264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5974068">
      <w:bodyDiv w:val="1"/>
      <w:marLeft w:val="0"/>
      <w:marRight w:val="0"/>
      <w:marTop w:val="0"/>
      <w:marBottom w:val="0"/>
      <w:divBdr>
        <w:top w:val="none" w:sz="0" w:space="0" w:color="auto"/>
        <w:left w:val="none" w:sz="0" w:space="0" w:color="auto"/>
        <w:bottom w:val="none" w:sz="0" w:space="0" w:color="auto"/>
        <w:right w:val="none" w:sz="0" w:space="0" w:color="auto"/>
      </w:divBdr>
    </w:div>
    <w:div w:id="183757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rssaf.fr/portail/home/employeur/calculer-les-cotisations/la-base-de-calcul/assiette-csg-crds.html" TargetMode="External"/><Relationship Id="rId13" Type="http://schemas.openxmlformats.org/officeDocument/2006/relationships/hyperlink" Target="http://www.legifrance.gouv.fr/affichCodeArticle.do?idArticle=LEGIARTI000031500637&amp;cidTexte=LEGITEXT000006073189&amp;dateTexte=20160101&amp;oldAction=rechCodeArticle&amp;fastReqId=308353770&amp;nbResultRech=1" TargetMode="External"/><Relationship Id="rId18" Type="http://schemas.openxmlformats.org/officeDocument/2006/relationships/hyperlink" Target="http://www.legifrance.gouv.fr/affichCodeArticle.do?idArticle=LEGIARTI000031684774&amp;cidTexte=LEGITEXT000006073189&amp;dateTexte=20151223&amp;oldAction=rechCodeArticle&amp;fastReqId=1674909636&amp;nbResultRech=1" TargetMode="External"/><Relationship Id="rId3" Type="http://schemas.microsoft.com/office/2007/relationships/stylesWithEffects" Target="stylesWithEffects.xml"/><Relationship Id="rId21" Type="http://schemas.openxmlformats.org/officeDocument/2006/relationships/hyperlink" Target="http://www.legifrance.gouv.fr/affichCodeArticle.do?idArticle=LEGIARTI000018523475&amp;cidTexte=LEGITEXT000006072050&amp;dateTexte=20080501&amp;oldAction=rechCodeArticle" TargetMode="External"/><Relationship Id="rId7" Type="http://schemas.openxmlformats.org/officeDocument/2006/relationships/hyperlink" Target="https://www.urssaf.fr/portail/home/employeur/calculer-les-cotisations/les-taux-de-cotisations/le-forfait-social.html" TargetMode="External"/><Relationship Id="rId12" Type="http://schemas.openxmlformats.org/officeDocument/2006/relationships/hyperlink" Target="http://www.legifrance.gouv.fr/affichCodeArticle.do?idArticle=LEGIARTI000006742437&amp;cidTexte=LEGITEXT000006073189&amp;dateTexte=19851221&amp;oldAction=rechCodeArticle" TargetMode="External"/><Relationship Id="rId17" Type="http://schemas.openxmlformats.org/officeDocument/2006/relationships/hyperlink" Target="http://www.legifrance.gouv.fr/affichCodeArticle.do?idArticle=LEGIARTI000030701111&amp;cidTexte=LEGITEXT000006069577&amp;dateTexte=20150606&amp;fastPos=2&amp;fastReqId=721749481&amp;oldAction=rechCodeArticle" TargetMode="External"/><Relationship Id="rId2" Type="http://schemas.openxmlformats.org/officeDocument/2006/relationships/styles" Target="styles.xml"/><Relationship Id="rId16" Type="http://schemas.openxmlformats.org/officeDocument/2006/relationships/hyperlink" Target="http://bofip.impots.gouv.fr/bofip/6691-PGP.html" TargetMode="External"/><Relationship Id="rId20" Type="http://schemas.openxmlformats.org/officeDocument/2006/relationships/hyperlink" Target="http://www.legifrance.gouv.fr/affichCodeArticle.do?cidTexte=LEGITEXT000006072050&amp;idArticle=LEGIARTI000006904108&amp;dateTexte=20121006" TargetMode="External"/><Relationship Id="rId1" Type="http://schemas.openxmlformats.org/officeDocument/2006/relationships/numbering" Target="numbering.xml"/><Relationship Id="rId6" Type="http://schemas.openxmlformats.org/officeDocument/2006/relationships/hyperlink" Target="https://www.urssaf.fr/portail/home/employeur/calculer-les-cotisations/la-base-de-calcul.html" TargetMode="External"/><Relationship Id="rId11" Type="http://schemas.openxmlformats.org/officeDocument/2006/relationships/hyperlink" Target="http://www.legifrance.gouv.fr/affichCodeArticle.do?idArticle=LEGIARTI000031815621&amp;cidTexte=LEGITEXT000006069577&amp;dateTexte=20160101&amp;oldAction=rechCodeArticle&amp;fastReqId=900612208&amp;nbResultRech=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enat.fr/rap/r01-008/r01-008_mono.html" TargetMode="External"/><Relationship Id="rId23" Type="http://schemas.openxmlformats.org/officeDocument/2006/relationships/fontTable" Target="fontTable.xml"/><Relationship Id="rId10" Type="http://schemas.openxmlformats.org/officeDocument/2006/relationships/hyperlink" Target="http://www.legifrance.gouv.fr/affichCodeArticle.do?idArticle=LEGIARTI000031684774&amp;cidTexte=LEGITEXT000006073189&amp;dateTexte=20151223&amp;oldAction=rechCodeArticle&amp;fastReqId=1674909636&amp;nbResultRech=1" TargetMode="External"/><Relationship Id="rId19" Type="http://schemas.openxmlformats.org/officeDocument/2006/relationships/hyperlink" Target="http://www.legifrance.gouv.fr/affichTexte.do?cidTexte=JORFTEXT000000732652&amp;dateTexte=&amp;categorieLien=id" TargetMode="External"/><Relationship Id="rId4" Type="http://schemas.openxmlformats.org/officeDocument/2006/relationships/settings" Target="settings.xml"/><Relationship Id="rId9" Type="http://schemas.openxmlformats.org/officeDocument/2006/relationships/hyperlink" Target="https://www.urssaf.fr/portail/home/employeur/calculer-les-cotisations/la-base-de-calcul/assiette-csg-crds.html" TargetMode="External"/><Relationship Id="rId14" Type="http://schemas.openxmlformats.org/officeDocument/2006/relationships/hyperlink" Target="http://www.legislation.cnav.fr/Pages/texte.aspx?Nom=LO_CSS_L242-1" TargetMode="External"/><Relationship Id="rId22" Type="http://schemas.openxmlformats.org/officeDocument/2006/relationships/hyperlink" Target="http://legifrance.gouv.fr/affichTexteArticle.do;jsessionid=74F5E1A15D55FFF15DA79ECC26315CE8.tpdjo16v_3?idArticle=LEGIARTI000006696725&amp;cidTexte=LEGITEXT000005615126&amp;dateTexte=2012100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778</TotalTime>
  <Pages>7</Pages>
  <Words>3017</Words>
  <Characters>16599</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Romanello</dc:creator>
  <cp:keywords/>
  <dc:description/>
  <cp:lastModifiedBy>Lucile Romanello</cp:lastModifiedBy>
  <cp:revision>39</cp:revision>
  <dcterms:created xsi:type="dcterms:W3CDTF">2016-08-26T08:38:00Z</dcterms:created>
  <dcterms:modified xsi:type="dcterms:W3CDTF">2016-09-06T12:47:00Z</dcterms:modified>
</cp:coreProperties>
</file>