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Benjamín Alonso González Manríquez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9"/>
        <w:gridCol w:w="937"/>
        <w:gridCol w:w="923"/>
        <w:gridCol w:w="1052"/>
        <w:gridCol w:w="1183"/>
        <w:gridCol w:w="1235"/>
        <w:gridCol w:w="2504"/>
        <w:tblGridChange w:id="0">
          <w:tblGrid>
            <w:gridCol w:w="2089"/>
            <w:gridCol w:w="937"/>
            <w:gridCol w:w="923"/>
            <w:gridCol w:w="1052"/>
            <w:gridCol w:w="1183"/>
            <w:gridCol w:w="1235"/>
            <w:gridCol w:w="250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 y Desarrollo de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el periodo de la carrera he sido capaz de poder diseñar y desarrollar soluciones informáticas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realizar análisis amplios y poder resolver problemas complejos a tareas específicas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Aplicación de Estándares y Marcos de Trabajo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aplicaciones y estándares de trabajo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Tecnologías y Metodologías de Desarrollo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y de aplicar metodologías de trabajos acorde al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gestionar y lider proyectos informaticos, entregando pautas y metricas para un mejor resultado de este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gran capacidad analitica y de analisis de desarrollo 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6YzVyIeeFw6E52HM8DlODQArA==">CgMxLjAyCGguZ2pkZ3hzOAByITE2ZU9mZGVFeF80Q1h6WjF0WVUyeFdpOURTazZHMUUxMw==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2025-03-14T16:40:00Z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