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 &amp; CONTENT RELEASE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is entered into between BuyHalfCow LLC (“Producer”) and [Ranch Name] (“Ranch”).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Ranch grants Producer permission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Film, photograph, and record Ranch property and operations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interviews and related content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content created is owned exclusively by Producer.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Producer may: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content across digital, print, and media platforms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Monetize content through sponsorships, ads, and partnerships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Ranch name, logo, and likeness for promotional purposes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Ranch acknowledges no ownership or revenue rights in the content unless separately agreed in writing.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Producer assumes responsibility for its own personnel and equipment while on Ranch property.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is governed by Colorado law.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SIGNATURES</w:t>
        <w:br w:type="textWrapping"/>
        <w:t xml:space="preserve"> BuyHalfCow LLC: ________________________</w:t>
        <w:br w:type="textWrapping"/>
        <w:t xml:space="preserve"> Ranch: _______________________________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