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8.9 -->
  <w:body>
    <w:p>
      <w:pPr>
        <w:rPr>
          <w:lang w:val="en-US" w:eastAsia="en-US" w:bidi="ar-SA"/>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7.77pt;height:30pt">
            <v:imagedata r:id="rId4" o:title=""/>
          </v:shape>
        </w:pict>
      </w:r>
    </w:p>
    <w:p>
      <w:pPr>
        <w:spacing w:before="360" w:line="260" w:lineRule="atLeast"/>
        <w:rPr>
          <w:lang w:val="en-US" w:eastAsia="en-US" w:bidi="ar-SA"/>
        </w:rPr>
      </w:pPr>
      <w:r>
        <w:rPr>
          <w:rFonts w:ascii="Arial" w:eastAsia="Arial" w:hAnsi="Arial" w:cs="Arial"/>
          <w:b/>
          <w:color w:val="000000"/>
          <w:sz w:val="20"/>
          <w:lang w:val="en-US" w:eastAsia="en-US" w:bidi="ar-SA"/>
        </w:rPr>
        <w:t xml:space="preserve">User Name: </w:t>
      </w:r>
      <w:r>
        <w:rPr>
          <w:rFonts w:ascii="Arial" w:eastAsia="Arial" w:hAnsi="Arial" w:cs="Arial"/>
          <w:color w:val="000000"/>
          <w:sz w:val="20"/>
          <w:lang w:val="en-US" w:eastAsia="en-US" w:bidi="ar-SA"/>
        </w:rPr>
        <w:t>Michael Fiorenza</w:t>
      </w:r>
    </w:p>
    <w:p>
      <w:pPr>
        <w:spacing w:before="80" w:line="240" w:lineRule="atLeast"/>
        <w:rPr>
          <w:lang w:val="en-US" w:eastAsia="en-US" w:bidi="ar-SA"/>
        </w:rPr>
      </w:pPr>
      <w:r>
        <w:rPr>
          <w:rFonts w:ascii="Arial" w:eastAsia="Arial" w:hAnsi="Arial" w:cs="Arial"/>
          <w:b/>
          <w:color w:val="000000"/>
          <w:sz w:val="20"/>
          <w:lang w:val="en-US" w:eastAsia="en-US" w:bidi="ar-SA"/>
        </w:rPr>
        <w:t xml:space="preserve">Date and Time: </w:t>
      </w:r>
      <w:r>
        <w:rPr>
          <w:rFonts w:ascii="Arial" w:eastAsia="Arial" w:hAnsi="Arial" w:cs="Arial"/>
          <w:color w:val="000000"/>
          <w:sz w:val="20"/>
          <w:lang w:val="en-US" w:eastAsia="en-US" w:bidi="ar-SA"/>
        </w:rPr>
        <w:t>Monday, November 19, 2018 10:37:00 PM EST</w:t>
      </w:r>
    </w:p>
    <w:p>
      <w:pPr>
        <w:spacing w:before="80" w:line="240" w:lineRule="atLeast"/>
        <w:rPr>
          <w:lang w:val="en-US" w:eastAsia="en-US" w:bidi="ar-SA"/>
        </w:rPr>
      </w:pPr>
      <w:r>
        <w:rPr>
          <w:rFonts w:ascii="Arial" w:eastAsia="Arial" w:hAnsi="Arial" w:cs="Arial"/>
          <w:b/>
          <w:color w:val="000000"/>
          <w:sz w:val="20"/>
          <w:lang w:val="en-US" w:eastAsia="en-US" w:bidi="ar-SA"/>
        </w:rPr>
        <w:t xml:space="preserve">Job Number: </w:t>
      </w:r>
      <w:r>
        <w:rPr>
          <w:rFonts w:ascii="Arial" w:eastAsia="Arial" w:hAnsi="Arial" w:cs="Arial"/>
          <w:color w:val="000000"/>
          <w:sz w:val="20"/>
          <w:lang w:val="en-US" w:eastAsia="en-US" w:bidi="ar-SA"/>
        </w:rPr>
        <w:t>77923358</w:t>
      </w:r>
    </w:p>
    <w:p>
      <w:pPr>
        <w:spacing w:before="360" w:line="360" w:lineRule="atLeast"/>
        <w:jc w:val="both"/>
        <w:rPr>
          <w:lang w:val="en-US" w:eastAsia="en-US" w:bidi="ar-SA"/>
        </w:rPr>
      </w:pPr>
      <w:r>
        <w:rPr>
          <w:rFonts w:ascii="Arial" w:eastAsia="Arial" w:hAnsi="Arial" w:cs="Arial"/>
          <w:b/>
          <w:color w:val="000000"/>
          <w:lang w:val="en-US" w:eastAsia="en-US" w:bidi="ar-SA"/>
        </w:rPr>
        <w:t>Documents (6)</w:t>
      </w:r>
    </w:p>
    <w:p>
      <w:pPr>
        <w:spacing w:before="200" w:line="300" w:lineRule="atLeast"/>
        <w:ind w:left="440" w:hanging="290"/>
        <w:rPr>
          <w:lang w:val="en-US" w:eastAsia="en-US" w:bidi="ar-SA"/>
        </w:rPr>
      </w:pPr>
      <w:r>
        <w:rPr>
          <w:rFonts w:ascii="Arial" w:eastAsia="Arial" w:hAnsi="Arial" w:cs="Arial"/>
          <w:sz w:val="20"/>
          <w:lang w:val="en-US" w:eastAsia="en-US" w:bidi="ar-SA"/>
        </w:rPr>
        <w:t>1.</w:t>
      </w:r>
      <w:hyperlink r:id="rId5" w:history="1">
        <w:r>
          <w:rPr>
            <w:rFonts w:ascii="Arial" w:eastAsia="Arial" w:hAnsi="Arial" w:cs="Arial"/>
            <w:color w:val="000000"/>
            <w:sz w:val="20"/>
            <w:u w:val="single"/>
            <w:lang w:val="en-US" w:eastAsia="en-US" w:bidi="ar-SA"/>
          </w:rPr>
          <w:t xml:space="preserve"> </w:t>
        </w:r>
      </w:hyperlink>
      <w:hyperlink r:id="rId5" w:history="1">
        <w:r>
          <w:rPr>
            <w:rFonts w:ascii="Arial" w:eastAsia="Arial" w:hAnsi="Arial" w:cs="Arial"/>
            <w:i/>
            <w:color w:val="0077CC"/>
            <w:sz w:val="20"/>
            <w:u w:val="single"/>
            <w:lang w:val="en-US" w:eastAsia="en-US" w:bidi="ar-SA"/>
          </w:rPr>
          <w:t>Binding Nature of Instructions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line="300" w:lineRule="atLeast"/>
        <w:ind w:left="440" w:hanging="290"/>
        <w:rPr>
          <w:lang w:val="en-US" w:eastAsia="en-US" w:bidi="ar-SA"/>
        </w:rPr>
      </w:pPr>
      <w:r>
        <w:rPr>
          <w:rFonts w:ascii="Arial" w:eastAsia="Arial" w:hAnsi="Arial" w:cs="Arial"/>
          <w:sz w:val="20"/>
          <w:lang w:val="en-US" w:eastAsia="en-US" w:bidi="ar-SA"/>
        </w:rPr>
        <w:t>2.</w:t>
      </w:r>
      <w:hyperlink r:id="rId6" w:history="1">
        <w:r>
          <w:rPr>
            <w:rFonts w:ascii="Arial" w:eastAsia="Arial" w:hAnsi="Arial" w:cs="Arial"/>
            <w:color w:val="000000"/>
            <w:sz w:val="20"/>
            <w:u w:val="single"/>
            <w:lang w:val="en-US" w:eastAsia="en-US" w:bidi="ar-SA"/>
          </w:rPr>
          <w:t xml:space="preserve"> </w:t>
        </w:r>
      </w:hyperlink>
      <w:hyperlink r:id="rId6" w:history="1">
        <w:r>
          <w:rPr>
            <w:rFonts w:ascii="Arial" w:eastAsia="Arial" w:hAnsi="Arial" w:cs="Arial"/>
            <w:i/>
            <w:color w:val="0077CC"/>
            <w:sz w:val="20"/>
            <w:u w:val="single"/>
            <w:lang w:val="en-US" w:eastAsia="en-US" w:bidi="ar-SA"/>
          </w:rPr>
          <w:t>Jury's Duty to Deliberate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line="300" w:lineRule="atLeast"/>
        <w:ind w:left="440" w:hanging="290"/>
        <w:rPr>
          <w:lang w:val="en-US" w:eastAsia="en-US" w:bidi="ar-SA"/>
        </w:rPr>
      </w:pPr>
      <w:r>
        <w:rPr>
          <w:rFonts w:ascii="Arial" w:eastAsia="Arial" w:hAnsi="Arial" w:cs="Arial"/>
          <w:sz w:val="20"/>
          <w:lang w:val="en-US" w:eastAsia="en-US" w:bidi="ar-SA"/>
        </w:rPr>
        <w:t>3.</w:t>
      </w:r>
      <w:hyperlink r:id="rId7" w:history="1">
        <w:r>
          <w:rPr>
            <w:rFonts w:ascii="Arial" w:eastAsia="Arial" w:hAnsi="Arial" w:cs="Arial"/>
            <w:color w:val="000000"/>
            <w:sz w:val="20"/>
            <w:u w:val="single"/>
            <w:lang w:val="en-US" w:eastAsia="en-US" w:bidi="ar-SA"/>
          </w:rPr>
          <w:t xml:space="preserve"> </w:t>
        </w:r>
      </w:hyperlink>
      <w:hyperlink r:id="rId7" w:history="1">
        <w:r>
          <w:rPr>
            <w:rFonts w:ascii="Arial" w:eastAsia="Arial" w:hAnsi="Arial" w:cs="Arial"/>
            <w:i/>
            <w:color w:val="0077CC"/>
            <w:sz w:val="20"/>
            <w:u w:val="single"/>
            <w:lang w:val="en-US" w:eastAsia="en-US" w:bidi="ar-SA"/>
          </w:rPr>
          <w:t>Presumption of Innocence and Reasonable Doubt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line="300" w:lineRule="atLeast"/>
        <w:ind w:left="440" w:hanging="290"/>
        <w:rPr>
          <w:lang w:val="en-US" w:eastAsia="en-US" w:bidi="ar-SA"/>
        </w:rPr>
      </w:pPr>
      <w:r>
        <w:rPr>
          <w:rFonts w:ascii="Arial" w:eastAsia="Arial" w:hAnsi="Arial" w:cs="Arial"/>
          <w:sz w:val="20"/>
          <w:lang w:val="en-US" w:eastAsia="en-US" w:bidi="ar-SA"/>
        </w:rPr>
        <w:t>4.</w:t>
      </w:r>
      <w:hyperlink r:id="rId8" w:history="1">
        <w:r>
          <w:rPr>
            <w:rFonts w:ascii="Arial" w:eastAsia="Arial" w:hAnsi="Arial" w:cs="Arial"/>
            <w:color w:val="000000"/>
            <w:sz w:val="20"/>
            <w:u w:val="single"/>
            <w:lang w:val="en-US" w:eastAsia="en-US" w:bidi="ar-SA"/>
          </w:rPr>
          <w:t xml:space="preserve"> </w:t>
        </w:r>
      </w:hyperlink>
      <w:hyperlink r:id="rId8" w:history="1">
        <w:r>
          <w:rPr>
            <w:rFonts w:ascii="Arial" w:eastAsia="Arial" w:hAnsi="Arial" w:cs="Arial"/>
            <w:i/>
            <w:color w:val="0077CC"/>
            <w:sz w:val="20"/>
            <w:u w:val="single"/>
            <w:lang w:val="en-US" w:eastAsia="en-US" w:bidi="ar-SA"/>
          </w:rPr>
          <w:t>Unanimous Verdict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line="300" w:lineRule="atLeast"/>
        <w:ind w:left="440" w:hanging="290"/>
        <w:rPr>
          <w:lang w:val="en-US" w:eastAsia="en-US" w:bidi="ar-SA"/>
        </w:rPr>
      </w:pPr>
      <w:r>
        <w:rPr>
          <w:rFonts w:ascii="Arial" w:eastAsia="Arial" w:hAnsi="Arial" w:cs="Arial"/>
          <w:sz w:val="20"/>
          <w:lang w:val="en-US" w:eastAsia="en-US" w:bidi="ar-SA"/>
        </w:rPr>
        <w:t>5.</w:t>
      </w:r>
      <w:hyperlink r:id="rId9" w:history="1">
        <w:r>
          <w:rPr>
            <w:rFonts w:ascii="Arial" w:eastAsia="Arial" w:hAnsi="Arial" w:cs="Arial"/>
            <w:color w:val="000000"/>
            <w:sz w:val="20"/>
            <w:u w:val="single"/>
            <w:lang w:val="en-US" w:eastAsia="en-US" w:bidi="ar-SA"/>
          </w:rPr>
          <w:t xml:space="preserve"> </w:t>
        </w:r>
      </w:hyperlink>
      <w:hyperlink r:id="rId9" w:history="1">
        <w:r>
          <w:rPr>
            <w:rFonts w:ascii="Arial" w:eastAsia="Arial" w:hAnsi="Arial" w:cs="Arial"/>
            <w:i/>
            <w:color w:val="0077CC"/>
            <w:sz w:val="20"/>
            <w:u w:val="single"/>
            <w:lang w:val="en-US" w:eastAsia="en-US" w:bidi="ar-SA"/>
          </w:rPr>
          <w:t>Impartiality in Consideration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line="300" w:lineRule="atLeast"/>
        <w:ind w:left="440" w:hanging="290"/>
        <w:rPr>
          <w:lang w:val="en-US" w:eastAsia="en-US" w:bidi="ar-SA"/>
        </w:rPr>
      </w:pPr>
      <w:r>
        <w:rPr>
          <w:rFonts w:ascii="Arial" w:eastAsia="Arial" w:hAnsi="Arial" w:cs="Arial"/>
          <w:sz w:val="20"/>
          <w:lang w:val="en-US" w:eastAsia="en-US" w:bidi="ar-SA"/>
        </w:rPr>
        <w:t>6.</w:t>
      </w:r>
      <w:hyperlink r:id="rId10" w:history="1">
        <w:r>
          <w:rPr>
            <w:rFonts w:ascii="Arial" w:eastAsia="Arial" w:hAnsi="Arial" w:cs="Arial"/>
            <w:color w:val="000000"/>
            <w:sz w:val="20"/>
            <w:u w:val="single"/>
            <w:lang w:val="en-US" w:eastAsia="en-US" w:bidi="ar-SA"/>
          </w:rPr>
          <w:t xml:space="preserve"> </w:t>
        </w:r>
      </w:hyperlink>
      <w:hyperlink r:id="rId10" w:history="1">
        <w:r>
          <w:rPr>
            <w:rFonts w:ascii="Arial" w:eastAsia="Arial" w:hAnsi="Arial" w:cs="Arial"/>
            <w:i/>
            <w:color w:val="0077CC"/>
            <w:sz w:val="20"/>
            <w:u w:val="single"/>
            <w:lang w:val="en-US" w:eastAsia="en-US" w:bidi="ar-SA"/>
          </w:rPr>
          <w:t>Deliberations Based Solely on Evidence</w:t>
        </w:r>
      </w:hyperlink>
    </w:p>
    <w:p>
      <w:pPr>
        <w:spacing w:before="80" w:line="240" w:lineRule="atLeast"/>
        <w:ind w:left="290"/>
        <w:rPr>
          <w:lang w:val="en-US" w:eastAsia="en-US" w:bidi="ar-SA"/>
        </w:rPr>
        <w:sectPr>
          <w:headerReference w:type="even" r:id="rId11"/>
          <w:headerReference w:type="default" r:id="rId12"/>
          <w:footerReference w:type="even" r:id="rId13"/>
          <w:footerReference w:type="default" r:id="rId14"/>
          <w:headerReference w:type="first" r:id="rId15"/>
          <w:footerReference w:type="first" r:id="rId16"/>
          <w:type w:val="nextPage"/>
          <w:pgMar w:top="840" w:right="1080" w:bottom="840" w:left="1080" w:header="0" w:footer="0"/>
          <w:pgNumType w:fmt="decimal"/>
          <w:cols w:space="720"/>
        </w:sect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rPr>
          <w:lang w:val="en-US" w:eastAsia="en-US" w:bidi="ar-SA"/>
        </w:rPr>
        <w:sectPr>
          <w:headerReference w:type="even" r:id="rId17"/>
          <w:headerReference w:type="default" r:id="rId18"/>
          <w:footerReference w:type="even" r:id="rId19"/>
          <w:footerReference w:type="default" r:id="rId20"/>
          <w:headerReference w:type="first" r:id="rId21"/>
          <w:footerReference w:type="first" r:id="rId22"/>
          <w:type w:val="nextPage"/>
          <w:pgSz w:w="12240" w:h="15840"/>
          <w:pgMar w:top="840" w:right="1000" w:bottom="840" w:left="1000" w:header="400" w:footer="400"/>
          <w:pgNumType w:fmt="decimal"/>
          <w:cols w:space="720"/>
          <w:titlePg/>
        </w:sectPr>
      </w:pPr>
    </w:p>
    <w:p>
      <w:pPr>
        <w:rPr>
          <w:lang w:val="en-US" w:eastAsia="en-US" w:bidi="ar-SA"/>
        </w:rPr>
      </w:pPr>
      <w:bookmarkStart w:id="0" w:name="Bookmark_1"/>
      <w:bookmarkEnd w:id="0"/>
    </w:p>
    <w:p>
      <w:pPr>
        <w:rPr>
          <w:lang w:val="en-US" w:eastAsia="en-US" w:bidi="ar-SA"/>
        </w:rPr>
      </w:pPr>
      <w:r>
        <w:pict>
          <v:shape id="_x0000_i1026" type="#_x0000_t75" alt="LexisNexis®" style="width:147.77pt;height:30pt">
            <v:imagedata r:id="rId4" o:title=""/>
          </v:shape>
        </w:pict>
      </w:r>
      <w:r>
        <w:rPr>
          <w:lang w:val="en-US" w:eastAsia="en-US" w:bidi="ar-SA"/>
        </w:rPr>
        <w:cr/>
      </w:r>
    </w:p>
    <w:p>
      <w:pPr>
        <w:spacing w:before="240" w:after="200" w:line="340" w:lineRule="atLeast"/>
        <w:jc w:val="center"/>
        <w:outlineLvl w:val="0"/>
        <w:rPr>
          <w:rFonts w:ascii="Arial" w:hAnsi="Arial" w:cs="Arial"/>
          <w:b/>
          <w:bCs/>
          <w:kern w:val="32"/>
          <w:sz w:val="32"/>
          <w:szCs w:val="32"/>
          <w:lang w:val="en-US" w:eastAsia="en-US" w:bidi="ar-SA"/>
        </w:rPr>
      </w:pPr>
      <w:hyperlink r:id="rId23" w:history="1">
        <w:r>
          <w:rPr>
            <w:rFonts w:ascii="arial" w:eastAsia="arial" w:hAnsi="arial" w:cs="arial"/>
            <w:b/>
            <w:bCs/>
            <w:i/>
            <w:color w:val="0077CC"/>
            <w:kern w:val="32"/>
            <w:sz w:val="28"/>
            <w:szCs w:val="32"/>
            <w:u w:val="single"/>
            <w:lang w:val="en-US" w:eastAsia="en-US" w:bidi="ar-SA"/>
          </w:rPr>
          <w:t>MPJI-Cr 2:00</w:t>
        </w:r>
      </w:hyperlink>
    </w:p>
    <w:p>
      <w:pPr>
        <w:spacing w:line="240" w:lineRule="atLeast"/>
        <w:jc w:val="both"/>
        <w:rPr>
          <w:lang w:val="en-US" w:eastAsia="en-US" w:bidi="ar-SA"/>
        </w:rPr>
      </w:pPr>
    </w:p>
    <w:p>
      <w:pPr>
        <w:spacing w:before="200" w:line="280" w:lineRule="atLeast"/>
        <w:rPr>
          <w:lang w:val="en-US" w:eastAsia="en-US" w:bidi="ar-SA"/>
        </w:rPr>
      </w:pPr>
      <w:r>
        <w:rPr>
          <w:rFonts w:ascii="arial" w:eastAsia="arial" w:hAnsi="arial" w:cs="arial"/>
          <w:b/>
          <w:i/>
          <w:color w:val="000000"/>
          <w:sz w:val="22"/>
          <w:lang w:val="en-US" w:eastAsia="en-US" w:bidi="ar-SA"/>
        </w:rPr>
        <w:t>Maryland Criminal Pattern Jury Instructions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CHAPTER 2 GENERAL INSTRUCTIONS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BINDING NATURE OF INSTRUCTIONS</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2:00Binding Nature of Instructions</w:t>
      </w:r>
    </w:p>
    <w:p>
      <w:pPr>
        <w:spacing w:line="60" w:lineRule="exact"/>
        <w:rPr>
          <w:lang w:val="en-US" w:eastAsia="en-US" w:bidi="ar-SA"/>
        </w:rPr>
      </w:pPr>
      <w:r>
        <w:pict>
          <v:line id="_x0000_s1027" style="position:absolute;z-index:25165824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color w:val="000000"/>
          <w:sz w:val="20"/>
          <w:lang w:val="en-US" w:eastAsia="en-US" w:bidi="ar-SA"/>
        </w:rPr>
        <w:t>A</w:t>
      </w:r>
    </w:p>
    <w:p>
      <w:pPr>
        <w:spacing w:before="200" w:line="260" w:lineRule="atLeast"/>
        <w:jc w:val="both"/>
        <w:rPr>
          <w:lang w:val="en-US" w:eastAsia="en-US" w:bidi="ar-SA"/>
        </w:rPr>
      </w:pPr>
      <w:r>
        <w:rPr>
          <w:rFonts w:ascii="arial" w:eastAsia="arial" w:hAnsi="arial" w:cs="arial"/>
          <w:b/>
          <w:color w:val="000000"/>
          <w:sz w:val="20"/>
          <w:lang w:val="en-US" w:eastAsia="en-US" w:bidi="ar-SA"/>
        </w:rPr>
        <w:t>Members of the jury, the time has come to explain the law that applies to this case. The instructions that I give about the law are binding upon you. In other words, you must apply the law as I explain it in arriving at your verdict. On the other hand, any comments that I may have made or may make about the facts are not binding upon you and are advisory only. You are the ones to decide the facts and apply the law to those facts</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b/>
          <w:color w:val="000000"/>
          <w:sz w:val="20"/>
          <w:lang w:val="en-US" w:eastAsia="en-US" w:bidi="ar-SA"/>
        </w:rPr>
        <w:t>B</w:t>
      </w:r>
    </w:p>
    <w:p>
      <w:pPr>
        <w:spacing w:before="200" w:line="260" w:lineRule="atLeast"/>
        <w:jc w:val="both"/>
        <w:rPr>
          <w:lang w:val="en-US" w:eastAsia="en-US" w:bidi="ar-SA"/>
        </w:rPr>
      </w:pPr>
      <w:r>
        <w:rPr>
          <w:rFonts w:ascii="arial" w:eastAsia="arial" w:hAnsi="arial" w:cs="arial"/>
          <w:b/>
          <w:color w:val="000000"/>
          <w:sz w:val="20"/>
          <w:lang w:val="en-US" w:eastAsia="en-US" w:bidi="ar-SA"/>
        </w:rPr>
        <w:t>Members of the jury, the time has come to explain the law that applies to this case. The instructions that I give about the law are binding upon you. In other words, you must apply the law as I explain it in arriving at your verdict. On the other hand, any comments that I may have made or may make about the facts are not binding upon you and are advisory only. You are the ones to decide the facts and apply the law to those facts</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b/>
          <w:color w:val="000000"/>
          <w:sz w:val="20"/>
          <w:lang w:val="en-US" w:eastAsia="en-US" w:bidi="ar-SA"/>
        </w:rPr>
        <w:t>[In this case, however, there is one limited area in which it is your duty to decide the law as well as the facts. That one limited area is __________. My instructions in that one limited area are advisory only and are not binding upon you.]</w:t>
      </w:r>
    </w:p>
    <w:p>
      <w:pPr>
        <w:rPr>
          <w:lang w:val="en-US" w:eastAsia="en-US" w:bidi="ar-SA"/>
        </w:rPr>
      </w:pPr>
    </w:p>
    <w:tbl>
      <w:tblPr>
        <w:tblStyle w:val="TableNormal"/>
        <w:tblW w:w="0" w:type="auto"/>
        <w:tblInd w:w="0" w:type="dxa"/>
        <w:tblBorders>
          <w:top w:val="single" w:sz="8" w:space="0" w:color="BCBEC0"/>
          <w:left w:val="single" w:sz="8" w:space="0" w:color="BCBEC0"/>
          <w:bottom w:val="single" w:sz="8" w:space="0" w:color="BCBEC0"/>
          <w:right w:val="single" w:sz="8" w:space="0" w:color="BCBEC0"/>
          <w:insideH w:val="single" w:sz="8" w:space="0" w:color="BCBEC0"/>
          <w:insideV w:val="single" w:sz="8" w:space="0" w:color="BCBEC0"/>
        </w:tblBorders>
        <w:tblLayout w:type="fixed"/>
        <w:tblCellMar>
          <w:left w:w="108" w:type="dxa"/>
          <w:right w:w="108" w:type="dxa"/>
        </w:tblCellMar>
      </w:tblPr>
      <w:tblGrid>
        <w:gridCol w:w="10240"/>
      </w:tblGrid>
      <w:tr>
        <w:tblPrEx>
          <w:tblW w:w="0" w:type="auto"/>
          <w:tblInd w:w="0" w:type="dxa"/>
          <w:tblBorders>
            <w:top w:val="single" w:sz="8" w:space="0" w:color="BCBEC0"/>
            <w:left w:val="single" w:sz="8" w:space="0" w:color="BCBEC0"/>
            <w:bottom w:val="single" w:sz="8" w:space="0" w:color="BCBEC0"/>
            <w:right w:val="single" w:sz="8" w:space="0" w:color="BCBEC0"/>
            <w:insideH w:val="single" w:sz="8" w:space="0" w:color="BCBEC0"/>
            <w:insideV w:val="single" w:sz="8" w:space="0" w:color="BCBEC0"/>
          </w:tblBorders>
          <w:tblLayout w:type="fixed"/>
          <w:tblCellMar>
            <w:left w:w="108" w:type="dxa"/>
            <w:right w:w="108" w:type="dxa"/>
          </w:tblCellMar>
        </w:tblPrEx>
        <w:tc>
          <w:tcPr>
            <w:tcW w:w="10240" w:type="dxa"/>
            <w:vAlign w:val="center"/>
          </w:tcPr>
          <w:p>
            <w:pPr>
              <w:spacing w:before="240" w:line="260" w:lineRule="atLeast"/>
              <w:ind w:left="60" w:right="360"/>
              <w:rPr>
                <w:lang w:val="en-US" w:eastAsia="en-US" w:bidi="ar-SA"/>
              </w:rPr>
            </w:pPr>
            <w:r>
              <w:rPr>
                <w:rFonts w:ascii="arial" w:eastAsia="arial" w:hAnsi="arial" w:cs="arial"/>
                <w:b/>
                <w:color w:val="000000"/>
                <w:sz w:val="20"/>
                <w:lang w:val="en-US" w:eastAsia="en-US" w:bidi="ar-SA"/>
              </w:rPr>
              <w:t> </w:t>
            </w:r>
          </w:p>
          <w:p>
            <w:pPr>
              <w:spacing w:before="200" w:line="260" w:lineRule="atLeast"/>
              <w:ind w:left="60" w:right="360"/>
              <w:jc w:val="both"/>
              <w:rPr>
                <w:lang w:val="en-US" w:eastAsia="en-US" w:bidi="ar-SA"/>
              </w:rPr>
            </w:pPr>
            <w:r>
              <w:rPr>
                <w:rFonts w:ascii="arial" w:eastAsia="arial" w:hAnsi="arial" w:cs="arial"/>
                <w:color w:val="000000"/>
                <w:sz w:val="20"/>
                <w:lang w:val="en-US" w:eastAsia="en-US" w:bidi="ar-SA"/>
              </w:rPr>
              <w:t>COMMENT</w:t>
            </w:r>
          </w:p>
          <w:p>
            <w:pPr>
              <w:spacing w:before="200" w:line="260" w:lineRule="atLeast"/>
              <w:ind w:left="60" w:right="360"/>
              <w:jc w:val="both"/>
              <w:rPr>
                <w:lang w:val="en-US" w:eastAsia="en-US" w:bidi="ar-SA"/>
              </w:rPr>
            </w:pPr>
            <w:r>
              <w:rPr>
                <w:rFonts w:ascii="arial" w:eastAsia="arial" w:hAnsi="arial" w:cs="arial"/>
                <w:color w:val="000000"/>
                <w:sz w:val="20"/>
                <w:lang w:val="en-US" w:eastAsia="en-US" w:bidi="ar-SA"/>
              </w:rPr>
              <w:t xml:space="preserve">The jury is the sole judge of the facts, the weight and legal effect of the evidence, and the credibility of the witnesses. </w:t>
            </w:r>
            <w:r>
              <w:rPr>
                <w:rFonts w:ascii="arial" w:eastAsia="arial" w:hAnsi="arial" w:cs="arial"/>
                <w:i/>
                <w:color w:val="000000"/>
                <w:sz w:val="20"/>
                <w:lang w:val="en-US" w:eastAsia="en-US" w:bidi="ar-SA"/>
              </w:rPr>
              <w:t>See generally</w:t>
            </w:r>
            <w:r>
              <w:rPr>
                <w:rFonts w:ascii="arial" w:eastAsia="arial" w:hAnsi="arial" w:cs="arial"/>
                <w:color w:val="000000"/>
                <w:sz w:val="20"/>
                <w:lang w:val="en-US" w:eastAsia="en-US" w:bidi="ar-SA"/>
              </w:rPr>
              <w:t xml:space="preserve"> LYNN MCLAIN, MARYLAND EVIDENCE § 104.1, at 130-31 (2d ed. 2001 &amp; Supp. 2010). Any comments made by the judge concerning the evidence are purely advisory and the jury must be so informed. MD. RULE 4-325(d); </w:t>
            </w:r>
            <w:hyperlink r:id="rId24" w:history="1">
              <w:r>
                <w:rPr>
                  <w:rFonts w:ascii="arial" w:eastAsia="arial" w:hAnsi="arial" w:cs="arial"/>
                  <w:i/>
                  <w:color w:val="0077CC"/>
                  <w:sz w:val="20"/>
                  <w:u w:val="single"/>
                  <w:lang w:val="en-US" w:eastAsia="en-US" w:bidi="ar-SA"/>
                </w:rPr>
                <w:t>Dykes v. State, 319 Md. 206, 224, 571 A.2d 1251, 1260-61 (1990)</w:t>
              </w:r>
            </w:hyperlink>
            <w:r>
              <w:rPr>
                <w:rFonts w:ascii="arial" w:eastAsia="arial" w:hAnsi="arial" w:cs="arial"/>
                <w:color w:val="000000"/>
                <w:sz w:val="20"/>
                <w:lang w:val="en-US" w:eastAsia="en-US" w:bidi="ar-SA"/>
              </w:rPr>
              <w:t xml:space="preserve"> ("what evidence to believe, what weight to be given it, and what facts flow from that evidence are for the jury … to determine."); </w:t>
            </w:r>
            <w:hyperlink r:id="rId25" w:history="1">
              <w:r>
                <w:rPr>
                  <w:rFonts w:ascii="arial" w:eastAsia="arial" w:hAnsi="arial" w:cs="arial"/>
                  <w:i/>
                  <w:color w:val="0077CC"/>
                  <w:sz w:val="20"/>
                  <w:u w:val="single"/>
                  <w:lang w:val="en-US" w:eastAsia="en-US" w:bidi="ar-SA"/>
                </w:rPr>
                <w:t>Gore v. State, 309 Md. 203, 214, 522 A.2d 1338, 1343 (1987)</w:t>
              </w:r>
            </w:hyperlink>
            <w:r>
              <w:rPr>
                <w:rFonts w:ascii="arial" w:eastAsia="arial" w:hAnsi="arial" w:cs="arial"/>
                <w:color w:val="000000"/>
                <w:sz w:val="20"/>
                <w:lang w:val="en-US" w:eastAsia="en-US" w:bidi="ar-SA"/>
              </w:rPr>
              <w:t xml:space="preserve"> (instruction that there was sufficient evidence as a matter of law to convict constituted an impermissible comment on the weight of the evidence); </w:t>
            </w:r>
            <w:r>
              <w:rPr>
                <w:rFonts w:ascii="arial" w:eastAsia="arial" w:hAnsi="arial" w:cs="arial"/>
                <w:i/>
                <w:color w:val="000000"/>
                <w:sz w:val="20"/>
                <w:lang w:val="en-US" w:eastAsia="en-US" w:bidi="ar-SA"/>
              </w:rPr>
              <w:t>see</w:t>
            </w:r>
            <w:r>
              <w:rPr>
                <w:rFonts w:ascii="arial" w:eastAsia="arial" w:hAnsi="arial" w:cs="arial"/>
                <w:color w:val="000000"/>
                <w:sz w:val="20"/>
                <w:lang w:val="en-US" w:eastAsia="en-US" w:bidi="ar-SA"/>
              </w:rPr>
              <w:t xml:space="preserve"> MCLAIN,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 104.3, at 149.</w:t>
            </w:r>
          </w:p>
          <w:p>
            <w:pPr>
              <w:spacing w:before="240" w:line="260" w:lineRule="atLeast"/>
              <w:ind w:left="60" w:right="360"/>
              <w:jc w:val="both"/>
              <w:rPr>
                <w:lang w:val="en-US" w:eastAsia="en-US" w:bidi="ar-SA"/>
              </w:rPr>
            </w:pPr>
            <w:r>
              <w:rPr>
                <w:rFonts w:ascii="arial" w:eastAsia="arial" w:hAnsi="arial" w:cs="arial"/>
                <w:color w:val="000000"/>
                <w:sz w:val="20"/>
                <w:lang w:val="en-US" w:eastAsia="en-US" w:bidi="ar-SA"/>
              </w:rPr>
              <w:t xml:space="preserve">On the other hand, the judge's instructions on the law are binding upon the parties and the jury, and the jury must be so informed, subject to the very limited exception provided in version "B" of the instruction. MD. RULE 4-325(c); </w:t>
            </w:r>
            <w:r>
              <w:rPr>
                <w:rFonts w:ascii="arial" w:eastAsia="arial" w:hAnsi="arial" w:cs="arial"/>
                <w:i/>
                <w:color w:val="000000"/>
                <w:sz w:val="20"/>
                <w:lang w:val="en-US" w:eastAsia="en-US" w:bidi="ar-SA"/>
              </w:rPr>
              <w:t>see</w:t>
            </w:r>
            <w:r>
              <w:rPr>
                <w:rFonts w:ascii="arial" w:eastAsia="arial" w:hAnsi="arial" w:cs="arial"/>
                <w:color w:val="000000"/>
                <w:sz w:val="20"/>
                <w:lang w:val="en-US" w:eastAsia="en-US" w:bidi="ar-SA"/>
              </w:rPr>
              <w:t xml:space="preserve"> MCLAIN,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 104.3, at 150-51 n.9. The Court of Appeals has interpreted article 23 of the Maryland Declaration of Rights as providing two very narrow exceptions to the binding nature of the judge's instructions on the law. If there is a sound basis for dispute as to the substantive law of the crime, or if there is a real question whether the law should be applied under the circumstances, the jury is the judge of law, but only to the extent of resolving any conflicting interpretations of the substantive law of the crime or deciding whether the law should be applied in the circumstances before it. In the rare instances in which these exceptions are applicable, the judge's instructions as to the substantive law of the crime are advisory only and the jury must be so informed. </w:t>
            </w:r>
            <w:r>
              <w:rPr>
                <w:rFonts w:ascii="arial" w:eastAsia="arial" w:hAnsi="arial" w:cs="arial"/>
                <w:i/>
                <w:color w:val="000000"/>
                <w:sz w:val="20"/>
                <w:lang w:val="en-US" w:eastAsia="en-US" w:bidi="ar-SA"/>
              </w:rPr>
              <w:t xml:space="preserve">See </w:t>
            </w:r>
            <w:hyperlink r:id="rId26" w:history="1">
              <w:r>
                <w:rPr>
                  <w:rFonts w:ascii="arial" w:eastAsia="arial" w:hAnsi="arial" w:cs="arial"/>
                  <w:i/>
                  <w:color w:val="0077CC"/>
                  <w:sz w:val="20"/>
                  <w:u w:val="single"/>
                  <w:lang w:val="en-US" w:eastAsia="en-US" w:bidi="ar-SA"/>
                </w:rPr>
                <w:t>State v. Adams, 406 Md. 240, 276, 958 A.2d 295, 317 (2008)</w:t>
              </w:r>
            </w:hyperlink>
            <w:r>
              <w:rPr>
                <w:rFonts w:ascii="arial" w:eastAsia="arial" w:hAnsi="arial" w:cs="arial"/>
                <w:color w:val="000000"/>
                <w:sz w:val="20"/>
                <w:lang w:val="en-US" w:eastAsia="en-US" w:bidi="ar-SA"/>
              </w:rPr>
              <w:t xml:space="preserve"> ("the 'curious provision of the Maryland Constitution with respect to the jury's being judges of the law has </w:t>
            </w:r>
            <w:r>
              <w:rPr>
                <w:rFonts w:ascii="arial" w:eastAsia="arial" w:hAnsi="arial" w:cs="arial"/>
                <w:i/>
                <w:color w:val="000000"/>
                <w:sz w:val="20"/>
                <w:lang w:val="en-US" w:eastAsia="en-US" w:bidi="ar-SA"/>
              </w:rPr>
              <w:t>only meant that where there are conflicting interpretations of law</w:t>
            </w:r>
            <w:r>
              <w:rPr>
                <w:rFonts w:ascii="arial" w:eastAsia="arial" w:hAnsi="arial" w:cs="arial"/>
                <w:color w:val="000000"/>
                <w:sz w:val="20"/>
                <w:lang w:val="en-US" w:eastAsia="en-US" w:bidi="ar-SA"/>
              </w:rPr>
              <w:t xml:space="preserve">, the jury may have both interpretations argued to it and the jury may choose between, and further that the jury shall decide whether the law should be applied in dubious factual situations.'" (quoting </w:t>
            </w:r>
            <w:hyperlink r:id="rId27" w:history="1">
              <w:r>
                <w:rPr>
                  <w:rFonts w:ascii="arial" w:eastAsia="arial" w:hAnsi="arial" w:cs="arial"/>
                  <w:i/>
                  <w:color w:val="0077CC"/>
                  <w:sz w:val="20"/>
                  <w:u w:val="single"/>
                  <w:lang w:val="en-US" w:eastAsia="en-US" w:bidi="ar-SA"/>
                </w:rPr>
                <w:t>Ehrlich v. State, 42 Md. App. 730, 737, 403 A.2d 371, 376 (1979)));</w:t>
              </w:r>
            </w:hyperlink>
            <w:r>
              <w:rPr>
                <w:rFonts w:ascii="arial" w:eastAsia="arial" w:hAnsi="arial" w:cs="arial"/>
                <w:color w:val="000000"/>
                <w:sz w:val="20"/>
                <w:lang w:val="en-US" w:eastAsia="en-US" w:bidi="ar-SA"/>
              </w:rPr>
              <w:t xml:space="preserve"> </w:t>
            </w:r>
            <w:hyperlink r:id="rId28" w:history="1">
              <w:r>
                <w:rPr>
                  <w:rFonts w:ascii="arial" w:eastAsia="arial" w:hAnsi="arial" w:cs="arial"/>
                  <w:i/>
                  <w:color w:val="0077CC"/>
                  <w:sz w:val="20"/>
                  <w:u w:val="single"/>
                  <w:lang w:val="en-US" w:eastAsia="en-US" w:bidi="ar-SA"/>
                </w:rPr>
                <w:t>Hebron v. State, 331 Md. 219, 233, 627 A.2d 1029, 1036 (1993)</w:t>
              </w:r>
            </w:hyperlink>
            <w:r>
              <w:rPr>
                <w:rFonts w:ascii="arial" w:eastAsia="arial" w:hAnsi="arial" w:cs="arial"/>
                <w:color w:val="000000"/>
                <w:sz w:val="20"/>
                <w:lang w:val="en-US" w:eastAsia="en-US" w:bidi="ar-SA"/>
              </w:rPr>
              <w:t xml:space="preserve"> ("[A]lthough the jury is the sole judge of the facts, the jury's role with respect to the law is limited to resolving conflicting interpretations of the law of the crime and determining whether that law should be applied in dubious factual situations."); </w:t>
            </w:r>
            <w:hyperlink r:id="rId29" w:history="1">
              <w:r>
                <w:rPr>
                  <w:rFonts w:ascii="arial" w:eastAsia="arial" w:hAnsi="arial" w:cs="arial"/>
                  <w:i/>
                  <w:color w:val="0077CC"/>
                  <w:sz w:val="20"/>
                  <w:u w:val="single"/>
                  <w:lang w:val="en-US" w:eastAsia="en-US" w:bidi="ar-SA"/>
                </w:rPr>
                <w:t>In re Petition for Writ of Prohibition, 312 Md. 280, 318, 539 A.2d 664, 682 (1988)</w:t>
              </w:r>
            </w:hyperlink>
            <w:r>
              <w:rPr>
                <w:rFonts w:ascii="arial" w:eastAsia="arial" w:hAnsi="arial" w:cs="arial"/>
                <w:color w:val="000000"/>
                <w:sz w:val="20"/>
                <w:lang w:val="en-US" w:eastAsia="en-US" w:bidi="ar-SA"/>
              </w:rPr>
              <w:t xml:space="preserve"> ("What it all boils down to now is that the jury's right to judge the law is virtually eliminated; the provision, as we have construed it, basically protects the jury's right to judge the facts."); </w:t>
            </w:r>
            <w:hyperlink r:id="rId30" w:history="1">
              <w:r>
                <w:rPr>
                  <w:rFonts w:ascii="arial" w:eastAsia="arial" w:hAnsi="arial" w:cs="arial"/>
                  <w:i/>
                  <w:color w:val="0077CC"/>
                  <w:sz w:val="20"/>
                  <w:u w:val="single"/>
                  <w:lang w:val="en-US" w:eastAsia="en-US" w:bidi="ar-SA"/>
                </w:rPr>
                <w:t>Montgomery v. State, 292 Md. 84, 437 A.2d 654 (1981);</w:t>
              </w:r>
            </w:hyperlink>
            <w:r>
              <w:rPr>
                <w:rFonts w:ascii="arial" w:eastAsia="arial" w:hAnsi="arial" w:cs="arial"/>
                <w:color w:val="000000"/>
                <w:sz w:val="20"/>
                <w:lang w:val="en-US" w:eastAsia="en-US" w:bidi="ar-SA"/>
              </w:rPr>
              <w:t xml:space="preserve"> </w:t>
            </w:r>
            <w:hyperlink r:id="rId31" w:history="1">
              <w:r>
                <w:rPr>
                  <w:rFonts w:ascii="arial" w:eastAsia="arial" w:hAnsi="arial" w:cs="arial"/>
                  <w:i/>
                  <w:color w:val="0077CC"/>
                  <w:sz w:val="20"/>
                  <w:u w:val="single"/>
                  <w:lang w:val="en-US" w:eastAsia="en-US" w:bidi="ar-SA"/>
                </w:rPr>
                <w:t>Stevenson v. State, 289 Md. 167, 423 A.2d 558 (1980);</w:t>
              </w:r>
            </w:hyperlink>
            <w:r>
              <w:rPr>
                <w:rFonts w:ascii="arial" w:eastAsia="arial" w:hAnsi="arial" w:cs="arial"/>
                <w:color w:val="000000"/>
                <w:sz w:val="20"/>
                <w:lang w:val="en-US" w:eastAsia="en-US" w:bidi="ar-SA"/>
              </w:rPr>
              <w:t xml:space="preserve"> </w:t>
            </w:r>
            <w:hyperlink r:id="rId32" w:history="1">
              <w:r>
                <w:rPr>
                  <w:rFonts w:ascii="arial" w:eastAsia="arial" w:hAnsi="arial" w:cs="arial"/>
                  <w:i/>
                  <w:color w:val="0077CC"/>
                  <w:sz w:val="20"/>
                  <w:u w:val="single"/>
                  <w:lang w:val="en-US" w:eastAsia="en-US" w:bidi="ar-SA"/>
                </w:rPr>
                <w:t>Sibiga v. State, 65 Md. App. 69, 499 A.2d 484 (1985);</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 xml:space="preserve">see also </w:t>
            </w:r>
            <w:hyperlink r:id="rId33" w:history="1">
              <w:r>
                <w:rPr>
                  <w:rFonts w:ascii="arial" w:eastAsia="arial" w:hAnsi="arial" w:cs="arial"/>
                  <w:i/>
                  <w:color w:val="0077CC"/>
                  <w:sz w:val="20"/>
                  <w:u w:val="single"/>
                  <w:lang w:val="en-US" w:eastAsia="en-US" w:bidi="ar-SA"/>
                </w:rPr>
                <w:t>Barnhard v. State, 86 Md. App. 518, 530-31, 587 A.2d 561, 567-68 (1991)</w:t>
              </w:r>
            </w:hyperlink>
            <w:r>
              <w:rPr>
                <w:rFonts w:ascii="arial" w:eastAsia="arial" w:hAnsi="arial" w:cs="arial"/>
                <w:color w:val="000000"/>
                <w:sz w:val="20"/>
                <w:lang w:val="en-US" w:eastAsia="en-US" w:bidi="ar-SA"/>
              </w:rPr>
              <w:t xml:space="preserve"> (no sound basis to dispute the law of resisting arrest), </w:t>
            </w:r>
            <w:r>
              <w:rPr>
                <w:rFonts w:ascii="arial" w:eastAsia="arial" w:hAnsi="arial" w:cs="arial"/>
                <w:i/>
                <w:color w:val="000000"/>
                <w:sz w:val="20"/>
                <w:lang w:val="en-US" w:eastAsia="en-US" w:bidi="ar-SA"/>
              </w:rPr>
              <w:t>aff'd</w:t>
            </w:r>
            <w:r>
              <w:rPr>
                <w:rFonts w:ascii="arial" w:eastAsia="arial" w:hAnsi="arial" w:cs="arial"/>
                <w:color w:val="000000"/>
                <w:sz w:val="20"/>
                <w:lang w:val="en-US" w:eastAsia="en-US" w:bidi="ar-SA"/>
              </w:rPr>
              <w:t xml:space="preserve">, </w:t>
            </w:r>
            <w:hyperlink r:id="rId34" w:history="1">
              <w:r>
                <w:rPr>
                  <w:rFonts w:ascii="arial" w:eastAsia="arial" w:hAnsi="arial" w:cs="arial"/>
                  <w:i/>
                  <w:color w:val="0077CC"/>
                  <w:sz w:val="20"/>
                  <w:u w:val="single"/>
                  <w:lang w:val="en-US" w:eastAsia="en-US" w:bidi="ar-SA"/>
                </w:rPr>
                <w:t>325 Md. 602, 602 A.2d 701 (1992);</w:t>
              </w:r>
            </w:hyperlink>
            <w:r>
              <w:rPr>
                <w:rFonts w:ascii="arial" w:eastAsia="arial" w:hAnsi="arial" w:cs="arial"/>
                <w:color w:val="000000"/>
                <w:sz w:val="20"/>
                <w:lang w:val="en-US" w:eastAsia="en-US" w:bidi="ar-SA"/>
              </w:rPr>
              <w:t xml:space="preserve"> </w:t>
            </w:r>
            <w:hyperlink r:id="rId35" w:history="1">
              <w:r>
                <w:rPr>
                  <w:rFonts w:ascii="arial" w:eastAsia="arial" w:hAnsi="arial" w:cs="arial"/>
                  <w:i/>
                  <w:color w:val="0077CC"/>
                  <w:sz w:val="20"/>
                  <w:u w:val="single"/>
                  <w:lang w:val="en-US" w:eastAsia="en-US" w:bidi="ar-SA"/>
                </w:rPr>
                <w:t>Allnutt v. State, 59 Md. App. 694, 703, 478 A.2d 321, 325</w:t>
              </w:r>
            </w:hyperlink>
            <w:r>
              <w:rPr>
                <w:rFonts w:ascii="arial" w:eastAsia="arial" w:hAnsi="arial" w:cs="arial"/>
                <w:color w:val="000000"/>
                <w:sz w:val="20"/>
                <w:lang w:val="en-US" w:eastAsia="en-US" w:bidi="ar-SA"/>
              </w:rPr>
              <w:t xml:space="preserve"> ("Instances of dispute of the law of the crime are an endangered species rapidly approaching extinction."), </w:t>
            </w:r>
            <w:r>
              <w:rPr>
                <w:rFonts w:ascii="arial" w:eastAsia="arial" w:hAnsi="arial" w:cs="arial"/>
                <w:i/>
                <w:color w:val="000000"/>
                <w:sz w:val="20"/>
                <w:lang w:val="en-US" w:eastAsia="en-US" w:bidi="ar-SA"/>
              </w:rPr>
              <w:t>cert. denied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301 Md. 639, 484 A.2d 274 (1984).</w:t>
            </w:r>
            <w:r>
              <w:rPr>
                <w:rFonts w:ascii="arial" w:eastAsia="arial" w:hAnsi="arial" w:cs="arial"/>
                <w:color w:val="000000"/>
                <w:sz w:val="20"/>
                <w:lang w:val="en-US" w:eastAsia="en-US" w:bidi="ar-SA"/>
              </w:rPr>
              <w:t xml:space="preserve"> Counsel may argue the law to the jury only when this exception is applicable. MD. RULE 4-325(f); </w:t>
            </w:r>
            <w:hyperlink r:id="rId36" w:history="1">
              <w:r>
                <w:rPr>
                  <w:rFonts w:ascii="arial" w:eastAsia="arial" w:hAnsi="arial" w:cs="arial"/>
                  <w:i/>
                  <w:color w:val="0077CC"/>
                  <w:sz w:val="20"/>
                  <w:u w:val="single"/>
                  <w:lang w:val="en-US" w:eastAsia="en-US" w:bidi="ar-SA"/>
                </w:rPr>
                <w:t>White v. State, 66 Md. App. 100, 118, 502 A.2d 1084, 1093 (1986)</w:t>
              </w:r>
            </w:hyperlink>
            <w:r>
              <w:rPr>
                <w:rFonts w:ascii="arial" w:eastAsia="arial" w:hAnsi="arial" w:cs="arial"/>
                <w:color w:val="000000"/>
                <w:sz w:val="20"/>
                <w:lang w:val="en-US" w:eastAsia="en-US" w:bidi="ar-SA"/>
              </w:rPr>
              <w:t xml:space="preserve"> (counsel may not read the law to the jury if there is no well-founded dispute as to the law of the crime). Although the prosecutor should not "instruct" the jury on the undisputed law of the crime, a correct "instruction" will almost certainly be harmless error. </w:t>
            </w:r>
            <w:hyperlink r:id="rId37" w:history="1">
              <w:r>
                <w:rPr>
                  <w:rFonts w:ascii="arial" w:eastAsia="arial" w:hAnsi="arial" w:cs="arial"/>
                  <w:i/>
                  <w:color w:val="0077CC"/>
                  <w:sz w:val="20"/>
                  <w:u w:val="single"/>
                  <w:lang w:val="en-US" w:eastAsia="en-US" w:bidi="ar-SA"/>
                </w:rPr>
                <w:t>Miles v. State, 88 Md. App. 360, 388, 594 A.2d 1208, 1222,</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cert. denied</w:t>
            </w:r>
            <w:r>
              <w:rPr>
                <w:rFonts w:ascii="arial" w:eastAsia="arial" w:hAnsi="arial" w:cs="arial"/>
                <w:color w:val="000000"/>
                <w:sz w:val="20"/>
                <w:lang w:val="en-US" w:eastAsia="en-US" w:bidi="ar-SA"/>
              </w:rPr>
              <w:t xml:space="preserve">, </w:t>
            </w:r>
            <w:hyperlink r:id="rId38" w:history="1">
              <w:r>
                <w:rPr>
                  <w:rFonts w:ascii="arial" w:eastAsia="arial" w:hAnsi="arial" w:cs="arial"/>
                  <w:i/>
                  <w:color w:val="0077CC"/>
                  <w:sz w:val="20"/>
                  <w:u w:val="single"/>
                  <w:lang w:val="en-US" w:eastAsia="en-US" w:bidi="ar-SA"/>
                </w:rPr>
                <w:t>325 Md. 94, 599 A.2d 447 (1991).</w:t>
              </w:r>
            </w:hyperlink>
          </w:p>
          <w:p>
            <w:pPr>
              <w:spacing w:before="200" w:line="260" w:lineRule="atLeast"/>
              <w:ind w:left="60" w:right="360"/>
              <w:jc w:val="both"/>
              <w:rPr>
                <w:lang w:val="en-US" w:eastAsia="en-US" w:bidi="ar-SA"/>
              </w:rPr>
            </w:pPr>
            <w:r>
              <w:rPr>
                <w:rFonts w:ascii="arial" w:eastAsia="arial" w:hAnsi="arial" w:cs="arial"/>
                <w:color w:val="000000"/>
                <w:sz w:val="20"/>
                <w:lang w:val="en-US" w:eastAsia="en-US" w:bidi="ar-SA"/>
              </w:rPr>
              <w:t xml:space="preserve">In </w:t>
            </w:r>
            <w:hyperlink r:id="rId39" w:history="1">
              <w:r>
                <w:rPr>
                  <w:rFonts w:ascii="arial" w:eastAsia="arial" w:hAnsi="arial" w:cs="arial"/>
                  <w:i/>
                  <w:color w:val="0077CC"/>
                  <w:sz w:val="20"/>
                  <w:u w:val="single"/>
                  <w:lang w:val="en-US" w:eastAsia="en-US" w:bidi="ar-SA"/>
                </w:rPr>
                <w:t>Atkins v. State, 421 Md. 434, 26 A.3d 979 (2011),</w:t>
              </w:r>
            </w:hyperlink>
            <w:r>
              <w:rPr>
                <w:rFonts w:ascii="arial" w:eastAsia="arial" w:hAnsi="arial" w:cs="arial"/>
                <w:color w:val="000000"/>
                <w:sz w:val="20"/>
                <w:lang w:val="en-US" w:eastAsia="en-US" w:bidi="ar-SA"/>
              </w:rPr>
              <w:t xml:space="preserve"> the Court held unconstitutional a "CSI instruction" in part because, under the facts of the case, it "constituted commentary on the weight of the evidence" and thus "invaded the province of the jury." </w:t>
            </w:r>
            <w:hyperlink r:id="rId39" w:history="1">
              <w:r>
                <w:rPr>
                  <w:rFonts w:ascii="arial" w:eastAsia="arial" w:hAnsi="arial" w:cs="arial"/>
                  <w:i/>
                  <w:color w:val="0077CC"/>
                  <w:sz w:val="20"/>
                  <w:u w:val="single"/>
                  <w:lang w:val="en-US" w:eastAsia="en-US" w:bidi="ar-SA"/>
                </w:rPr>
                <w:t>Id. at 453, 455, 26 A.3d at 989, 990.</w:t>
              </w:r>
            </w:hyperlink>
            <w:r>
              <w:rPr>
                <w:rFonts w:ascii="arial" w:eastAsia="arial" w:hAnsi="arial" w:cs="arial"/>
                <w:color w:val="000000"/>
                <w:sz w:val="20"/>
                <w:lang w:val="en-US" w:eastAsia="en-US" w:bidi="ar-SA"/>
              </w:rPr>
              <w:t xml:space="preserve"> The instruction also, "in effect, relieved the State of its burden to prove guilt beyond a reasonable doubt." </w:t>
            </w:r>
            <w:hyperlink r:id="rId39" w:history="1">
              <w:r>
                <w:rPr>
                  <w:rFonts w:ascii="arial" w:eastAsia="arial" w:hAnsi="arial" w:cs="arial"/>
                  <w:i/>
                  <w:color w:val="0077CC"/>
                  <w:sz w:val="20"/>
                  <w:u w:val="single"/>
                  <w:lang w:val="en-US" w:eastAsia="en-US" w:bidi="ar-SA"/>
                </w:rPr>
                <w:t>Id. at 437, 26 A.3d at 980.</w:t>
              </w:r>
            </w:hyperlink>
            <w:r>
              <w:rPr>
                <w:rFonts w:ascii="arial" w:eastAsia="arial" w:hAnsi="arial" w:cs="arial"/>
                <w:color w:val="000000"/>
                <w:sz w:val="20"/>
                <w:lang w:val="en-US" w:eastAsia="en-US" w:bidi="ar-SA"/>
              </w:rPr>
              <w:t xml:space="preserve"> The trial court instructed the jury that "there is no legal requirement that the State utilize any specific investigative technique or scientific test to prove its case." </w:t>
            </w:r>
            <w:hyperlink r:id="rId39" w:history="1">
              <w:r>
                <w:rPr>
                  <w:rFonts w:ascii="arial" w:eastAsia="arial" w:hAnsi="arial" w:cs="arial"/>
                  <w:i/>
                  <w:color w:val="0077CC"/>
                  <w:sz w:val="20"/>
                  <w:u w:val="single"/>
                  <w:lang w:val="en-US" w:eastAsia="en-US" w:bidi="ar-SA"/>
                </w:rPr>
                <w:t>Id. at 456, 26 A.3d at 991.</w:t>
              </w:r>
            </w:hyperlink>
            <w:r>
              <w:rPr>
                <w:rFonts w:ascii="arial" w:eastAsia="arial" w:hAnsi="arial" w:cs="arial"/>
                <w:color w:val="000000"/>
                <w:sz w:val="20"/>
                <w:lang w:val="en-US" w:eastAsia="en-US" w:bidi="ar-SA"/>
              </w:rPr>
              <w:t xml:space="preserve"> The Court cautioned that it did "not hold that an investigative techniques instruction would never be proper," </w:t>
            </w:r>
            <w:hyperlink r:id="rId39" w:history="1">
              <w:r>
                <w:rPr>
                  <w:rFonts w:ascii="arial" w:eastAsia="arial" w:hAnsi="arial" w:cs="arial"/>
                  <w:i/>
                  <w:color w:val="0077CC"/>
                  <w:sz w:val="20"/>
                  <w:u w:val="single"/>
                  <w:lang w:val="en-US" w:eastAsia="en-US" w:bidi="ar-SA"/>
                </w:rPr>
                <w:t>id. at 454, 26 A.3d at 990,</w:t>
              </w:r>
            </w:hyperlink>
            <w:r>
              <w:rPr>
                <w:rFonts w:ascii="arial" w:eastAsia="arial" w:hAnsi="arial" w:cs="arial"/>
                <w:color w:val="000000"/>
                <w:sz w:val="20"/>
                <w:lang w:val="en-US" w:eastAsia="en-US" w:bidi="ar-SA"/>
              </w:rPr>
              <w:t xml:space="preserve"> but said "[t]he better practice … is for a trial judge to refrain from commenting on inferences to be drawn by the jury." It added that "it would be proper to tell the jury that the State may prove its case by whatever means it chooses," but should avoid "commenting in the negative, i.e., what the State does </w:t>
            </w:r>
            <w:r>
              <w:rPr>
                <w:rFonts w:ascii="arial" w:eastAsia="arial" w:hAnsi="arial" w:cs="arial"/>
                <w:i/>
                <w:color w:val="000000"/>
                <w:sz w:val="20"/>
                <w:lang w:val="en-US" w:eastAsia="en-US" w:bidi="ar-SA"/>
              </w:rPr>
              <w:t>not</w:t>
            </w:r>
            <w:r>
              <w:rPr>
                <w:rFonts w:ascii="arial" w:eastAsia="arial" w:hAnsi="arial" w:cs="arial"/>
                <w:color w:val="000000"/>
                <w:sz w:val="20"/>
                <w:lang w:val="en-US" w:eastAsia="en-US" w:bidi="ar-SA"/>
              </w:rPr>
              <w:t xml:space="preserve"> have to do." </w:t>
            </w:r>
            <w:hyperlink r:id="rId39" w:history="1">
              <w:r>
                <w:rPr>
                  <w:rFonts w:ascii="arial" w:eastAsia="arial" w:hAnsi="arial" w:cs="arial"/>
                  <w:i/>
                  <w:color w:val="0077CC"/>
                  <w:sz w:val="20"/>
                  <w:u w:val="single"/>
                  <w:lang w:val="en-US" w:eastAsia="en-US" w:bidi="ar-SA"/>
                </w:rPr>
                <w:t>Id. at 455 n.8, 26 A.3d at 991 n.8</w:t>
              </w:r>
            </w:hyperlink>
            <w:r>
              <w:rPr>
                <w:rFonts w:ascii="arial" w:eastAsia="arial" w:hAnsi="arial" w:cs="arial"/>
                <w:color w:val="000000"/>
                <w:sz w:val="20"/>
                <w:lang w:val="en-US" w:eastAsia="en-US" w:bidi="ar-SA"/>
              </w:rPr>
              <w:t xml:space="preserve"> (emphasis in original). See more complete discussion of </w:t>
            </w:r>
            <w:r>
              <w:rPr>
                <w:rFonts w:ascii="arial" w:eastAsia="arial" w:hAnsi="arial" w:cs="arial"/>
                <w:i/>
                <w:color w:val="000000"/>
                <w:sz w:val="20"/>
                <w:lang w:val="en-US" w:eastAsia="en-US" w:bidi="ar-SA"/>
              </w:rPr>
              <w:t>Atkins</w:t>
            </w:r>
            <w:r>
              <w:rPr>
                <w:rFonts w:ascii="arial" w:eastAsia="arial" w:hAnsi="arial" w:cs="arial"/>
                <w:color w:val="000000"/>
                <w:sz w:val="20"/>
                <w:lang w:val="en-US" w:eastAsia="en-US" w:bidi="ar-SA"/>
              </w:rPr>
              <w:t xml:space="preserve"> in Comment to MPJI-Cr 2:02.</w:t>
            </w:r>
          </w:p>
          <w:p>
            <w:pPr>
              <w:spacing w:after="120"/>
              <w:rPr>
                <w:lang w:val="en-US" w:eastAsia="en-US" w:bidi="ar-SA"/>
              </w:rPr>
            </w:pPr>
          </w:p>
        </w:tc>
      </w:tr>
    </w:tbl>
    <w:p>
      <w:pPr>
        <w:spacing w:before="60" w:line="260" w:lineRule="atLeast"/>
        <w:ind w:left="720"/>
        <w:jc w:val="both"/>
        <w:rPr>
          <w:lang w:val="en-US" w:eastAsia="en-US" w:bidi="ar-SA"/>
        </w:rPr>
      </w:pPr>
      <w:r>
        <w:rPr>
          <w:rFonts w:ascii="arial" w:eastAsia="arial" w:hAnsi="arial" w:cs="arial"/>
          <w:color w:val="000000"/>
          <w:sz w:val="20"/>
          <w:lang w:val="en-US" w:eastAsia="en-US" w:bidi="ar-SA"/>
        </w:rPr>
        <w:t>#MICPEL#</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Reference</w:t>
      </w:r>
    </w:p>
    <w:p>
      <w:pPr>
        <w:spacing w:line="60" w:lineRule="exact"/>
        <w:rPr>
          <w:lang w:val="en-US" w:eastAsia="en-US" w:bidi="ar-SA"/>
        </w:rPr>
      </w:pPr>
      <w:r>
        <w:pict>
          <v:line id="_x0000_s1028" style="position:absolute;z-index:251664384" from="0,2pt" to="512pt,2pt" strokecolor="#009ddb" strokeweight="2pt">
            <v:stroke linestyle="single"/>
            <w10:wrap type="topAndBottom"/>
          </v:line>
        </w:pict>
      </w:r>
    </w:p>
    <w:p>
      <w:pPr>
        <w:spacing w:line="120" w:lineRule="exact"/>
        <w:rPr>
          <w:lang w:val="en-US" w:eastAsia="en-US" w:bidi="ar-SA"/>
        </w:rPr>
      </w:pPr>
    </w:p>
    <w:p>
      <w:pPr>
        <w:spacing w:before="120" w:line="260" w:lineRule="atLeast"/>
        <w:rPr>
          <w:lang w:val="en-US" w:eastAsia="en-US" w:bidi="ar-SA"/>
        </w:rPr>
      </w:pPr>
      <w:r>
        <w:rPr>
          <w:rFonts w:ascii="arial" w:eastAsia="arial" w:hAnsi="arial" w:cs="arial"/>
          <w:color w:val="000000"/>
          <w:sz w:val="20"/>
          <w:lang w:val="en-US" w:eastAsia="en-US" w:bidi="ar-SA"/>
        </w:rPr>
        <w:t>MPJI-Cr 3:10.MPJI-Cr 3:10.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Source:</w:t>
      </w:r>
      <w:r>
        <w:rPr>
          <w:rFonts w:ascii="arial" w:eastAsia="arial" w:hAnsi="arial" w:cs="arial"/>
          <w:color w:val="000000"/>
          <w:sz w:val="20"/>
          <w:lang w:val="en-US" w:eastAsia="en-US" w:bidi="ar-SA"/>
        </w:rPr>
        <w:t> MICPEL</w:t>
      </w:r>
    </w:p>
    <w:p>
      <w:pPr>
        <w:spacing w:before="240" w:line="220" w:lineRule="atLeast"/>
        <w:rPr>
          <w:lang w:val="en-US" w:eastAsia="en-US" w:bidi="ar-SA"/>
        </w:rPr>
      </w:pPr>
      <w:r>
        <w:rPr>
          <w:rFonts w:ascii="arial" w:eastAsia="arial" w:hAnsi="arial" w:cs="arial"/>
          <w:color w:val="000000"/>
          <w:sz w:val="16"/>
          <w:lang w:val="en-US" w:eastAsia="en-US" w:bidi="ar-SA"/>
        </w:rPr>
        <w:t>Maryland Criminal Pattern Jury Instructions</w:t>
      </w:r>
    </w:p>
    <w:p>
      <w:pPr>
        <w:spacing w:line="220" w:lineRule="atLeast"/>
        <w:rPr>
          <w:lang w:val="en-US" w:eastAsia="en-US" w:bidi="ar-SA"/>
        </w:rPr>
      </w:pPr>
      <w:r>
        <w:rPr>
          <w:rFonts w:ascii="arial" w:eastAsia="arial" w:hAnsi="arial" w:cs="arial"/>
          <w:color w:val="000000"/>
          <w:sz w:val="16"/>
          <w:lang w:val="en-US" w:eastAsia="en-US" w:bidi="ar-SA"/>
        </w:rPr>
        <w:t>Copyright 2018 by The Maryland State Bar Association, Inc.</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29" style="position:absolute;z-index:2516705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0"/>
          <w:headerReference w:type="default" r:id="rId41"/>
          <w:footerReference w:type="even" r:id="rId42"/>
          <w:footerReference w:type="default" r:id="rId43"/>
          <w:headerReference w:type="first" r:id="rId44"/>
          <w:footerReference w:type="first" r:id="rId45"/>
          <w:type w:val="nextPage"/>
          <w:pgSz w:w="12240" w:h="15840"/>
          <w:pgMar w:top="840" w:right="1000" w:bottom="840" w:left="1000" w:header="400" w:footer="400"/>
          <w:pgNumType w:fmt="decimal"/>
          <w:cols w:space="720"/>
          <w:titlePg/>
        </w:sectPr>
      </w:pPr>
    </w:p>
    <w:p>
      <w:pPr>
        <w:rPr>
          <w:lang w:val="en-US" w:eastAsia="en-US" w:bidi="ar-SA"/>
        </w:rPr>
      </w:pPr>
      <w:bookmarkStart w:id="1" w:name="Bookmark_2"/>
      <w:bookmarkEnd w:id="1"/>
    </w:p>
    <w:p>
      <w:pPr>
        <w:rPr>
          <w:lang w:val="en-US" w:eastAsia="en-US" w:bidi="ar-SA"/>
        </w:rPr>
      </w:pPr>
      <w:r>
        <w:pict>
          <v:shape id="_x0000_i1030" type="#_x0000_t75" alt="LexisNexis®" style="width:147.77pt;height:30pt">
            <v:imagedata r:id="rId4" o:title=""/>
          </v:shape>
        </w:pict>
      </w:r>
      <w:r>
        <w:rPr>
          <w:lang w:val="en-US" w:eastAsia="en-US" w:bidi="ar-SA"/>
        </w:rPr>
        <w:cr/>
      </w:r>
    </w:p>
    <w:p>
      <w:pPr>
        <w:spacing w:before="240" w:after="200" w:line="340" w:lineRule="atLeast"/>
        <w:jc w:val="center"/>
        <w:outlineLvl w:val="0"/>
        <w:rPr>
          <w:rFonts w:ascii="Arial" w:hAnsi="Arial" w:cs="Arial"/>
          <w:b/>
          <w:bCs/>
          <w:kern w:val="32"/>
          <w:sz w:val="32"/>
          <w:szCs w:val="32"/>
          <w:lang w:val="en-US" w:eastAsia="en-US" w:bidi="ar-SA"/>
        </w:rPr>
      </w:pPr>
      <w:hyperlink r:id="rId46" w:history="1">
        <w:r>
          <w:rPr>
            <w:rFonts w:ascii="arial" w:eastAsia="arial" w:hAnsi="arial" w:cs="arial"/>
            <w:b/>
            <w:bCs/>
            <w:i/>
            <w:color w:val="0077CC"/>
            <w:kern w:val="32"/>
            <w:sz w:val="28"/>
            <w:szCs w:val="32"/>
            <w:u w:val="single"/>
            <w:lang w:val="en-US" w:eastAsia="en-US" w:bidi="ar-SA"/>
          </w:rPr>
          <w:t>MPJI-Cr 2:01</w:t>
        </w:r>
      </w:hyperlink>
    </w:p>
    <w:p>
      <w:pPr>
        <w:spacing w:line="240" w:lineRule="atLeast"/>
        <w:jc w:val="both"/>
        <w:rPr>
          <w:lang w:val="en-US" w:eastAsia="en-US" w:bidi="ar-SA"/>
        </w:rPr>
      </w:pPr>
    </w:p>
    <w:p>
      <w:pPr>
        <w:spacing w:before="200" w:line="280" w:lineRule="atLeast"/>
        <w:rPr>
          <w:lang w:val="en-US" w:eastAsia="en-US" w:bidi="ar-SA"/>
        </w:rPr>
      </w:pPr>
      <w:r>
        <w:rPr>
          <w:rFonts w:ascii="arial" w:eastAsia="arial" w:hAnsi="arial" w:cs="arial"/>
          <w:b/>
          <w:i/>
          <w:color w:val="000000"/>
          <w:sz w:val="22"/>
          <w:lang w:val="en-US" w:eastAsia="en-US" w:bidi="ar-SA"/>
        </w:rPr>
        <w:t>Maryland Criminal Pattern Jury Instructions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CHAPTER 2 GENERAL INSTRUCTIONS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JURY'S DUTY TO DELIBERATE</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2:01Jury's Duty to Deliberate</w:t>
      </w:r>
    </w:p>
    <w:p>
      <w:pPr>
        <w:spacing w:line="60" w:lineRule="exact"/>
        <w:rPr>
          <w:lang w:val="en-US" w:eastAsia="en-US" w:bidi="ar-SA"/>
        </w:rPr>
      </w:pPr>
      <w:r>
        <w:pict>
          <v:line id="_x0000_s1031" style="position:absolute;z-index:25165926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color w:val="000000"/>
          <w:sz w:val="20"/>
          <w:lang w:val="en-US" w:eastAsia="en-US" w:bidi="ar-SA"/>
        </w:rPr>
        <w:t>The verdict must be the considered judgment of each of you. In order to reach a verdict, all of you must agree. In other words, your verdict must be unanimous. You must consult with one another and deliberate with a view to reaching an agreement, if you can do so without violence to your individual judgment. Each of you must decide the case for yourself, but do so only after an impartial consideration of the evidence with your fellow jurors. During deliberations, do not hesitate to reexamine your own views. You should change your opinion if convinced you are wrong, but do not surrender your honest belief as to the weight or effect of the evidence only because of the opinion of your fellow jurors or for the mere purpose of reaching a verdict</w:t>
      </w:r>
      <w:r>
        <w:rPr>
          <w:rFonts w:ascii="arial" w:eastAsia="arial" w:hAnsi="arial" w:cs="arial"/>
          <w:color w:val="000000"/>
          <w:sz w:val="20"/>
          <w:lang w:val="en-US" w:eastAsia="en-US" w:bidi="ar-SA"/>
        </w:rPr>
        <w:t>.</w:t>
      </w:r>
    </w:p>
    <w:p>
      <w:pPr>
        <w:rPr>
          <w:lang w:val="en-US" w:eastAsia="en-US" w:bidi="ar-SA"/>
        </w:rPr>
      </w:pPr>
    </w:p>
    <w:tbl>
      <w:tblPr>
        <w:tblStyle w:val="TableNormal"/>
        <w:tblW w:w="0" w:type="auto"/>
        <w:tblInd w:w="0" w:type="dxa"/>
        <w:tblBorders>
          <w:top w:val="single" w:sz="8" w:space="0" w:color="BCBEC0"/>
          <w:left w:val="single" w:sz="8" w:space="0" w:color="BCBEC0"/>
          <w:bottom w:val="single" w:sz="8" w:space="0" w:color="BCBEC0"/>
          <w:right w:val="single" w:sz="8" w:space="0" w:color="BCBEC0"/>
          <w:insideH w:val="single" w:sz="8" w:space="0" w:color="BCBEC0"/>
          <w:insideV w:val="single" w:sz="8" w:space="0" w:color="BCBEC0"/>
        </w:tblBorders>
        <w:tblLayout w:type="fixed"/>
        <w:tblCellMar>
          <w:left w:w="108" w:type="dxa"/>
          <w:right w:w="108" w:type="dxa"/>
        </w:tblCellMar>
      </w:tblPr>
      <w:tblGrid>
        <w:gridCol w:w="10240"/>
      </w:tblGrid>
      <w:tr>
        <w:tblPrEx>
          <w:tblW w:w="0" w:type="auto"/>
          <w:tblInd w:w="0" w:type="dxa"/>
          <w:tblBorders>
            <w:top w:val="single" w:sz="8" w:space="0" w:color="BCBEC0"/>
            <w:left w:val="single" w:sz="8" w:space="0" w:color="BCBEC0"/>
            <w:bottom w:val="single" w:sz="8" w:space="0" w:color="BCBEC0"/>
            <w:right w:val="single" w:sz="8" w:space="0" w:color="BCBEC0"/>
            <w:insideH w:val="single" w:sz="8" w:space="0" w:color="BCBEC0"/>
            <w:insideV w:val="single" w:sz="8" w:space="0" w:color="BCBEC0"/>
          </w:tblBorders>
          <w:tblLayout w:type="fixed"/>
          <w:tblCellMar>
            <w:left w:w="108" w:type="dxa"/>
            <w:right w:w="108" w:type="dxa"/>
          </w:tblCellMar>
        </w:tblPrEx>
        <w:tc>
          <w:tcPr>
            <w:tcW w:w="10240" w:type="dxa"/>
            <w:vAlign w:val="center"/>
          </w:tcPr>
          <w:p>
            <w:pPr>
              <w:spacing w:before="240" w:line="260" w:lineRule="atLeast"/>
              <w:ind w:left="60" w:right="360"/>
              <w:rPr>
                <w:lang w:val="en-US" w:eastAsia="en-US" w:bidi="ar-SA"/>
              </w:rPr>
            </w:pPr>
            <w:r>
              <w:rPr>
                <w:rFonts w:ascii="arial" w:eastAsia="arial" w:hAnsi="arial" w:cs="arial"/>
                <w:b/>
                <w:color w:val="000000"/>
                <w:sz w:val="20"/>
                <w:lang w:val="en-US" w:eastAsia="en-US" w:bidi="ar-SA"/>
              </w:rPr>
              <w:t> </w:t>
            </w:r>
          </w:p>
          <w:p>
            <w:pPr>
              <w:spacing w:before="200" w:line="260" w:lineRule="atLeast"/>
              <w:ind w:left="60" w:right="360"/>
              <w:jc w:val="both"/>
              <w:rPr>
                <w:lang w:val="en-US" w:eastAsia="en-US" w:bidi="ar-SA"/>
              </w:rPr>
            </w:pPr>
            <w:r>
              <w:rPr>
                <w:rFonts w:ascii="arial" w:eastAsia="arial" w:hAnsi="arial" w:cs="arial"/>
                <w:color w:val="000000"/>
                <w:sz w:val="20"/>
                <w:lang w:val="en-US" w:eastAsia="en-US" w:bidi="ar-SA"/>
              </w:rPr>
              <w:t>COMMENT</w:t>
            </w:r>
          </w:p>
          <w:p>
            <w:pPr>
              <w:spacing w:before="240" w:line="260" w:lineRule="atLeast"/>
              <w:ind w:left="60" w:right="360"/>
              <w:jc w:val="both"/>
              <w:rPr>
                <w:lang w:val="en-US" w:eastAsia="en-US" w:bidi="ar-SA"/>
              </w:rPr>
            </w:pPr>
            <w:r>
              <w:rPr>
                <w:rFonts w:ascii="arial" w:eastAsia="arial" w:hAnsi="arial" w:cs="arial"/>
                <w:color w:val="000000"/>
                <w:sz w:val="20"/>
                <w:lang w:val="en-US" w:eastAsia="en-US" w:bidi="ar-SA"/>
              </w:rPr>
              <w:t xml:space="preserve">Maryland law requires that "the burden of proof operate with respect to each juror individually." </w:t>
            </w:r>
            <w:hyperlink r:id="rId47" w:history="1">
              <w:r>
                <w:rPr>
                  <w:rFonts w:ascii="arial" w:eastAsia="arial" w:hAnsi="arial" w:cs="arial"/>
                  <w:i/>
                  <w:color w:val="0077CC"/>
                  <w:sz w:val="20"/>
                  <w:u w:val="single"/>
                  <w:lang w:val="en-US" w:eastAsia="en-US" w:bidi="ar-SA"/>
                </w:rPr>
                <w:t>Mills v. State, 310 Md. 33, 60, 527 A.2d 3, 15 (1987),</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vacated on other grounds</w:t>
            </w:r>
            <w:r>
              <w:rPr>
                <w:rFonts w:ascii="arial" w:eastAsia="arial" w:hAnsi="arial" w:cs="arial"/>
                <w:color w:val="000000"/>
                <w:sz w:val="20"/>
                <w:lang w:val="en-US" w:eastAsia="en-US" w:bidi="ar-SA"/>
              </w:rPr>
              <w:t xml:space="preserve">, </w:t>
            </w:r>
            <w:hyperlink r:id="rId48" w:history="1">
              <w:r>
                <w:rPr>
                  <w:rFonts w:ascii="arial" w:eastAsia="arial" w:hAnsi="arial" w:cs="arial"/>
                  <w:i/>
                  <w:color w:val="0077CC"/>
                  <w:sz w:val="20"/>
                  <w:u w:val="single"/>
                  <w:lang w:val="en-US" w:eastAsia="en-US" w:bidi="ar-SA"/>
                </w:rPr>
                <w:t>486 U.S. 367 (1988).</w:t>
              </w:r>
            </w:hyperlink>
            <w:r>
              <w:rPr>
                <w:rFonts w:ascii="arial" w:eastAsia="arial" w:hAnsi="arial" w:cs="arial"/>
                <w:color w:val="000000"/>
                <w:sz w:val="20"/>
                <w:lang w:val="en-US" w:eastAsia="en-US" w:bidi="ar-SA"/>
              </w:rPr>
              <w:t xml:space="preserve"> Moreover, the failure to reach a unanimous verdict on all issues, at the guilt/innocence phase of a criminal trial, results in a hung jury, but does not result in a verdict against the party with the burden of persuasion. </w:t>
            </w:r>
            <w:hyperlink r:id="rId47" w:history="1">
              <w:r>
                <w:rPr>
                  <w:rFonts w:ascii="arial" w:eastAsia="arial" w:hAnsi="arial" w:cs="arial"/>
                  <w:i/>
                  <w:color w:val="0077CC"/>
                  <w:sz w:val="20"/>
                  <w:u w:val="single"/>
                  <w:lang w:val="en-US" w:eastAsia="en-US" w:bidi="ar-SA"/>
                </w:rPr>
                <w:t>Id. at 49-68, 527 A.2d at 10-20.</w:t>
              </w:r>
            </w:hyperlink>
            <w:r>
              <w:rPr>
                <w:rFonts w:ascii="arial" w:eastAsia="arial" w:hAnsi="arial" w:cs="arial"/>
                <w:color w:val="000000"/>
                <w:sz w:val="20"/>
                <w:lang w:val="en-US" w:eastAsia="en-US" w:bidi="ar-SA"/>
              </w:rPr>
              <w:t xml:space="preserve"> As a general rule, a jury should not be told about the consequences of its verdict. Instead, the jury should be focused on the issue before it--the guilt or innocence of the defendant--and not with what happens as a result of its decision. </w:t>
            </w:r>
            <w:hyperlink r:id="rId49" w:history="1">
              <w:r>
                <w:rPr>
                  <w:rFonts w:ascii="arial" w:eastAsia="arial" w:hAnsi="arial" w:cs="arial"/>
                  <w:i/>
                  <w:color w:val="0077CC"/>
                  <w:sz w:val="20"/>
                  <w:u w:val="single"/>
                  <w:lang w:val="en-US" w:eastAsia="en-US" w:bidi="ar-SA"/>
                </w:rPr>
                <w:t>Sidbury v. State, 414 Md. 180, 994 A.2d 948 (2000);</w:t>
              </w:r>
            </w:hyperlink>
            <w:r>
              <w:rPr>
                <w:rFonts w:ascii="arial" w:eastAsia="arial" w:hAnsi="arial" w:cs="arial"/>
                <w:color w:val="000000"/>
                <w:sz w:val="20"/>
                <w:lang w:val="en-US" w:eastAsia="en-US" w:bidi="ar-SA"/>
              </w:rPr>
              <w:t xml:space="preserve"> </w:t>
            </w:r>
            <w:hyperlink r:id="rId50" w:history="1">
              <w:r>
                <w:rPr>
                  <w:rFonts w:ascii="arial" w:eastAsia="arial" w:hAnsi="arial" w:cs="arial"/>
                  <w:i/>
                  <w:color w:val="0077CC"/>
                  <w:sz w:val="20"/>
                  <w:u w:val="single"/>
                  <w:lang w:val="en-US" w:eastAsia="en-US" w:bidi="ar-SA"/>
                </w:rPr>
                <w:t>Mitchell v. State, 338 Md. 536, 540, 659 A.2d 1282, 1284 (1995);</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 xml:space="preserve">cf. </w:t>
            </w:r>
            <w:hyperlink r:id="rId51" w:history="1">
              <w:r>
                <w:rPr>
                  <w:rFonts w:ascii="arial" w:eastAsia="arial" w:hAnsi="arial" w:cs="arial"/>
                  <w:i/>
                  <w:color w:val="0077CC"/>
                  <w:sz w:val="20"/>
                  <w:u w:val="single"/>
                  <w:lang w:val="en-US" w:eastAsia="en-US" w:bidi="ar-SA"/>
                </w:rPr>
                <w:t>Chambers v. State, 337 Md. 44, 650 A.2d 727 (1994).</w:t>
              </w:r>
            </w:hyperlink>
          </w:p>
          <w:p>
            <w:pPr>
              <w:spacing w:before="200" w:line="260" w:lineRule="atLeast"/>
              <w:ind w:left="60" w:right="360"/>
              <w:jc w:val="both"/>
              <w:rPr>
                <w:lang w:val="en-US" w:eastAsia="en-US" w:bidi="ar-SA"/>
              </w:rPr>
            </w:pPr>
            <w:r>
              <w:rPr>
                <w:rFonts w:ascii="arial" w:eastAsia="arial" w:hAnsi="arial" w:cs="arial"/>
                <w:color w:val="000000"/>
                <w:sz w:val="20"/>
                <w:lang w:val="en-US" w:eastAsia="en-US" w:bidi="ar-SA"/>
              </w:rPr>
              <w:t xml:space="preserve">In </w:t>
            </w:r>
            <w:hyperlink r:id="rId52" w:history="1">
              <w:r>
                <w:rPr>
                  <w:rFonts w:ascii="arial" w:eastAsia="arial" w:hAnsi="arial" w:cs="arial"/>
                  <w:i/>
                  <w:color w:val="0077CC"/>
                  <w:sz w:val="20"/>
                  <w:u w:val="single"/>
                  <w:lang w:val="en-US" w:eastAsia="en-US" w:bidi="ar-SA"/>
                </w:rPr>
                <w:t>Kelly v. State, 270 Md. 139, 310 A.2d 538 (1973),</w:t>
              </w:r>
            </w:hyperlink>
            <w:r>
              <w:rPr>
                <w:rFonts w:ascii="arial" w:eastAsia="arial" w:hAnsi="arial" w:cs="arial"/>
                <w:color w:val="000000"/>
                <w:sz w:val="20"/>
                <w:lang w:val="en-US" w:eastAsia="en-US" w:bidi="ar-SA"/>
              </w:rPr>
              <w:t xml:space="preserve"> Maryland approved the ABA instruction that was designed to eliminate the potential jury coercion created by the instruction approved in </w:t>
            </w:r>
            <w:hyperlink r:id="rId53" w:history="1">
              <w:r>
                <w:rPr>
                  <w:rFonts w:ascii="arial" w:eastAsia="arial" w:hAnsi="arial" w:cs="arial"/>
                  <w:i/>
                  <w:color w:val="0077CC"/>
                  <w:sz w:val="20"/>
                  <w:u w:val="single"/>
                  <w:lang w:val="en-US" w:eastAsia="en-US" w:bidi="ar-SA"/>
                </w:rPr>
                <w:t>Allen v. United States, 164 U.S. 492 (1896).</w:t>
              </w:r>
            </w:hyperlink>
            <w:r>
              <w:rPr>
                <w:rFonts w:ascii="arial" w:eastAsia="arial" w:hAnsi="arial" w:cs="arial"/>
                <w:color w:val="000000"/>
                <w:sz w:val="20"/>
                <w:lang w:val="en-US" w:eastAsia="en-US" w:bidi="ar-SA"/>
              </w:rPr>
              <w:t xml:space="preserve"> This instruction contains only stylistic changes to the ABA instruction approved in </w:t>
            </w:r>
            <w:hyperlink r:id="rId52" w:history="1">
              <w:r>
                <w:rPr>
                  <w:rFonts w:ascii="arial" w:eastAsia="arial" w:hAnsi="arial" w:cs="arial"/>
                  <w:i/>
                  <w:color w:val="0077CC"/>
                  <w:sz w:val="20"/>
                  <w:u w:val="single"/>
                  <w:lang w:val="en-US" w:eastAsia="en-US" w:bidi="ar-SA"/>
                </w:rPr>
                <w:t>Kelly v. State, 270 Md. 139, 310 A.2d 538 (1973);</w:t>
              </w:r>
            </w:hyperlink>
            <w:r>
              <w:rPr>
                <w:rFonts w:ascii="arial" w:eastAsia="arial" w:hAnsi="arial" w:cs="arial"/>
                <w:color w:val="000000"/>
                <w:sz w:val="20"/>
                <w:lang w:val="en-US" w:eastAsia="en-US" w:bidi="ar-SA"/>
              </w:rPr>
              <w:t xml:space="preserve"> </w:t>
            </w:r>
            <w:hyperlink r:id="rId54" w:history="1">
              <w:r>
                <w:rPr>
                  <w:rFonts w:ascii="arial" w:eastAsia="arial" w:hAnsi="arial" w:cs="arial"/>
                  <w:i/>
                  <w:color w:val="0077CC"/>
                  <w:sz w:val="20"/>
                  <w:u w:val="single"/>
                  <w:lang w:val="en-US" w:eastAsia="en-US" w:bidi="ar-SA"/>
                </w:rPr>
                <w:t>Burnette v. State, 280 Md. 88, 371 A.2d 663 (1977);</w:t>
              </w:r>
            </w:hyperlink>
            <w:r>
              <w:rPr>
                <w:rFonts w:ascii="arial" w:eastAsia="arial" w:hAnsi="arial" w:cs="arial"/>
                <w:color w:val="000000"/>
                <w:sz w:val="20"/>
                <w:lang w:val="en-US" w:eastAsia="en-US" w:bidi="ar-SA"/>
              </w:rPr>
              <w:t xml:space="preserve"> </w:t>
            </w:r>
            <w:hyperlink r:id="rId55" w:history="1">
              <w:r>
                <w:rPr>
                  <w:rFonts w:ascii="arial" w:eastAsia="arial" w:hAnsi="arial" w:cs="arial"/>
                  <w:i/>
                  <w:color w:val="0077CC"/>
                  <w:sz w:val="20"/>
                  <w:u w:val="single"/>
                  <w:lang w:val="en-US" w:eastAsia="en-US" w:bidi="ar-SA"/>
                </w:rPr>
                <w:t>Goodmuth v. State, 302 Md. 613, 490 A.2d 682 (1985);</w:t>
              </w:r>
            </w:hyperlink>
            <w:r>
              <w:rPr>
                <w:rFonts w:ascii="arial" w:eastAsia="arial" w:hAnsi="arial" w:cs="arial"/>
                <w:color w:val="000000"/>
                <w:sz w:val="20"/>
                <w:lang w:val="en-US" w:eastAsia="en-US" w:bidi="ar-SA"/>
              </w:rPr>
              <w:t xml:space="preserve"> and </w:t>
            </w:r>
            <w:hyperlink r:id="rId56" w:history="1">
              <w:r>
                <w:rPr>
                  <w:rFonts w:ascii="arial" w:eastAsia="arial" w:hAnsi="arial" w:cs="arial"/>
                  <w:i/>
                  <w:color w:val="0077CC"/>
                  <w:sz w:val="20"/>
                  <w:u w:val="single"/>
                  <w:lang w:val="en-US" w:eastAsia="en-US" w:bidi="ar-SA"/>
                </w:rPr>
                <w:t>Ruffin v. State, 394 Md. 355, 906 A.2d 360 (2006).</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 xml:space="preserve">See </w:t>
            </w:r>
            <w:hyperlink r:id="rId57" w:history="1">
              <w:r>
                <w:rPr>
                  <w:rFonts w:ascii="arial" w:eastAsia="arial" w:hAnsi="arial" w:cs="arial"/>
                  <w:i/>
                  <w:color w:val="0077CC"/>
                  <w:sz w:val="20"/>
                  <w:u w:val="single"/>
                  <w:lang w:val="en-US" w:eastAsia="en-US" w:bidi="ar-SA"/>
                </w:rPr>
                <w:t>Graham v. State, 325 Md. 398, 409 n.4, 601 A.2d 131, 136 n.4 (1992)</w:t>
              </w:r>
            </w:hyperlink>
            <w:r>
              <w:rPr>
                <w:rFonts w:ascii="arial" w:eastAsia="arial" w:hAnsi="arial" w:cs="arial"/>
                <w:color w:val="000000"/>
                <w:sz w:val="20"/>
                <w:lang w:val="en-US" w:eastAsia="en-US" w:bidi="ar-SA"/>
              </w:rPr>
              <w:t xml:space="preserve"> (expressly approving the modification of the ABA-approved </w:t>
            </w:r>
            <w:r>
              <w:rPr>
                <w:rFonts w:ascii="arial" w:eastAsia="arial" w:hAnsi="arial" w:cs="arial"/>
                <w:i/>
                <w:color w:val="000000"/>
                <w:sz w:val="20"/>
                <w:lang w:val="en-US" w:eastAsia="en-US" w:bidi="ar-SA"/>
              </w:rPr>
              <w:t>Allen</w:t>
            </w:r>
            <w:r>
              <w:rPr>
                <w:rFonts w:ascii="arial" w:eastAsia="arial" w:hAnsi="arial" w:cs="arial"/>
                <w:color w:val="000000"/>
                <w:sz w:val="20"/>
                <w:lang w:val="en-US" w:eastAsia="en-US" w:bidi="ar-SA"/>
              </w:rPr>
              <w:t>-type instruction). The ABA instruction provides:</w:t>
            </w:r>
          </w:p>
          <w:p>
            <w:pPr>
              <w:spacing w:before="60" w:line="260" w:lineRule="atLeast"/>
              <w:ind w:left="460" w:right="360"/>
              <w:jc w:val="both"/>
              <w:rPr>
                <w:lang w:val="en-US" w:eastAsia="en-US" w:bidi="ar-SA"/>
              </w:rPr>
            </w:pPr>
            <w:r>
              <w:rPr>
                <w:rFonts w:ascii="arial" w:eastAsia="arial" w:hAnsi="arial" w:cs="arial"/>
                <w:color w:val="000000"/>
                <w:sz w:val="20"/>
                <w:lang w:val="en-US" w:eastAsia="en-US" w:bidi="ar-SA"/>
              </w:rPr>
              <w:t>The verdict must represent the considered judgment of each juror. In order to return a verdict, it is necessary that each juror agree thereto. Your verdict must be unanimous. It is your duty, as jurors, to consult with one another and to deliberate with a view to reaching an agreement, if you can do so without violence to individual judgment. Each of you must decide the case for yourself, but do so only after an impartial consideration of the evidence with your fellow jurors. In the course of your deliberations, do not hesitate to reexamine your own views and change your opinion if convinced it is erroneous. But do not surrender your honest conviction as to the weight or effect of evidence solely because of the opinion of your fellow jurors or for the mere purpose of returning a verdict. You are not partisans. You are judge--judges of the facts. Your sole interest is to ascertain the truth from the evidence in the case.</w:t>
            </w:r>
          </w:p>
          <w:p>
            <w:pPr>
              <w:spacing w:before="60" w:line="260" w:lineRule="atLeast"/>
              <w:ind w:left="60" w:right="360"/>
              <w:jc w:val="both"/>
              <w:rPr>
                <w:lang w:val="en-US" w:eastAsia="en-US" w:bidi="ar-SA"/>
              </w:rPr>
            </w:pPr>
            <w:r>
              <w:rPr>
                <w:rFonts w:ascii="arial" w:eastAsia="arial" w:hAnsi="arial" w:cs="arial"/>
                <w:color w:val="000000"/>
                <w:sz w:val="20"/>
                <w:lang w:val="en-US" w:eastAsia="en-US" w:bidi="ar-SA"/>
              </w:rPr>
              <w:t>ABA STANDARDS FOR CRIMINAL JUSTICE: DISCOVERY &amp; TRIAL BY JURY 15-4.4 (3d ed. 1996), commentary at 134 (quoting W. MATHES, JURY INSTRUCTIONS AND FORMS FOR FEDERAL CRIMINAL CASES, Instruction 8.11, at 97-98 (1961)).</w:t>
            </w:r>
          </w:p>
          <w:p>
            <w:pPr>
              <w:spacing w:before="200" w:line="260" w:lineRule="atLeast"/>
              <w:ind w:left="60" w:right="360"/>
              <w:jc w:val="both"/>
              <w:rPr>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i/>
                <w:color w:val="000000"/>
                <w:sz w:val="20"/>
                <w:lang w:val="en-US" w:eastAsia="en-US" w:bidi="ar-SA"/>
              </w:rPr>
              <w:t>Kelly</w:t>
            </w:r>
            <w:r>
              <w:rPr>
                <w:rFonts w:ascii="arial" w:eastAsia="arial" w:hAnsi="arial" w:cs="arial"/>
                <w:color w:val="000000"/>
                <w:sz w:val="20"/>
                <w:lang w:val="en-US" w:eastAsia="en-US" w:bidi="ar-SA"/>
              </w:rPr>
              <w:t xml:space="preserve">, the Court of Appeals agreed with the ABA standard that it is appropriate to give or repeat an instruction on the jury's deliberative responsibilities. </w:t>
            </w:r>
            <w:hyperlink r:id="rId52" w:history="1">
              <w:r>
                <w:rPr>
                  <w:rFonts w:ascii="arial" w:eastAsia="arial" w:hAnsi="arial" w:cs="arial"/>
                  <w:i/>
                  <w:color w:val="0077CC"/>
                  <w:sz w:val="20"/>
                  <w:u w:val="single"/>
                  <w:lang w:val="en-US" w:eastAsia="en-US" w:bidi="ar-SA"/>
                </w:rPr>
                <w:t>Kelly, 270 Md. at 142, 310 A.2d at 540-41.</w:t>
              </w:r>
            </w:hyperlink>
            <w:r>
              <w:rPr>
                <w:rFonts w:ascii="arial" w:eastAsia="arial" w:hAnsi="arial" w:cs="arial"/>
                <w:color w:val="000000"/>
                <w:sz w:val="20"/>
                <w:lang w:val="en-US" w:eastAsia="en-US" w:bidi="ar-SA"/>
              </w:rPr>
              <w:t xml:space="preserve"> The Court stated: "As every case is different and each jury panel unique, the decisions as to whether to utilize an </w:t>
            </w:r>
            <w:r>
              <w:rPr>
                <w:rFonts w:ascii="arial" w:eastAsia="arial" w:hAnsi="arial" w:cs="arial"/>
                <w:i/>
                <w:color w:val="000000"/>
                <w:sz w:val="20"/>
                <w:lang w:val="en-US" w:eastAsia="en-US" w:bidi="ar-SA"/>
              </w:rPr>
              <w:t>Allen-</w:t>
            </w:r>
            <w:r>
              <w:rPr>
                <w:rFonts w:ascii="arial" w:eastAsia="arial" w:hAnsi="arial" w:cs="arial"/>
                <w:color w:val="000000"/>
                <w:sz w:val="20"/>
                <w:lang w:val="en-US" w:eastAsia="en-US" w:bidi="ar-SA"/>
              </w:rPr>
              <w:t xml:space="preserve">type charge, when to employ it, and what words should be selected are best left to the sound discretion of the trial judge." </w:t>
            </w:r>
            <w:hyperlink r:id="rId52" w:history="1">
              <w:r>
                <w:rPr>
                  <w:rFonts w:ascii="arial" w:eastAsia="arial" w:hAnsi="arial" w:cs="arial"/>
                  <w:i/>
                  <w:color w:val="0077CC"/>
                  <w:sz w:val="20"/>
                  <w:u w:val="single"/>
                  <w:lang w:val="en-US" w:eastAsia="en-US" w:bidi="ar-SA"/>
                </w:rPr>
                <w:t>Id. at 143, 310 A.2d at 541.</w:t>
              </w:r>
            </w:hyperlink>
            <w:r>
              <w:rPr>
                <w:rFonts w:ascii="arial" w:eastAsia="arial" w:hAnsi="arial" w:cs="arial"/>
                <w:color w:val="000000"/>
                <w:sz w:val="20"/>
                <w:lang w:val="en-US" w:eastAsia="en-US" w:bidi="ar-SA"/>
              </w:rPr>
              <w:t xml:space="preserve"> The Court then announced guidelines for use of an </w:t>
            </w:r>
            <w:r>
              <w:rPr>
                <w:rFonts w:ascii="arial" w:eastAsia="arial" w:hAnsi="arial" w:cs="arial"/>
                <w:i/>
                <w:color w:val="000000"/>
                <w:sz w:val="20"/>
                <w:lang w:val="en-US" w:eastAsia="en-US" w:bidi="ar-SA"/>
              </w:rPr>
              <w:t>Allen</w:t>
            </w:r>
            <w:r>
              <w:rPr>
                <w:rFonts w:ascii="arial" w:eastAsia="arial" w:hAnsi="arial" w:cs="arial"/>
                <w:color w:val="000000"/>
                <w:sz w:val="20"/>
                <w:lang w:val="en-US" w:eastAsia="en-US" w:bidi="ar-SA"/>
              </w:rPr>
              <w:t>-type charge, as follows:</w:t>
            </w:r>
          </w:p>
          <w:p>
            <w:pPr>
              <w:spacing w:before="200" w:line="260" w:lineRule="atLeast"/>
              <w:ind w:left="460" w:right="360"/>
              <w:jc w:val="both"/>
              <w:rPr>
                <w:lang w:val="en-US" w:eastAsia="en-US" w:bidi="ar-SA"/>
              </w:rPr>
            </w:pPr>
            <w:r>
              <w:rPr>
                <w:rFonts w:ascii="arial" w:eastAsia="arial" w:hAnsi="arial" w:cs="arial"/>
                <w:color w:val="000000"/>
                <w:sz w:val="20"/>
                <w:lang w:val="en-US" w:eastAsia="en-US" w:bidi="ar-SA"/>
              </w:rPr>
              <w:t xml:space="preserve">1. Though not required, it is always proper to use the … ABA approved </w:t>
            </w:r>
            <w:r>
              <w:rPr>
                <w:rFonts w:ascii="arial" w:eastAsia="arial" w:hAnsi="arial" w:cs="arial"/>
                <w:i/>
                <w:color w:val="000000"/>
                <w:sz w:val="20"/>
                <w:lang w:val="en-US" w:eastAsia="en-US" w:bidi="ar-SA"/>
              </w:rPr>
              <w:t>Allen</w:t>
            </w:r>
            <w:r>
              <w:rPr>
                <w:rFonts w:ascii="arial" w:eastAsia="arial" w:hAnsi="arial" w:cs="arial"/>
                <w:color w:val="000000"/>
                <w:sz w:val="20"/>
                <w:lang w:val="en-US" w:eastAsia="en-US" w:bidi="ar-SA"/>
              </w:rPr>
              <w:t>-type instruction before the jury begins its deliberations … . This instruction or one similar will also meet with our approval if given to the entire venire (as is frequently done in a number of the circuits of this state) when it first reports for jury duty.</w:t>
            </w:r>
          </w:p>
          <w:p>
            <w:pPr>
              <w:spacing w:before="200" w:line="260" w:lineRule="atLeast"/>
              <w:ind w:left="460" w:right="360"/>
              <w:jc w:val="both"/>
              <w:rPr>
                <w:lang w:val="en-US" w:eastAsia="en-US" w:bidi="ar-SA"/>
              </w:rPr>
            </w:pPr>
            <w:r>
              <w:rPr>
                <w:rFonts w:ascii="arial" w:eastAsia="arial" w:hAnsi="arial" w:cs="arial"/>
                <w:color w:val="000000"/>
                <w:sz w:val="20"/>
                <w:lang w:val="en-US" w:eastAsia="en-US" w:bidi="ar-SA"/>
              </w:rPr>
              <w:t xml:space="preserve">2. If a trial judge chooses to personalize his </w:t>
            </w:r>
            <w:r>
              <w:rPr>
                <w:rFonts w:ascii="arial" w:eastAsia="arial" w:hAnsi="arial" w:cs="arial"/>
                <w:i/>
                <w:color w:val="000000"/>
                <w:sz w:val="20"/>
                <w:lang w:val="en-US" w:eastAsia="en-US" w:bidi="ar-SA"/>
              </w:rPr>
              <w:t>Allen</w:t>
            </w:r>
            <w:r>
              <w:rPr>
                <w:rFonts w:ascii="arial" w:eastAsia="arial" w:hAnsi="arial" w:cs="arial"/>
                <w:color w:val="000000"/>
                <w:sz w:val="20"/>
                <w:lang w:val="en-US" w:eastAsia="en-US" w:bidi="ar-SA"/>
              </w:rPr>
              <w:t>-type instruction, he has greater latitude in doing so when the charge is given before the jury retires to consider the case … .</w:t>
            </w:r>
          </w:p>
          <w:p>
            <w:pPr>
              <w:spacing w:before="200" w:line="260" w:lineRule="atLeast"/>
              <w:ind w:left="460" w:right="360"/>
              <w:jc w:val="both"/>
              <w:rPr>
                <w:lang w:val="en-US" w:eastAsia="en-US" w:bidi="ar-SA"/>
              </w:rPr>
            </w:pPr>
            <w:r>
              <w:rPr>
                <w:rFonts w:ascii="arial" w:eastAsia="arial" w:hAnsi="arial" w:cs="arial"/>
                <w:color w:val="000000"/>
                <w:sz w:val="20"/>
                <w:lang w:val="en-US" w:eastAsia="en-US" w:bidi="ar-SA"/>
              </w:rPr>
              <w:t xml:space="preserve">3. After the jury has been sequestered to deliberate, we think it advisable that a trial judge, who decides to give an </w:t>
            </w:r>
            <w:r>
              <w:rPr>
                <w:rFonts w:ascii="arial" w:eastAsia="arial" w:hAnsi="arial" w:cs="arial"/>
                <w:i/>
                <w:color w:val="000000"/>
                <w:sz w:val="20"/>
                <w:lang w:val="en-US" w:eastAsia="en-US" w:bidi="ar-SA"/>
              </w:rPr>
              <w:t>Allen</w:t>
            </w:r>
            <w:r>
              <w:rPr>
                <w:rFonts w:ascii="arial" w:eastAsia="arial" w:hAnsi="arial" w:cs="arial"/>
                <w:color w:val="000000"/>
                <w:sz w:val="20"/>
                <w:lang w:val="en-US" w:eastAsia="en-US" w:bidi="ar-SA"/>
              </w:rPr>
              <w:t>-type charge because of an apparent deadlock, should closely adhere to the wording of the ABA-recommended instruction. If he does not, the language selected will be subjected to careful scrutiny in order for it to be determined whether the province of the jury has been invaded and the verdict unduly coerced.</w:t>
            </w:r>
          </w:p>
          <w:p>
            <w:pPr>
              <w:spacing w:before="200" w:line="260" w:lineRule="atLeast"/>
              <w:ind w:left="60" w:right="360"/>
              <w:jc w:val="both"/>
              <w:rPr>
                <w:lang w:val="en-US" w:eastAsia="en-US" w:bidi="ar-SA"/>
              </w:rPr>
            </w:pPr>
            <w:hyperlink r:id="rId52" w:history="1">
              <w:r>
                <w:rPr>
                  <w:rFonts w:ascii="arial" w:eastAsia="arial" w:hAnsi="arial" w:cs="arial"/>
                  <w:i/>
                  <w:color w:val="0077CC"/>
                  <w:sz w:val="20"/>
                  <w:u w:val="single"/>
                  <w:lang w:val="en-US" w:eastAsia="en-US" w:bidi="ar-SA"/>
                </w:rPr>
                <w:t>Id. at 143-44, 310 A.2d at 541-42.</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 xml:space="preserve">See </w:t>
            </w:r>
            <w:hyperlink r:id="rId58" w:history="1">
              <w:r>
                <w:rPr>
                  <w:rFonts w:ascii="arial" w:eastAsia="arial" w:hAnsi="arial" w:cs="arial"/>
                  <w:i/>
                  <w:color w:val="0077CC"/>
                  <w:sz w:val="20"/>
                  <w:u w:val="single"/>
                  <w:lang w:val="en-US" w:eastAsia="en-US" w:bidi="ar-SA"/>
                </w:rPr>
                <w:t>Washington v. State, 179 Md. App. 32, 62-64, 943 A.2d 704, 721-22 (2008)</w:t>
              </w:r>
            </w:hyperlink>
            <w:r>
              <w:rPr>
                <w:rFonts w:ascii="arial" w:eastAsia="arial" w:hAnsi="arial" w:cs="arial"/>
                <w:color w:val="000000"/>
                <w:sz w:val="20"/>
                <w:lang w:val="en-US" w:eastAsia="en-US" w:bidi="ar-SA"/>
              </w:rPr>
              <w:t xml:space="preserve"> (reiterating and applying </w:t>
            </w:r>
            <w:r>
              <w:rPr>
                <w:rFonts w:ascii="arial" w:eastAsia="arial" w:hAnsi="arial" w:cs="arial"/>
                <w:i/>
                <w:color w:val="000000"/>
                <w:sz w:val="20"/>
                <w:lang w:val="en-US" w:eastAsia="en-US" w:bidi="ar-SA"/>
              </w:rPr>
              <w:t>Kelly</w:t>
            </w:r>
            <w:r>
              <w:rPr>
                <w:rFonts w:ascii="arial" w:eastAsia="arial" w:hAnsi="arial" w:cs="arial"/>
                <w:color w:val="000000"/>
                <w:sz w:val="20"/>
                <w:lang w:val="en-US" w:eastAsia="en-US" w:bidi="ar-SA"/>
              </w:rPr>
              <w:t xml:space="preserve"> guidelines).</w:t>
            </w:r>
          </w:p>
          <w:p>
            <w:pPr>
              <w:spacing w:before="240" w:line="260" w:lineRule="atLeast"/>
              <w:ind w:left="60" w:right="360"/>
              <w:jc w:val="both"/>
              <w:rPr>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i/>
                <w:color w:val="000000"/>
                <w:sz w:val="20"/>
                <w:lang w:val="en-US" w:eastAsia="en-US" w:bidi="ar-SA"/>
              </w:rPr>
              <w:t>Burnette</w:t>
            </w:r>
            <w:r>
              <w:rPr>
                <w:rFonts w:ascii="arial" w:eastAsia="arial" w:hAnsi="arial" w:cs="arial"/>
                <w:color w:val="000000"/>
                <w:sz w:val="20"/>
                <w:lang w:val="en-US" w:eastAsia="en-US" w:bidi="ar-SA"/>
              </w:rPr>
              <w:t xml:space="preserve">, the Court of Appeals held that, by giving a traditional </w:t>
            </w:r>
            <w:r>
              <w:rPr>
                <w:rFonts w:ascii="arial" w:eastAsia="arial" w:hAnsi="arial" w:cs="arial"/>
                <w:i/>
                <w:color w:val="000000"/>
                <w:sz w:val="20"/>
                <w:lang w:val="en-US" w:eastAsia="en-US" w:bidi="ar-SA"/>
              </w:rPr>
              <w:t>Allen</w:t>
            </w:r>
            <w:r>
              <w:rPr>
                <w:rFonts w:ascii="arial" w:eastAsia="arial" w:hAnsi="arial" w:cs="arial"/>
                <w:color w:val="000000"/>
                <w:sz w:val="20"/>
                <w:lang w:val="en-US" w:eastAsia="en-US" w:bidi="ar-SA"/>
              </w:rPr>
              <w:t xml:space="preserve"> instruction, the trial court "did not 'closely adhere,' either in substance or spirit, to the American Bar Association standard, as is required by </w:t>
            </w:r>
            <w:r>
              <w:rPr>
                <w:rFonts w:ascii="arial" w:eastAsia="arial" w:hAnsi="arial" w:cs="arial"/>
                <w:i/>
                <w:color w:val="000000"/>
                <w:sz w:val="20"/>
                <w:lang w:val="en-US" w:eastAsia="en-US" w:bidi="ar-SA"/>
              </w:rPr>
              <w:t>Kelly</w:t>
            </w:r>
            <w:r>
              <w:rPr>
                <w:rFonts w:ascii="arial" w:eastAsia="arial" w:hAnsi="arial" w:cs="arial"/>
                <w:color w:val="000000"/>
                <w:sz w:val="20"/>
                <w:lang w:val="en-US" w:eastAsia="en-US" w:bidi="ar-SA"/>
              </w:rPr>
              <w:t xml:space="preserve"> … In sum, we believe that the </w:t>
            </w:r>
            <w:r>
              <w:rPr>
                <w:rFonts w:ascii="arial" w:eastAsia="arial" w:hAnsi="arial" w:cs="arial"/>
                <w:i/>
                <w:color w:val="000000"/>
                <w:sz w:val="20"/>
                <w:lang w:val="en-US" w:eastAsia="en-US" w:bidi="ar-SA"/>
              </w:rPr>
              <w:t>Allen</w:t>
            </w:r>
            <w:r>
              <w:rPr>
                <w:rFonts w:ascii="arial" w:eastAsia="arial" w:hAnsi="arial" w:cs="arial"/>
                <w:color w:val="000000"/>
                <w:sz w:val="20"/>
                <w:lang w:val="en-US" w:eastAsia="en-US" w:bidi="ar-SA"/>
              </w:rPr>
              <w:t xml:space="preserve"> instruction given in this case was coercive, and constituted reversible error … . Deviations in substance [from the ABA instruction] are not permitted." </w:t>
            </w:r>
            <w:hyperlink r:id="rId54" w:history="1">
              <w:r>
                <w:rPr>
                  <w:rFonts w:ascii="arial" w:eastAsia="arial" w:hAnsi="arial" w:cs="arial"/>
                  <w:i/>
                  <w:color w:val="0077CC"/>
                  <w:sz w:val="20"/>
                  <w:u w:val="single"/>
                  <w:lang w:val="en-US" w:eastAsia="en-US" w:bidi="ar-SA"/>
                </w:rPr>
                <w:t>Burnette, 280 Md. at 99-101, 371 A.2d at 668-69.</w:t>
              </w:r>
            </w:hyperlink>
          </w:p>
          <w:p>
            <w:pPr>
              <w:spacing w:before="200" w:line="260" w:lineRule="atLeast"/>
              <w:ind w:left="60" w:right="360"/>
              <w:jc w:val="both"/>
              <w:rPr>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i/>
                <w:color w:val="000000"/>
                <w:sz w:val="20"/>
                <w:lang w:val="en-US" w:eastAsia="en-US" w:bidi="ar-SA"/>
              </w:rPr>
              <w:t>Goodmuth</w:t>
            </w:r>
            <w:r>
              <w:rPr>
                <w:rFonts w:ascii="arial" w:eastAsia="arial" w:hAnsi="arial" w:cs="arial"/>
                <w:color w:val="000000"/>
                <w:sz w:val="20"/>
                <w:lang w:val="en-US" w:eastAsia="en-US" w:bidi="ar-SA"/>
              </w:rPr>
              <w:t xml:space="preserve">, the Court made clear that a traditional </w:t>
            </w:r>
            <w:r>
              <w:rPr>
                <w:rFonts w:ascii="arial" w:eastAsia="arial" w:hAnsi="arial" w:cs="arial"/>
                <w:i/>
                <w:color w:val="000000"/>
                <w:sz w:val="20"/>
                <w:lang w:val="en-US" w:eastAsia="en-US" w:bidi="ar-SA"/>
              </w:rPr>
              <w:t>Allen</w:t>
            </w:r>
            <w:r>
              <w:rPr>
                <w:rFonts w:ascii="arial" w:eastAsia="arial" w:hAnsi="arial" w:cs="arial"/>
                <w:color w:val="000000"/>
                <w:sz w:val="20"/>
                <w:lang w:val="en-US" w:eastAsia="en-US" w:bidi="ar-SA"/>
              </w:rPr>
              <w:t xml:space="preserve"> charge is coercive and, therefore, unacceptable, even if it is given before the jury begins its deliberations and, thus, before there is any potential for deadlock. </w:t>
            </w:r>
            <w:hyperlink r:id="rId55" w:history="1">
              <w:r>
                <w:rPr>
                  <w:rFonts w:ascii="arial" w:eastAsia="arial" w:hAnsi="arial" w:cs="arial"/>
                  <w:i/>
                  <w:color w:val="0077CC"/>
                  <w:sz w:val="20"/>
                  <w:u w:val="single"/>
                  <w:lang w:val="en-US" w:eastAsia="en-US" w:bidi="ar-SA"/>
                </w:rPr>
                <w:t>Goodmuth, 302 Md. at 622-23, 490 A.2d at 687.</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 xml:space="preserve">See also </w:t>
            </w:r>
            <w:hyperlink r:id="rId59" w:history="1">
              <w:r>
                <w:rPr>
                  <w:rFonts w:ascii="arial" w:eastAsia="arial" w:hAnsi="arial" w:cs="arial"/>
                  <w:i/>
                  <w:color w:val="0077CC"/>
                  <w:sz w:val="20"/>
                  <w:u w:val="single"/>
                  <w:lang w:val="en-US" w:eastAsia="en-US" w:bidi="ar-SA"/>
                </w:rPr>
                <w:t>Thompson v. State, 371 Md. 473, 485, 810 A.2d 435, 442-43 (2002)</w:t>
              </w:r>
            </w:hyperlink>
            <w:r>
              <w:rPr>
                <w:rFonts w:ascii="arial" w:eastAsia="arial" w:hAnsi="arial" w:cs="arial"/>
                <w:color w:val="000000"/>
                <w:sz w:val="20"/>
                <w:lang w:val="en-US" w:eastAsia="en-US" w:bidi="ar-SA"/>
              </w:rPr>
              <w:t xml:space="preserve"> (what the trial court called the "attitude of the juror" instruction was coercive). </w:t>
            </w:r>
            <w:r>
              <w:rPr>
                <w:rFonts w:ascii="arial" w:eastAsia="arial" w:hAnsi="arial" w:cs="arial"/>
                <w:i/>
                <w:color w:val="000000"/>
                <w:sz w:val="20"/>
                <w:lang w:val="en-US" w:eastAsia="en-US" w:bidi="ar-SA"/>
              </w:rPr>
              <w:t xml:space="preserve">But cf. </w:t>
            </w:r>
            <w:hyperlink r:id="rId60" w:history="1">
              <w:r>
                <w:rPr>
                  <w:rFonts w:ascii="arial" w:eastAsia="arial" w:hAnsi="arial" w:cs="arial"/>
                  <w:i/>
                  <w:color w:val="0077CC"/>
                  <w:sz w:val="20"/>
                  <w:u w:val="single"/>
                  <w:lang w:val="en-US" w:eastAsia="en-US" w:bidi="ar-SA"/>
                </w:rPr>
                <w:t>Cunningham v. State, 78 Md. App. 254, 552 A.2d 1335</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Allen</w:t>
            </w:r>
            <w:r>
              <w:rPr>
                <w:rFonts w:ascii="arial" w:eastAsia="arial" w:hAnsi="arial" w:cs="arial"/>
                <w:color w:val="000000"/>
                <w:sz w:val="20"/>
                <w:lang w:val="en-US" w:eastAsia="en-US" w:bidi="ar-SA"/>
              </w:rPr>
              <w:t xml:space="preserve">-type" charge affirmed because there was no objection raised, no plain error, and the trial court's initial instructions included a warning of continued deliberations in the case of a hung jury), </w:t>
            </w:r>
            <w:r>
              <w:rPr>
                <w:rFonts w:ascii="arial" w:eastAsia="arial" w:hAnsi="arial" w:cs="arial"/>
                <w:i/>
                <w:color w:val="000000"/>
                <w:sz w:val="20"/>
                <w:lang w:val="en-US" w:eastAsia="en-US" w:bidi="ar-SA"/>
              </w:rPr>
              <w:t>aff'd</w:t>
            </w:r>
            <w:r>
              <w:rPr>
                <w:rFonts w:ascii="arial" w:eastAsia="arial" w:hAnsi="arial" w:cs="arial"/>
                <w:color w:val="000000"/>
                <w:sz w:val="20"/>
                <w:lang w:val="en-US" w:eastAsia="en-US" w:bidi="ar-SA"/>
              </w:rPr>
              <w:t xml:space="preserve">, </w:t>
            </w:r>
            <w:hyperlink r:id="rId61" w:history="1">
              <w:r>
                <w:rPr>
                  <w:rFonts w:ascii="arial" w:eastAsia="arial" w:hAnsi="arial" w:cs="arial"/>
                  <w:i/>
                  <w:color w:val="0077CC"/>
                  <w:sz w:val="20"/>
                  <w:u w:val="single"/>
                  <w:lang w:val="en-US" w:eastAsia="en-US" w:bidi="ar-SA"/>
                </w:rPr>
                <w:t>318 Md. 182, 567 A.2d 126 (1989);</w:t>
              </w:r>
            </w:hyperlink>
            <w:r>
              <w:rPr>
                <w:rFonts w:ascii="arial" w:eastAsia="arial" w:hAnsi="arial" w:cs="arial"/>
                <w:color w:val="000000"/>
                <w:sz w:val="20"/>
                <w:lang w:val="en-US" w:eastAsia="en-US" w:bidi="ar-SA"/>
              </w:rPr>
              <w:t xml:space="preserve"> </w:t>
            </w:r>
            <w:hyperlink r:id="rId62" w:history="1">
              <w:r>
                <w:rPr>
                  <w:rFonts w:ascii="arial" w:eastAsia="arial" w:hAnsi="arial" w:cs="arial"/>
                  <w:i/>
                  <w:color w:val="0077CC"/>
                  <w:sz w:val="20"/>
                  <w:u w:val="single"/>
                  <w:lang w:val="en-US" w:eastAsia="en-US" w:bidi="ar-SA"/>
                </w:rPr>
                <w:t>Johnson v. State, 67 Md. App. 347, 376-77, 507 A.2d 1134, 1149-50</w:t>
              </w:r>
            </w:hyperlink>
            <w:r>
              <w:rPr>
                <w:rFonts w:ascii="arial" w:eastAsia="arial" w:hAnsi="arial" w:cs="arial"/>
                <w:color w:val="000000"/>
                <w:sz w:val="20"/>
                <w:lang w:val="en-US" w:eastAsia="en-US" w:bidi="ar-SA"/>
              </w:rPr>
              <w:t xml:space="preserve"> (instructions akin to the traditional "</w:t>
            </w:r>
            <w:r>
              <w:rPr>
                <w:rFonts w:ascii="arial" w:eastAsia="arial" w:hAnsi="arial" w:cs="arial"/>
                <w:i/>
                <w:color w:val="000000"/>
                <w:sz w:val="20"/>
                <w:lang w:val="en-US" w:eastAsia="en-US" w:bidi="ar-SA"/>
              </w:rPr>
              <w:t>Allen</w:t>
            </w:r>
            <w:r>
              <w:rPr>
                <w:rFonts w:ascii="arial" w:eastAsia="arial" w:hAnsi="arial" w:cs="arial"/>
                <w:color w:val="000000"/>
                <w:sz w:val="20"/>
                <w:lang w:val="en-US" w:eastAsia="en-US" w:bidi="ar-SA"/>
              </w:rPr>
              <w:t xml:space="preserve">-type" charge not reviewed when the defendant represented himself, the issue was not preserved, and the charge was not plain error), </w:t>
            </w:r>
            <w:r>
              <w:rPr>
                <w:rFonts w:ascii="arial" w:eastAsia="arial" w:hAnsi="arial" w:cs="arial"/>
                <w:i/>
                <w:color w:val="000000"/>
                <w:sz w:val="20"/>
                <w:lang w:val="en-US" w:eastAsia="en-US" w:bidi="ar-SA"/>
              </w:rPr>
              <w:t>cert. denied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307 Md. 260, 513 A.2d 314,</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cert. denied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479 U.S. 993 (1986).</w:t>
            </w:r>
          </w:p>
          <w:p>
            <w:pPr>
              <w:spacing w:before="240" w:line="260" w:lineRule="atLeast"/>
              <w:ind w:left="60" w:right="360"/>
              <w:jc w:val="both"/>
              <w:rPr>
                <w:lang w:val="en-US" w:eastAsia="en-US" w:bidi="ar-SA"/>
              </w:rPr>
            </w:pPr>
            <w:r>
              <w:rPr>
                <w:rFonts w:ascii="arial" w:eastAsia="arial" w:hAnsi="arial" w:cs="arial"/>
                <w:color w:val="000000"/>
                <w:sz w:val="20"/>
                <w:lang w:val="en-US" w:eastAsia="en-US" w:bidi="ar-SA"/>
              </w:rPr>
              <w:t xml:space="preserve">In sum, the teaching of </w:t>
            </w:r>
            <w:r>
              <w:rPr>
                <w:rFonts w:ascii="arial" w:eastAsia="arial" w:hAnsi="arial" w:cs="arial"/>
                <w:i/>
                <w:color w:val="000000"/>
                <w:sz w:val="20"/>
                <w:lang w:val="en-US" w:eastAsia="en-US" w:bidi="ar-SA"/>
              </w:rPr>
              <w:t>Kelly, Burnette</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Goodmuth</w:t>
            </w:r>
            <w:r>
              <w:rPr>
                <w:rFonts w:ascii="arial" w:eastAsia="arial" w:hAnsi="arial" w:cs="arial"/>
                <w:color w:val="000000"/>
                <w:sz w:val="20"/>
                <w:lang w:val="en-US" w:eastAsia="en-US" w:bidi="ar-SA"/>
              </w:rPr>
              <w:t xml:space="preserve"> is that neither pre-deliberation nor post-deliberation instructions may invade the province of the jury by coercing the jurors into reaching a verdict. Such coercion comes from a traditional </w:t>
            </w:r>
            <w:r>
              <w:rPr>
                <w:rFonts w:ascii="arial" w:eastAsia="arial" w:hAnsi="arial" w:cs="arial"/>
                <w:i/>
                <w:color w:val="000000"/>
                <w:sz w:val="20"/>
                <w:lang w:val="en-US" w:eastAsia="en-US" w:bidi="ar-SA"/>
              </w:rPr>
              <w:t>Allen</w:t>
            </w:r>
            <w:r>
              <w:rPr>
                <w:rFonts w:ascii="arial" w:eastAsia="arial" w:hAnsi="arial" w:cs="arial"/>
                <w:color w:val="000000"/>
                <w:sz w:val="20"/>
                <w:lang w:val="en-US" w:eastAsia="en-US" w:bidi="ar-SA"/>
              </w:rPr>
              <w:t xml:space="preserve"> charge, based on the instruction approved in </w:t>
            </w:r>
            <w:hyperlink r:id="rId53" w:history="1">
              <w:r>
                <w:rPr>
                  <w:rFonts w:ascii="arial" w:eastAsia="arial" w:hAnsi="arial" w:cs="arial"/>
                  <w:i/>
                  <w:color w:val="0077CC"/>
                  <w:sz w:val="20"/>
                  <w:u w:val="single"/>
                  <w:lang w:val="en-US" w:eastAsia="en-US" w:bidi="ar-SA"/>
                </w:rPr>
                <w:t>Allen v. United States, 164 U.S. 492, 501 (1896),</w:t>
              </w:r>
            </w:hyperlink>
            <w:r>
              <w:rPr>
                <w:rFonts w:ascii="arial" w:eastAsia="arial" w:hAnsi="arial" w:cs="arial"/>
                <w:color w:val="000000"/>
                <w:sz w:val="20"/>
                <w:lang w:val="en-US" w:eastAsia="en-US" w:bidi="ar-SA"/>
              </w:rPr>
              <w:t xml:space="preserve"> which emphasizes jurors' need to give deference to their fellow jurors. The Court of Appeals approved the ABA instruction in </w:t>
            </w:r>
            <w:r>
              <w:rPr>
                <w:rFonts w:ascii="arial" w:eastAsia="arial" w:hAnsi="arial" w:cs="arial"/>
                <w:i/>
                <w:color w:val="000000"/>
                <w:sz w:val="20"/>
                <w:lang w:val="en-US" w:eastAsia="en-US" w:bidi="ar-SA"/>
              </w:rPr>
              <w:t>Kelly</w:t>
            </w:r>
            <w:r>
              <w:rPr>
                <w:rFonts w:ascii="arial" w:eastAsia="arial" w:hAnsi="arial" w:cs="arial"/>
                <w:color w:val="000000"/>
                <w:sz w:val="20"/>
                <w:lang w:val="en-US" w:eastAsia="en-US" w:bidi="ar-SA"/>
              </w:rPr>
              <w:t xml:space="preserve">, which balanced the need to consult with fellow jurors, while emphasizing that each juror should adhere to his or her conscientious opinion. In </w:t>
            </w:r>
            <w:r>
              <w:rPr>
                <w:rFonts w:ascii="arial" w:eastAsia="arial" w:hAnsi="arial" w:cs="arial"/>
                <w:i/>
                <w:color w:val="000000"/>
                <w:sz w:val="20"/>
                <w:lang w:val="en-US" w:eastAsia="en-US" w:bidi="ar-SA"/>
              </w:rPr>
              <w:t>Burnette</w:t>
            </w:r>
            <w:r>
              <w:rPr>
                <w:rFonts w:ascii="arial" w:eastAsia="arial" w:hAnsi="arial" w:cs="arial"/>
                <w:color w:val="000000"/>
                <w:sz w:val="20"/>
                <w:lang w:val="en-US" w:eastAsia="en-US" w:bidi="ar-SA"/>
              </w:rPr>
              <w:t xml:space="preserve">, the Court of Appeals disapproved of language in an instruction that suggested that minority members of the panel should be deferential to the views of the majority. </w:t>
            </w:r>
            <w:hyperlink r:id="rId54" w:history="1">
              <w:r>
                <w:rPr>
                  <w:rFonts w:ascii="arial" w:eastAsia="arial" w:hAnsi="arial" w:cs="arial"/>
                  <w:i/>
                  <w:color w:val="0077CC"/>
                  <w:sz w:val="20"/>
                  <w:u w:val="single"/>
                  <w:lang w:val="en-US" w:eastAsia="en-US" w:bidi="ar-SA"/>
                </w:rPr>
                <w:t>Burnette, 280 Md. at 100, 371 A.2d at 669.</w:t>
              </w:r>
            </w:hyperlink>
          </w:p>
          <w:p>
            <w:pPr>
              <w:spacing w:before="240" w:line="260" w:lineRule="atLeast"/>
              <w:ind w:left="60" w:right="360"/>
              <w:jc w:val="both"/>
              <w:rPr>
                <w:lang w:val="en-US" w:eastAsia="en-US" w:bidi="ar-SA"/>
              </w:rPr>
            </w:pPr>
            <w:r>
              <w:rPr>
                <w:rFonts w:ascii="arial" w:eastAsia="arial" w:hAnsi="arial" w:cs="arial"/>
                <w:color w:val="000000"/>
                <w:sz w:val="20"/>
                <w:lang w:val="en-US" w:eastAsia="en-US" w:bidi="ar-SA"/>
              </w:rPr>
              <w:t xml:space="preserve">The ABA-approved instruction is ordinarily proper, both before a jury deliberates and if it becomes deadlocked. The decision whether to (1) have the jury continue deliberating (with or without giving the ABAapproved instruction), or (2) declare a mistrial, is within the discretion of the trial court. </w:t>
            </w:r>
            <w:hyperlink r:id="rId63" w:history="1">
              <w:r>
                <w:rPr>
                  <w:rFonts w:ascii="arial" w:eastAsia="arial" w:hAnsi="arial" w:cs="arial"/>
                  <w:i/>
                  <w:color w:val="0077CC"/>
                  <w:sz w:val="20"/>
                  <w:u w:val="single"/>
                  <w:lang w:val="en-US" w:eastAsia="en-US" w:bidi="ar-SA"/>
                </w:rPr>
                <w:t>Mayfield v. State, 302 Md. 624, 632, 490 A.2d 687, 691-92 (1985).</w:t>
              </w:r>
            </w:hyperlink>
            <w:r>
              <w:rPr>
                <w:rFonts w:ascii="arial" w:eastAsia="arial" w:hAnsi="arial" w:cs="arial"/>
                <w:color w:val="000000"/>
                <w:sz w:val="20"/>
                <w:lang w:val="en-US" w:eastAsia="en-US" w:bidi="ar-SA"/>
              </w:rPr>
              <w:t xml:space="preserve"> Although the exact ABA language is not mandatory, the trial court should adhere closely to the ABA instruction because any change will be carefully scrutinized for coercive language. Thus, stylistic changes are permitted but substantive changes are not. </w:t>
            </w:r>
            <w:hyperlink r:id="rId55" w:history="1">
              <w:r>
                <w:rPr>
                  <w:rFonts w:ascii="arial" w:eastAsia="arial" w:hAnsi="arial" w:cs="arial"/>
                  <w:i/>
                  <w:color w:val="0077CC"/>
                  <w:sz w:val="20"/>
                  <w:u w:val="single"/>
                  <w:lang w:val="en-US" w:eastAsia="en-US" w:bidi="ar-SA"/>
                </w:rPr>
                <w:t>Goodmuth, 302 Md. at 622-23, 490 A.2d at 686-87;</w:t>
              </w:r>
            </w:hyperlink>
            <w:r>
              <w:rPr>
                <w:rFonts w:ascii="arial" w:eastAsia="arial" w:hAnsi="arial" w:cs="arial"/>
                <w:color w:val="000000"/>
                <w:sz w:val="20"/>
                <w:lang w:val="en-US" w:eastAsia="en-US" w:bidi="ar-SA"/>
              </w:rPr>
              <w:t xml:space="preserve"> </w:t>
            </w:r>
            <w:hyperlink r:id="rId54" w:history="1">
              <w:r>
                <w:rPr>
                  <w:rFonts w:ascii="arial" w:eastAsia="arial" w:hAnsi="arial" w:cs="arial"/>
                  <w:i/>
                  <w:color w:val="0077CC"/>
                  <w:sz w:val="20"/>
                  <w:u w:val="single"/>
                  <w:lang w:val="en-US" w:eastAsia="en-US" w:bidi="ar-SA"/>
                </w:rPr>
                <w:t>Burnette, 280 Md. at 100-01, 371 A.2d at 669;</w:t>
              </w:r>
            </w:hyperlink>
            <w:r>
              <w:rPr>
                <w:rFonts w:ascii="arial" w:eastAsia="arial" w:hAnsi="arial" w:cs="arial"/>
                <w:color w:val="000000"/>
                <w:sz w:val="20"/>
                <w:lang w:val="en-US" w:eastAsia="en-US" w:bidi="ar-SA"/>
              </w:rPr>
              <w:t xml:space="preserve"> </w:t>
            </w:r>
            <w:hyperlink r:id="rId52" w:history="1">
              <w:r>
                <w:rPr>
                  <w:rFonts w:ascii="arial" w:eastAsia="arial" w:hAnsi="arial" w:cs="arial"/>
                  <w:i/>
                  <w:color w:val="0077CC"/>
                  <w:sz w:val="20"/>
                  <w:u w:val="single"/>
                  <w:lang w:val="en-US" w:eastAsia="en-US" w:bidi="ar-SA"/>
                </w:rPr>
                <w:t>Kelly, 270 Md. at 143-44, 310 A.2d at 541-42;</w:t>
              </w:r>
            </w:hyperlink>
            <w:r>
              <w:rPr>
                <w:rFonts w:ascii="arial" w:eastAsia="arial" w:hAnsi="arial" w:cs="arial"/>
                <w:color w:val="000000"/>
                <w:sz w:val="20"/>
                <w:lang w:val="en-US" w:eastAsia="en-US" w:bidi="ar-SA"/>
              </w:rPr>
              <w:t xml:space="preserve"> </w:t>
            </w:r>
            <w:hyperlink r:id="rId64" w:history="1">
              <w:r>
                <w:rPr>
                  <w:rFonts w:ascii="arial" w:eastAsia="arial" w:hAnsi="arial" w:cs="arial"/>
                  <w:i/>
                  <w:color w:val="0077CC"/>
                  <w:sz w:val="20"/>
                  <w:u w:val="single"/>
                  <w:lang w:val="en-US" w:eastAsia="en-US" w:bidi="ar-SA"/>
                </w:rPr>
                <w:t>Butler v. State, 392 Md. 169, 186, 896 A.2d 359, 369 (2006)</w:t>
              </w:r>
            </w:hyperlink>
            <w:r>
              <w:rPr>
                <w:rFonts w:ascii="arial" w:eastAsia="arial" w:hAnsi="arial" w:cs="arial"/>
                <w:color w:val="000000"/>
                <w:sz w:val="20"/>
                <w:lang w:val="en-US" w:eastAsia="en-US" w:bidi="ar-SA"/>
              </w:rPr>
              <w:t xml:space="preserve"> (reiterating that "a trial judge's safest course of action when using the </w:t>
            </w:r>
            <w:r>
              <w:rPr>
                <w:rFonts w:ascii="arial" w:eastAsia="arial" w:hAnsi="arial" w:cs="arial"/>
                <w:i/>
                <w:color w:val="000000"/>
                <w:sz w:val="20"/>
                <w:lang w:val="en-US" w:eastAsia="en-US" w:bidi="ar-SA"/>
              </w:rPr>
              <w:t>Allen</w:t>
            </w:r>
            <w:r>
              <w:rPr>
                <w:rFonts w:ascii="arial" w:eastAsia="arial" w:hAnsi="arial" w:cs="arial"/>
                <w:color w:val="000000"/>
                <w:sz w:val="20"/>
                <w:lang w:val="en-US" w:eastAsia="en-US" w:bidi="ar-SA"/>
              </w:rPr>
              <w:t xml:space="preserve">-type charge is to adhere to MPJI-Cr 2:01."); </w:t>
            </w:r>
            <w:hyperlink r:id="rId65" w:history="1">
              <w:r>
                <w:rPr>
                  <w:rFonts w:ascii="arial" w:eastAsia="arial" w:hAnsi="arial" w:cs="arial"/>
                  <w:i/>
                  <w:color w:val="0077CC"/>
                  <w:sz w:val="20"/>
                  <w:u w:val="single"/>
                  <w:lang w:val="en-US" w:eastAsia="en-US" w:bidi="ar-SA"/>
                </w:rPr>
                <w:t>Goldsberry v. State, 182 Md. App. 394, 413, 957 A.2d 1110, 1122 (2008)</w:t>
              </w:r>
            </w:hyperlink>
            <w:r>
              <w:rPr>
                <w:rFonts w:ascii="arial" w:eastAsia="arial" w:hAnsi="arial" w:cs="arial"/>
                <w:color w:val="000000"/>
                <w:sz w:val="20"/>
                <w:lang w:val="en-US" w:eastAsia="en-US" w:bidi="ar-SA"/>
              </w:rPr>
              <w:t xml:space="preserve"> (reversible error to instruct jury that "anything short of a unanimous verdict is not acceptable."), </w:t>
            </w:r>
            <w:r>
              <w:rPr>
                <w:rFonts w:ascii="arial" w:eastAsia="arial" w:hAnsi="arial" w:cs="arial"/>
                <w:i/>
                <w:color w:val="000000"/>
                <w:sz w:val="20"/>
                <w:lang w:val="en-US" w:eastAsia="en-US" w:bidi="ar-SA"/>
              </w:rPr>
              <w:t xml:space="preserve">rev'd on other grounds, </w:t>
            </w:r>
            <w:hyperlink r:id="rId66" w:history="1">
              <w:r>
                <w:rPr>
                  <w:rFonts w:ascii="arial" w:eastAsia="arial" w:hAnsi="arial" w:cs="arial"/>
                  <w:i/>
                  <w:color w:val="0077CC"/>
                  <w:sz w:val="20"/>
                  <w:u w:val="single"/>
                  <w:lang w:val="en-US" w:eastAsia="en-US" w:bidi="ar-SA"/>
                </w:rPr>
                <w:t>State v. Goldsberry, 419 Md. 100, 18 A.3d 836 (2011).</w:t>
              </w:r>
            </w:hyperlink>
            <w:r>
              <w:rPr>
                <w:rFonts w:ascii="arial" w:eastAsia="arial" w:hAnsi="arial" w:cs="arial"/>
                <w:color w:val="000000"/>
                <w:sz w:val="20"/>
                <w:lang w:val="en-US" w:eastAsia="en-US" w:bidi="ar-SA"/>
              </w:rPr>
              <w:t xml:space="preserve"> The Committee's instruction contains stylistic changes to the first and second paragraphs of the ABA instruction and deletes the final paragraph as a reiteration containing no additional substance.</w:t>
            </w:r>
          </w:p>
          <w:p>
            <w:pPr>
              <w:spacing w:before="240" w:line="260" w:lineRule="atLeast"/>
              <w:ind w:left="60" w:right="360"/>
              <w:jc w:val="both"/>
              <w:rPr>
                <w:lang w:val="en-US" w:eastAsia="en-US" w:bidi="ar-SA"/>
              </w:rPr>
            </w:pPr>
            <w:r>
              <w:rPr>
                <w:rFonts w:ascii="arial" w:eastAsia="arial" w:hAnsi="arial" w:cs="arial"/>
                <w:color w:val="000000"/>
                <w:sz w:val="20"/>
                <w:lang w:val="en-US" w:eastAsia="en-US" w:bidi="ar-SA"/>
              </w:rPr>
              <w:t xml:space="preserve">Judges must be careful that their responses to jury questions are not coercive. </w:t>
            </w:r>
            <w:r>
              <w:rPr>
                <w:rFonts w:ascii="arial" w:eastAsia="arial" w:hAnsi="arial" w:cs="arial"/>
                <w:i/>
                <w:color w:val="000000"/>
                <w:sz w:val="20"/>
                <w:lang w:val="en-US" w:eastAsia="en-US" w:bidi="ar-SA"/>
              </w:rPr>
              <w:t xml:space="preserve">See </w:t>
            </w:r>
            <w:hyperlink r:id="rId64" w:history="1">
              <w:r>
                <w:rPr>
                  <w:rFonts w:ascii="arial" w:eastAsia="arial" w:hAnsi="arial" w:cs="arial"/>
                  <w:i/>
                  <w:color w:val="0077CC"/>
                  <w:sz w:val="20"/>
                  <w:u w:val="single"/>
                  <w:lang w:val="en-US" w:eastAsia="en-US" w:bidi="ar-SA"/>
                </w:rPr>
                <w:t>Butler, 392 Md. 178, 896 A.2d 364</w:t>
              </w:r>
            </w:hyperlink>
            <w:r>
              <w:rPr>
                <w:rFonts w:ascii="arial" w:eastAsia="arial" w:hAnsi="arial" w:cs="arial"/>
                <w:color w:val="000000"/>
                <w:sz w:val="20"/>
                <w:lang w:val="en-US" w:eastAsia="en-US" w:bidi="ar-SA"/>
              </w:rPr>
              <w:t xml:space="preserve"> (defendant's right to a fair trial by an impartial jury was undermined by the trial judge's comments, made in response to a jury note).</w:t>
            </w:r>
          </w:p>
          <w:p>
            <w:pPr>
              <w:spacing w:before="200" w:line="260" w:lineRule="atLeast"/>
              <w:ind w:left="60" w:right="360"/>
              <w:jc w:val="both"/>
              <w:rPr>
                <w:lang w:val="en-US" w:eastAsia="en-US" w:bidi="ar-SA"/>
              </w:rPr>
            </w:pPr>
            <w:r>
              <w:rPr>
                <w:rFonts w:ascii="arial" w:eastAsia="arial" w:hAnsi="arial" w:cs="arial"/>
                <w:color w:val="000000"/>
                <w:sz w:val="20"/>
                <w:lang w:val="en-US" w:eastAsia="en-US" w:bidi="ar-SA"/>
              </w:rPr>
              <w:t xml:space="preserve">The trial court may reopen the case to admit additional evidence after the jury has begun deliberations. </w:t>
            </w:r>
            <w:hyperlink r:id="rId67" w:history="1">
              <w:r>
                <w:rPr>
                  <w:rFonts w:ascii="arial" w:eastAsia="arial" w:hAnsi="arial" w:cs="arial"/>
                  <w:i/>
                  <w:color w:val="0077CC"/>
                  <w:sz w:val="20"/>
                  <w:u w:val="single"/>
                  <w:lang w:val="en-US" w:eastAsia="en-US" w:bidi="ar-SA"/>
                </w:rPr>
                <w:t>Dyson v. State, 328 Md. 490, 615 A.2d 1182 (1992).</w:t>
              </w:r>
            </w:hyperlink>
            <w:r>
              <w:rPr>
                <w:rFonts w:ascii="arial" w:eastAsia="arial" w:hAnsi="arial" w:cs="arial"/>
                <w:color w:val="000000"/>
                <w:sz w:val="20"/>
                <w:lang w:val="en-US" w:eastAsia="en-US" w:bidi="ar-SA"/>
              </w:rPr>
              <w:t xml:space="preserve"> Such evidence, however, must be received with the "utmost caution" and only in extraordinary circumstances. </w:t>
            </w:r>
            <w:hyperlink r:id="rId67" w:history="1">
              <w:r>
                <w:rPr>
                  <w:rFonts w:ascii="arial" w:eastAsia="arial" w:hAnsi="arial" w:cs="arial"/>
                  <w:i/>
                  <w:color w:val="0077CC"/>
                  <w:sz w:val="20"/>
                  <w:u w:val="single"/>
                  <w:lang w:val="en-US" w:eastAsia="en-US" w:bidi="ar-SA"/>
                </w:rPr>
                <w:t>Id. at 501, 615 A.2d at 1187.</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 xml:space="preserve">See </w:t>
            </w:r>
            <w:hyperlink r:id="rId68" w:history="1">
              <w:r>
                <w:rPr>
                  <w:rFonts w:ascii="arial" w:eastAsia="arial" w:hAnsi="arial" w:cs="arial"/>
                  <w:i/>
                  <w:color w:val="0077CC"/>
                  <w:sz w:val="20"/>
                  <w:u w:val="single"/>
                  <w:lang w:val="en-US" w:eastAsia="en-US" w:bidi="ar-SA"/>
                </w:rPr>
                <w:t>Garbutt v. State, 94 Md. App. 627, 618 A.2d 272</w:t>
              </w:r>
            </w:hyperlink>
            <w:r>
              <w:rPr>
                <w:rFonts w:ascii="arial" w:eastAsia="arial" w:hAnsi="arial" w:cs="arial"/>
                <w:color w:val="000000"/>
                <w:sz w:val="20"/>
                <w:lang w:val="en-US" w:eastAsia="en-US" w:bidi="ar-SA"/>
              </w:rPr>
              <w:t xml:space="preserve"> (improper for the trial court to allow the bailiff, at the jury's request, after deliberations began, to demonstrate and explain the methods of loading the gun), </w:t>
            </w:r>
            <w:r>
              <w:rPr>
                <w:rFonts w:ascii="arial" w:eastAsia="arial" w:hAnsi="arial" w:cs="arial"/>
                <w:i/>
                <w:color w:val="000000"/>
                <w:sz w:val="20"/>
                <w:lang w:val="en-US" w:eastAsia="en-US" w:bidi="ar-SA"/>
              </w:rPr>
              <w:t>cert. denied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330 Md. 318, 624 A.2d 490 (1993).</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 xml:space="preserve">But see </w:t>
            </w:r>
            <w:hyperlink r:id="rId69" w:history="1">
              <w:r>
                <w:rPr>
                  <w:rFonts w:ascii="arial" w:eastAsia="arial" w:hAnsi="arial" w:cs="arial"/>
                  <w:i/>
                  <w:color w:val="0077CC"/>
                  <w:sz w:val="20"/>
                  <w:u w:val="single"/>
                  <w:lang w:val="en-US" w:eastAsia="en-US" w:bidi="ar-SA"/>
                </w:rPr>
                <w:t>Summers v. State, 152 Md. App. 362, 831 A.2d 1134</w:t>
              </w:r>
            </w:hyperlink>
            <w:r>
              <w:rPr>
                <w:rFonts w:ascii="arial" w:eastAsia="arial" w:hAnsi="arial" w:cs="arial"/>
                <w:color w:val="000000"/>
                <w:sz w:val="20"/>
                <w:lang w:val="en-US" w:eastAsia="en-US" w:bidi="ar-SA"/>
              </w:rPr>
              <w:t xml:space="preserve"> (not an abuse of discretion for the trial court to refuse to grant a mistrial, based on alleged juror misconduct, when one juror complained of being harassed to reach a unanimous verdict), </w:t>
            </w:r>
            <w:r>
              <w:rPr>
                <w:rFonts w:ascii="arial" w:eastAsia="arial" w:hAnsi="arial" w:cs="arial"/>
                <w:i/>
                <w:color w:val="000000"/>
                <w:sz w:val="20"/>
                <w:lang w:val="en-US" w:eastAsia="en-US" w:bidi="ar-SA"/>
              </w:rPr>
              <w:t>cert. denied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378 Md. 619, 837 A.2d 929 (2003).</w:t>
            </w:r>
          </w:p>
          <w:p>
            <w:pPr>
              <w:spacing w:after="120"/>
              <w:rPr>
                <w:lang w:val="en-US" w:eastAsia="en-US" w:bidi="ar-SA"/>
              </w:rPr>
            </w:pPr>
          </w:p>
        </w:tc>
      </w:tr>
    </w:tbl>
    <w:p>
      <w:pPr>
        <w:spacing w:before="60" w:line="260" w:lineRule="atLeast"/>
        <w:ind w:left="720"/>
        <w:jc w:val="both"/>
        <w:rPr>
          <w:lang w:val="en-US" w:eastAsia="en-US" w:bidi="ar-SA"/>
        </w:rPr>
      </w:pPr>
      <w:r>
        <w:rPr>
          <w:rFonts w:ascii="arial" w:eastAsia="arial" w:hAnsi="arial" w:cs="arial"/>
          <w:color w:val="000000"/>
          <w:sz w:val="20"/>
          <w:lang w:val="en-US" w:eastAsia="en-US" w:bidi="ar-SA"/>
        </w:rPr>
        <w:t>#MICPEL#</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Reference</w:t>
      </w:r>
    </w:p>
    <w:p>
      <w:pPr>
        <w:spacing w:line="60" w:lineRule="exact"/>
        <w:rPr>
          <w:lang w:val="en-US" w:eastAsia="en-US" w:bidi="ar-SA"/>
        </w:rPr>
      </w:pPr>
      <w:r>
        <w:pict>
          <v:line id="_x0000_s1032" style="position:absolute;z-index:251665408" from="0,2pt" to="512pt,2pt" strokecolor="#009ddb" strokeweight="2pt">
            <v:stroke linestyle="single"/>
            <w10:wrap type="topAndBottom"/>
          </v:line>
        </w:pict>
      </w:r>
    </w:p>
    <w:p>
      <w:pPr>
        <w:spacing w:line="120" w:lineRule="exact"/>
        <w:rPr>
          <w:lang w:val="en-US" w:eastAsia="en-US" w:bidi="ar-SA"/>
        </w:rPr>
      </w:pPr>
    </w:p>
    <w:p>
      <w:pPr>
        <w:spacing w:before="120" w:line="260" w:lineRule="atLeast"/>
        <w:rPr>
          <w:lang w:val="en-US" w:eastAsia="en-US" w:bidi="ar-SA"/>
        </w:rPr>
      </w:pPr>
      <w:r>
        <w:rPr>
          <w:rFonts w:ascii="arial" w:eastAsia="arial" w:hAnsi="arial" w:cs="arial"/>
          <w:color w:val="000000"/>
          <w:sz w:val="20"/>
          <w:lang w:val="en-US" w:eastAsia="en-US" w:bidi="ar-SA"/>
        </w:rPr>
        <w:t>MPJI-Cr 2:03.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Source:</w:t>
      </w:r>
      <w:r>
        <w:rPr>
          <w:rFonts w:ascii="arial" w:eastAsia="arial" w:hAnsi="arial" w:cs="arial"/>
          <w:color w:val="000000"/>
          <w:sz w:val="20"/>
          <w:lang w:val="en-US" w:eastAsia="en-US" w:bidi="ar-SA"/>
        </w:rPr>
        <w:t> MICPEL</w:t>
      </w:r>
    </w:p>
    <w:p>
      <w:pPr>
        <w:spacing w:before="240" w:line="220" w:lineRule="atLeast"/>
        <w:rPr>
          <w:lang w:val="en-US" w:eastAsia="en-US" w:bidi="ar-SA"/>
        </w:rPr>
      </w:pPr>
      <w:r>
        <w:rPr>
          <w:rFonts w:ascii="arial" w:eastAsia="arial" w:hAnsi="arial" w:cs="arial"/>
          <w:color w:val="000000"/>
          <w:sz w:val="16"/>
          <w:lang w:val="en-US" w:eastAsia="en-US" w:bidi="ar-SA"/>
        </w:rPr>
        <w:t>Maryland Criminal Pattern Jury Instructions</w:t>
      </w:r>
    </w:p>
    <w:p>
      <w:pPr>
        <w:spacing w:line="220" w:lineRule="atLeast"/>
        <w:rPr>
          <w:lang w:val="en-US" w:eastAsia="en-US" w:bidi="ar-SA"/>
        </w:rPr>
      </w:pPr>
      <w:r>
        <w:rPr>
          <w:rFonts w:ascii="arial" w:eastAsia="arial" w:hAnsi="arial" w:cs="arial"/>
          <w:color w:val="000000"/>
          <w:sz w:val="16"/>
          <w:lang w:val="en-US" w:eastAsia="en-US" w:bidi="ar-SA"/>
        </w:rPr>
        <w:t>Copyright 2018 by The Maryland State Bar Association, Inc.</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3" style="position:absolute;z-index:2516715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0"/>
          <w:headerReference w:type="default" r:id="rId71"/>
          <w:footerReference w:type="even" r:id="rId72"/>
          <w:footerReference w:type="default" r:id="rId73"/>
          <w:headerReference w:type="first" r:id="rId74"/>
          <w:footerReference w:type="first" r:id="rId75"/>
          <w:type w:val="nextPage"/>
          <w:pgSz w:w="12240" w:h="15840"/>
          <w:pgMar w:top="840" w:right="1000" w:bottom="840" w:left="1000" w:header="400" w:footer="400"/>
          <w:pgNumType w:fmt="decimal"/>
          <w:cols w:space="720"/>
          <w:titlePg/>
        </w:sectPr>
      </w:pPr>
    </w:p>
    <w:p>
      <w:pPr>
        <w:rPr>
          <w:lang w:val="en-US" w:eastAsia="en-US" w:bidi="ar-SA"/>
        </w:rPr>
      </w:pPr>
      <w:bookmarkStart w:id="2" w:name="Bookmark_3"/>
      <w:bookmarkEnd w:id="2"/>
    </w:p>
    <w:p>
      <w:pPr>
        <w:rPr>
          <w:lang w:val="en-US" w:eastAsia="en-US" w:bidi="ar-SA"/>
        </w:rPr>
      </w:pPr>
      <w:r>
        <w:pict>
          <v:shape id="_x0000_i1034" type="#_x0000_t75" alt="LexisNexis®" style="width:147.77pt;height:30pt">
            <v:imagedata r:id="rId4" o:title=""/>
          </v:shape>
        </w:pict>
      </w:r>
      <w:r>
        <w:rPr>
          <w:lang w:val="en-US" w:eastAsia="en-US" w:bidi="ar-SA"/>
        </w:rPr>
        <w:cr/>
      </w:r>
    </w:p>
    <w:p>
      <w:pPr>
        <w:spacing w:before="240" w:after="200" w:line="340" w:lineRule="atLeast"/>
        <w:jc w:val="center"/>
        <w:outlineLvl w:val="0"/>
        <w:rPr>
          <w:rFonts w:ascii="Arial" w:hAnsi="Arial" w:cs="Arial"/>
          <w:b/>
          <w:bCs/>
          <w:kern w:val="32"/>
          <w:sz w:val="32"/>
          <w:szCs w:val="32"/>
          <w:lang w:val="en-US" w:eastAsia="en-US" w:bidi="ar-SA"/>
        </w:rPr>
      </w:pPr>
      <w:hyperlink r:id="rId76" w:history="1">
        <w:r>
          <w:rPr>
            <w:rFonts w:ascii="arial" w:eastAsia="arial" w:hAnsi="arial" w:cs="arial"/>
            <w:b/>
            <w:bCs/>
            <w:i/>
            <w:color w:val="0077CC"/>
            <w:kern w:val="32"/>
            <w:sz w:val="28"/>
            <w:szCs w:val="32"/>
            <w:u w:val="single"/>
            <w:lang w:val="en-US" w:eastAsia="en-US" w:bidi="ar-SA"/>
          </w:rPr>
          <w:t>MPJI-Cr 2:02</w:t>
        </w:r>
      </w:hyperlink>
    </w:p>
    <w:p>
      <w:pPr>
        <w:spacing w:line="240" w:lineRule="atLeast"/>
        <w:jc w:val="both"/>
        <w:rPr>
          <w:lang w:val="en-US" w:eastAsia="en-US" w:bidi="ar-SA"/>
        </w:rPr>
      </w:pPr>
    </w:p>
    <w:p>
      <w:pPr>
        <w:spacing w:before="200" w:line="280" w:lineRule="atLeast"/>
        <w:rPr>
          <w:lang w:val="en-US" w:eastAsia="en-US" w:bidi="ar-SA"/>
        </w:rPr>
      </w:pPr>
      <w:r>
        <w:rPr>
          <w:rFonts w:ascii="arial" w:eastAsia="arial" w:hAnsi="arial" w:cs="arial"/>
          <w:b/>
          <w:i/>
          <w:color w:val="000000"/>
          <w:sz w:val="22"/>
          <w:lang w:val="en-US" w:eastAsia="en-US" w:bidi="ar-SA"/>
        </w:rPr>
        <w:t>Maryland Criminal Pattern Jury Instructions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CHAPTER 2 GENERAL INSTRUCTIONS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PRESUMPTION OF INNOCENCE AND REASONABLE DOUBT</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2:02Presumption of Innocence and Reasonable Doubt</w:t>
      </w:r>
    </w:p>
    <w:p>
      <w:pPr>
        <w:spacing w:line="60" w:lineRule="exact"/>
        <w:rPr>
          <w:lang w:val="en-US" w:eastAsia="en-US" w:bidi="ar-SA"/>
        </w:rPr>
      </w:pPr>
      <w:r>
        <w:pict>
          <v:line id="_x0000_s1035" style="position:absolute;z-index:25166028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color w:val="000000"/>
          <w:sz w:val="20"/>
          <w:lang w:val="en-US" w:eastAsia="en-US" w:bidi="ar-SA"/>
        </w:rPr>
        <w:t>The defendant is presumed to be innocent of the charges. This presumption remains throughout every stage of the trial and is not overcome unless you are convinced beyond a reasonable doubt that the defendant is guilty</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b/>
          <w:color w:val="000000"/>
          <w:sz w:val="20"/>
          <w:lang w:val="en-US" w:eastAsia="en-US" w:bidi="ar-SA"/>
        </w:rPr>
        <w:t>The State has the burden of proving the guilt of the defendant beyond a reasonable doubt. This means that the State has the burden of proving, beyond a reasonable doubt, each and every element of the crime [crimes] charged. The elements of a crime are the component parts of the crime about which I will instruct you shortly. This burden remains on the State throughout the trial. The defendant is not required to prove [his] [her] innocence. However, the State is not required to prove guilt beyond all possible doubt or to a mathematical certainty. Nor is the State required to negate every conceivable circumstance of innocence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b/>
          <w:color w:val="000000"/>
          <w:sz w:val="20"/>
          <w:lang w:val="en-US" w:eastAsia="en-US" w:bidi="ar-SA"/>
        </w:rPr>
        <w:t>A reasonable doubt is a doubt founded upon reason. Proof beyond a reasonable doubt requires such proof as would convince you of the truth of a fact to the extent that you would be willing to act upon such belief without reservation in an important matter in your own business or personal affairs. If you are not satisfied of the defendant's guilt to that extent for each and every element of a [the] crime charged, then reasonable doubt exists and the defendant must be found not guilty of that [the] crime</w:t>
      </w:r>
      <w:r>
        <w:rPr>
          <w:rFonts w:ascii="arial" w:eastAsia="arial" w:hAnsi="arial" w:cs="arial"/>
          <w:color w:val="000000"/>
          <w:sz w:val="20"/>
          <w:lang w:val="en-US" w:eastAsia="en-US" w:bidi="ar-SA"/>
        </w:rPr>
        <w:t>.</w:t>
      </w:r>
    </w:p>
    <w:p>
      <w:pPr>
        <w:rPr>
          <w:lang w:val="en-US" w:eastAsia="en-US" w:bidi="ar-SA"/>
        </w:rPr>
      </w:pPr>
    </w:p>
    <w:tbl>
      <w:tblPr>
        <w:tblStyle w:val="TableNormal"/>
        <w:tblW w:w="0" w:type="auto"/>
        <w:tblInd w:w="0" w:type="dxa"/>
        <w:tblBorders>
          <w:top w:val="single" w:sz="8" w:space="0" w:color="BCBEC0"/>
          <w:left w:val="single" w:sz="8" w:space="0" w:color="BCBEC0"/>
          <w:bottom w:val="single" w:sz="8" w:space="0" w:color="BCBEC0"/>
          <w:right w:val="single" w:sz="8" w:space="0" w:color="BCBEC0"/>
          <w:insideH w:val="single" w:sz="8" w:space="0" w:color="BCBEC0"/>
          <w:insideV w:val="single" w:sz="8" w:space="0" w:color="BCBEC0"/>
        </w:tblBorders>
        <w:tblLayout w:type="fixed"/>
        <w:tblCellMar>
          <w:left w:w="108" w:type="dxa"/>
          <w:right w:w="108" w:type="dxa"/>
        </w:tblCellMar>
      </w:tblPr>
      <w:tblGrid>
        <w:gridCol w:w="10240"/>
      </w:tblGrid>
      <w:tr>
        <w:tblPrEx>
          <w:tblW w:w="0" w:type="auto"/>
          <w:tblInd w:w="0" w:type="dxa"/>
          <w:tblBorders>
            <w:top w:val="single" w:sz="8" w:space="0" w:color="BCBEC0"/>
            <w:left w:val="single" w:sz="8" w:space="0" w:color="BCBEC0"/>
            <w:bottom w:val="single" w:sz="8" w:space="0" w:color="BCBEC0"/>
            <w:right w:val="single" w:sz="8" w:space="0" w:color="BCBEC0"/>
            <w:insideH w:val="single" w:sz="8" w:space="0" w:color="BCBEC0"/>
            <w:insideV w:val="single" w:sz="8" w:space="0" w:color="BCBEC0"/>
          </w:tblBorders>
          <w:tblLayout w:type="fixed"/>
          <w:tblCellMar>
            <w:left w:w="108" w:type="dxa"/>
            <w:right w:w="108" w:type="dxa"/>
          </w:tblCellMar>
        </w:tblPrEx>
        <w:tc>
          <w:tcPr>
            <w:tcW w:w="10240" w:type="dxa"/>
            <w:vAlign w:val="center"/>
          </w:tcPr>
          <w:p>
            <w:pPr>
              <w:spacing w:before="240" w:line="260" w:lineRule="atLeast"/>
              <w:ind w:left="60" w:right="360"/>
              <w:rPr>
                <w:lang w:val="en-US" w:eastAsia="en-US" w:bidi="ar-SA"/>
              </w:rPr>
            </w:pPr>
            <w:r>
              <w:rPr>
                <w:rFonts w:ascii="arial" w:eastAsia="arial" w:hAnsi="arial" w:cs="arial"/>
                <w:b/>
                <w:color w:val="000000"/>
                <w:sz w:val="20"/>
                <w:lang w:val="en-US" w:eastAsia="en-US" w:bidi="ar-SA"/>
              </w:rPr>
              <w:t> </w:t>
            </w:r>
          </w:p>
          <w:p>
            <w:pPr>
              <w:spacing w:before="200" w:line="260" w:lineRule="atLeast"/>
              <w:ind w:left="60" w:right="360"/>
              <w:jc w:val="both"/>
              <w:rPr>
                <w:lang w:val="en-US" w:eastAsia="en-US" w:bidi="ar-SA"/>
              </w:rPr>
            </w:pPr>
            <w:r>
              <w:rPr>
                <w:rFonts w:ascii="arial" w:eastAsia="arial" w:hAnsi="arial" w:cs="arial"/>
                <w:color w:val="000000"/>
                <w:sz w:val="20"/>
                <w:lang w:val="en-US" w:eastAsia="en-US" w:bidi="ar-SA"/>
              </w:rPr>
              <w:t>COMMENT</w:t>
            </w:r>
          </w:p>
          <w:p>
            <w:pPr>
              <w:spacing w:before="200" w:line="260" w:lineRule="atLeast"/>
              <w:ind w:left="60" w:right="360"/>
              <w:jc w:val="both"/>
              <w:rPr>
                <w:lang w:val="en-US" w:eastAsia="en-US" w:bidi="ar-SA"/>
              </w:rPr>
            </w:pPr>
            <w:r>
              <w:rPr>
                <w:rFonts w:ascii="arial" w:eastAsia="arial" w:hAnsi="arial" w:cs="arial"/>
                <w:color w:val="000000"/>
                <w:sz w:val="20"/>
                <w:lang w:val="en-US" w:eastAsia="en-US" w:bidi="ar-SA"/>
              </w:rPr>
              <w:t>The first paragraph of the instruction explains the presumption of innocence and explains its relationship to reasonable doubt. The second paragraph allocates the burden of persuasion and explains its relationship to reasonable doubt. The third paragraph explains reasonable doubt. Prior to the 1999 edition, the second sentence of the third paragraph read: "It is not a fanciful doubt, a whimsical doubt or a capricious doubt." In response to concern raised by numerous judges regarding confusion caused by this language, the committee removed this sentence from the instruction.</w:t>
            </w:r>
          </w:p>
          <w:p>
            <w:pPr>
              <w:spacing w:before="240" w:line="260" w:lineRule="atLeast"/>
              <w:ind w:left="60" w:right="360"/>
              <w:jc w:val="both"/>
              <w:rPr>
                <w:lang w:val="en-US" w:eastAsia="en-US" w:bidi="ar-SA"/>
              </w:rPr>
            </w:pPr>
            <w:r>
              <w:rPr>
                <w:rFonts w:ascii="arial" w:eastAsia="arial" w:hAnsi="arial" w:cs="arial"/>
                <w:color w:val="000000"/>
                <w:sz w:val="20"/>
                <w:lang w:val="en-US" w:eastAsia="en-US" w:bidi="ar-SA"/>
              </w:rPr>
              <w:t xml:space="preserve">In </w:t>
            </w:r>
            <w:hyperlink r:id="rId56" w:history="1">
              <w:r>
                <w:rPr>
                  <w:rFonts w:ascii="arial" w:eastAsia="arial" w:hAnsi="arial" w:cs="arial"/>
                  <w:i/>
                  <w:color w:val="0077CC"/>
                  <w:sz w:val="20"/>
                  <w:u w:val="single"/>
                  <w:lang w:val="en-US" w:eastAsia="en-US" w:bidi="ar-SA"/>
                </w:rPr>
                <w:t>Ruffin v. State, 394 Md. 355, 356, 906 A.2d 360, 361 (2006),</w:t>
              </w:r>
            </w:hyperlink>
            <w:r>
              <w:rPr>
                <w:rFonts w:ascii="arial" w:eastAsia="arial" w:hAnsi="arial" w:cs="arial"/>
                <w:color w:val="000000"/>
                <w:sz w:val="20"/>
                <w:lang w:val="en-US" w:eastAsia="en-US" w:bidi="ar-SA"/>
              </w:rPr>
              <w:t xml:space="preserve"> the Court said: "In every criminal jury trial, the trial court is required to instruct the jury that the defendant is presumed innocent, that in order to convict the defendant of the charged crime the State must prove the guilt of the defendant beyond a reasonable doubt, and that the jury has a duty to acquit in the absence of such proof." The issue in </w:t>
            </w:r>
            <w:r>
              <w:rPr>
                <w:rFonts w:ascii="arial" w:eastAsia="arial" w:hAnsi="arial" w:cs="arial"/>
                <w:i/>
                <w:color w:val="000000"/>
                <w:sz w:val="20"/>
                <w:lang w:val="en-US" w:eastAsia="en-US" w:bidi="ar-SA"/>
              </w:rPr>
              <w:t>Ruffin</w:t>
            </w:r>
            <w:r>
              <w:rPr>
                <w:rFonts w:ascii="arial" w:eastAsia="arial" w:hAnsi="arial" w:cs="arial"/>
                <w:color w:val="000000"/>
                <w:sz w:val="20"/>
                <w:lang w:val="en-US" w:eastAsia="en-US" w:bidi="ar-SA"/>
              </w:rPr>
              <w:t xml:space="preserve"> was "whether the trial court's jury instruction on the presumption of innocence and proof beyond a reasonable doubt was erroneous because it deviated from [MPJI-Cr 2:02]." </w:t>
            </w:r>
            <w:hyperlink r:id="rId56" w:history="1">
              <w:r>
                <w:rPr>
                  <w:rFonts w:ascii="arial" w:eastAsia="arial" w:hAnsi="arial" w:cs="arial"/>
                  <w:i/>
                  <w:color w:val="0077CC"/>
                  <w:sz w:val="20"/>
                  <w:u w:val="single"/>
                  <w:lang w:val="en-US" w:eastAsia="en-US" w:bidi="ar-SA"/>
                </w:rPr>
                <w:t>Ruffin, 394 Md. at 356-57, 906 A.2d at 362</w:t>
              </w:r>
            </w:hyperlink>
            <w:r>
              <w:rPr>
                <w:rFonts w:ascii="arial" w:eastAsia="arial" w:hAnsi="arial" w:cs="arial"/>
                <w:color w:val="000000"/>
                <w:sz w:val="20"/>
                <w:lang w:val="en-US" w:eastAsia="en-US" w:bidi="ar-SA"/>
              </w:rPr>
              <w:t xml:space="preserve"> (footnote omitted). The court held that the trial court's instruction was invalid and said: "the trial court must closely adhere to the approved pattern instruction on the presumption of innocence and reasonable doubt, MPJI-Cr 2:02[,]" </w:t>
            </w:r>
            <w:hyperlink r:id="rId56" w:history="1">
              <w:r>
                <w:rPr>
                  <w:rFonts w:ascii="arial" w:eastAsia="arial" w:hAnsi="arial" w:cs="arial"/>
                  <w:i/>
                  <w:color w:val="0077CC"/>
                  <w:sz w:val="20"/>
                  <w:u w:val="single"/>
                  <w:lang w:val="en-US" w:eastAsia="en-US" w:bidi="ar-SA"/>
                </w:rPr>
                <w:t>id. at 357, 906 A.2d at 361-62,</w:t>
              </w:r>
            </w:hyperlink>
            <w:r>
              <w:rPr>
                <w:rFonts w:ascii="arial" w:eastAsia="arial" w:hAnsi="arial" w:cs="arial"/>
                <w:color w:val="000000"/>
                <w:sz w:val="20"/>
                <w:lang w:val="en-US" w:eastAsia="en-US" w:bidi="ar-SA"/>
              </w:rPr>
              <w:t xml:space="preserve"> and therefore, "the specific instruction given by the trial court in this case constituted reversible error." </w:t>
            </w:r>
            <w:hyperlink r:id="rId56" w:history="1">
              <w:r>
                <w:rPr>
                  <w:rFonts w:ascii="arial" w:eastAsia="arial" w:hAnsi="arial" w:cs="arial"/>
                  <w:i/>
                  <w:color w:val="0077CC"/>
                  <w:sz w:val="20"/>
                  <w:u w:val="single"/>
                  <w:lang w:val="en-US" w:eastAsia="en-US" w:bidi="ar-SA"/>
                </w:rPr>
                <w:t>Id. at 357, 906 A.2d at 362.</w:t>
              </w:r>
            </w:hyperlink>
            <w:r>
              <w:rPr>
                <w:rFonts w:ascii="arial" w:eastAsia="arial" w:hAnsi="arial" w:cs="arial"/>
                <w:color w:val="000000"/>
                <w:sz w:val="20"/>
                <w:lang w:val="en-US" w:eastAsia="en-US" w:bidi="ar-SA"/>
              </w:rPr>
              <w:t xml:space="preserve"> Thus, "in every criminal jury trial, the trial court is required to instruct the jury on the presumption of innocence and the reasonable doubt standard of proof which closely adheres in substance to MPJI-Cr 2:02. Deviations in substance will not be tolerated." </w:t>
            </w:r>
            <w:hyperlink r:id="rId56" w:history="1">
              <w:r>
                <w:rPr>
                  <w:rFonts w:ascii="arial" w:eastAsia="arial" w:hAnsi="arial" w:cs="arial"/>
                  <w:i/>
                  <w:color w:val="0077CC"/>
                  <w:sz w:val="20"/>
                  <w:u w:val="single"/>
                  <w:lang w:val="en-US" w:eastAsia="en-US" w:bidi="ar-SA"/>
                </w:rPr>
                <w:t>Id. at 373, 906 A.2d at 371</w:t>
              </w:r>
            </w:hyperlink>
            <w:r>
              <w:rPr>
                <w:rFonts w:ascii="arial" w:eastAsia="arial" w:hAnsi="arial" w:cs="arial"/>
                <w:color w:val="000000"/>
                <w:sz w:val="20"/>
                <w:lang w:val="en-US" w:eastAsia="en-US" w:bidi="ar-SA"/>
              </w:rPr>
              <w:t xml:space="preserve"> (footnote omitted). This is "a matter of nonconstitutional Maryland criminal law[.]" </w:t>
            </w:r>
            <w:hyperlink r:id="rId56" w:history="1">
              <w:r>
                <w:rPr>
                  <w:rFonts w:ascii="arial" w:eastAsia="arial" w:hAnsi="arial" w:cs="arial"/>
                  <w:i/>
                  <w:color w:val="0077CC"/>
                  <w:sz w:val="20"/>
                  <w:u w:val="single"/>
                  <w:lang w:val="en-US" w:eastAsia="en-US" w:bidi="ar-SA"/>
                </w:rPr>
                <w:t>Id. at 363, 906 A.2d at 365.</w:t>
              </w:r>
            </w:hyperlink>
          </w:p>
          <w:p>
            <w:pPr>
              <w:spacing w:before="240" w:line="260" w:lineRule="atLeast"/>
              <w:ind w:left="60" w:right="360"/>
              <w:jc w:val="both"/>
              <w:rPr>
                <w:lang w:val="en-US" w:eastAsia="en-US" w:bidi="ar-SA"/>
              </w:rPr>
            </w:pPr>
            <w:r>
              <w:rPr>
                <w:rFonts w:ascii="arial" w:eastAsia="arial" w:hAnsi="arial" w:cs="arial"/>
                <w:color w:val="000000"/>
                <w:sz w:val="20"/>
                <w:lang w:val="en-US" w:eastAsia="en-US" w:bidi="ar-SA"/>
              </w:rPr>
              <w:t xml:space="preserve">In 2013, the committee added the requirement that the State prove, beyond a reasonable doubt, "each and every element of the crime [crimes] charged." We did so at the invitation of both State appellate courts. In </w:t>
            </w:r>
            <w:hyperlink r:id="rId77" w:history="1">
              <w:r>
                <w:rPr>
                  <w:rFonts w:ascii="arial" w:eastAsia="arial" w:hAnsi="arial" w:cs="arial"/>
                  <w:i/>
                  <w:color w:val="0077CC"/>
                  <w:sz w:val="20"/>
                  <w:u w:val="single"/>
                  <w:lang w:val="en-US" w:eastAsia="en-US" w:bidi="ar-SA"/>
                </w:rPr>
                <w:t>Carroll v. State, 428 Md. 679, 53 A.3d 1159 (2012),</w:t>
              </w:r>
            </w:hyperlink>
            <w:r>
              <w:rPr>
                <w:rFonts w:ascii="arial" w:eastAsia="arial" w:hAnsi="arial" w:cs="arial"/>
                <w:color w:val="000000"/>
                <w:sz w:val="20"/>
                <w:lang w:val="en-US" w:eastAsia="en-US" w:bidi="ar-SA"/>
              </w:rPr>
              <w:t xml:space="preserve"> the Court rejected the argument that the absence of the additional "elements" language in MPJICr 2.02 rendered the instruction unconstitutional, but the Court said:</w:t>
            </w:r>
          </w:p>
          <w:p>
            <w:pPr>
              <w:spacing w:before="200" w:line="260" w:lineRule="atLeast"/>
              <w:ind w:left="460" w:right="360"/>
              <w:jc w:val="both"/>
              <w:rPr>
                <w:lang w:val="en-US" w:eastAsia="en-US" w:bidi="ar-SA"/>
              </w:rPr>
            </w:pPr>
            <w:r>
              <w:rPr>
                <w:rFonts w:ascii="arial" w:eastAsia="arial" w:hAnsi="arial" w:cs="arial"/>
                <w:color w:val="000000"/>
                <w:sz w:val="20"/>
                <w:lang w:val="en-US" w:eastAsia="en-US" w:bidi="ar-SA"/>
              </w:rPr>
              <w:t xml:space="preserve">Notwithstanding our holding, we agree with our colleagues on the Court of Special Appeals that, "[a]lthough we find no error by the court here, that is not to say that it would not be reasonable for trial courts to give the instruction requested and explicitly state that the prosecution has the burden to prove beyond a reasonable doubt each element of each charge." </w:t>
            </w:r>
            <w:r>
              <w:rPr>
                <w:rFonts w:ascii="arial" w:eastAsia="arial" w:hAnsi="arial" w:cs="arial"/>
                <w:i/>
                <w:color w:val="000000"/>
                <w:sz w:val="20"/>
                <w:lang w:val="en-US" w:eastAsia="en-US" w:bidi="ar-SA"/>
              </w:rPr>
              <w:t>Carroll</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v. State</w:t>
            </w:r>
            <w:r>
              <w:rPr>
                <w:rFonts w:ascii="arial" w:eastAsia="arial" w:hAnsi="arial" w:cs="arial"/>
                <w:color w:val="000000"/>
                <w:sz w:val="20"/>
                <w:lang w:val="en-US" w:eastAsia="en-US" w:bidi="ar-SA"/>
              </w:rPr>
              <w:t xml:space="preserve">], </w:t>
            </w:r>
            <w:hyperlink r:id="rId78" w:history="1">
              <w:r>
                <w:rPr>
                  <w:rFonts w:ascii="arial" w:eastAsia="arial" w:hAnsi="arial" w:cs="arial"/>
                  <w:i/>
                  <w:color w:val="0077CC"/>
                  <w:sz w:val="20"/>
                  <w:u w:val="single"/>
                  <w:lang w:val="en-US" w:eastAsia="en-US" w:bidi="ar-SA"/>
                </w:rPr>
                <w:t>202 Md. App. [487] at 504, n.5, 32 A.3d [1090] at 1099, n.5</w:t>
              </w:r>
            </w:hyperlink>
            <w:r>
              <w:rPr>
                <w:rFonts w:ascii="arial" w:eastAsia="arial" w:hAnsi="arial" w:cs="arial"/>
                <w:color w:val="000000"/>
                <w:sz w:val="20"/>
                <w:lang w:val="en-US" w:eastAsia="en-US" w:bidi="ar-SA"/>
              </w:rPr>
              <w:t xml:space="preserve"> [2011]. As the intermediate appellate court notes, other jurisdictions include such language in the pattern instruction on the presumption of innocence and/or the burden of proof. </w:t>
            </w:r>
            <w:r>
              <w:rPr>
                <w:rFonts w:ascii="arial" w:eastAsia="arial" w:hAnsi="arial" w:cs="arial"/>
                <w:i/>
                <w:color w:val="000000"/>
                <w:sz w:val="20"/>
                <w:lang w:val="en-US" w:eastAsia="en-US" w:bidi="ar-SA"/>
              </w:rPr>
              <w:t>See id.</w:t>
            </w:r>
            <w:r>
              <w:rPr>
                <w:rFonts w:ascii="arial" w:eastAsia="arial" w:hAnsi="arial" w:cs="arial"/>
                <w:color w:val="000000"/>
                <w:sz w:val="20"/>
                <w:lang w:val="en-US" w:eastAsia="en-US" w:bidi="ar-SA"/>
              </w:rPr>
              <w:t xml:space="preserve"> (listing examples). Like our colleagues on the Court of Special Appeals, we urge the Maryland State Bar Association Committee on Maryland Pattern Instructions to consider amending MPJI-Cr 2:02 to include explicit language instructing that the State has the burden to prove beyond a reasonable doubt each element of each charged offense.</w:t>
            </w:r>
          </w:p>
          <w:p>
            <w:pPr>
              <w:spacing w:before="200" w:line="260" w:lineRule="atLeast"/>
              <w:ind w:left="60" w:right="360"/>
              <w:jc w:val="both"/>
              <w:rPr>
                <w:lang w:val="en-US" w:eastAsia="en-US" w:bidi="ar-SA"/>
              </w:rPr>
            </w:pPr>
            <w:r>
              <w:rPr>
                <w:rFonts w:ascii="arial" w:eastAsia="arial" w:hAnsi="arial" w:cs="arial"/>
                <w:i/>
                <w:color w:val="000000"/>
                <w:sz w:val="20"/>
                <w:lang w:val="en-US" w:eastAsia="en-US" w:bidi="ar-SA"/>
              </w:rPr>
              <w:t>Id.</w:t>
            </w:r>
            <w:r>
              <w:rPr>
                <w:rFonts w:ascii="arial" w:eastAsia="arial" w:hAnsi="arial" w:cs="arial"/>
                <w:color w:val="000000"/>
                <w:sz w:val="20"/>
                <w:lang w:val="en-US" w:eastAsia="en-US" w:bidi="ar-SA"/>
              </w:rPr>
              <w:t xml:space="preserve"> at 693, 53 A.3d at 1167 (footnote omitted).</w:t>
            </w:r>
          </w:p>
          <w:p>
            <w:pPr>
              <w:spacing w:before="240" w:line="260" w:lineRule="atLeast"/>
              <w:ind w:left="60" w:right="360"/>
              <w:jc w:val="both"/>
              <w:rPr>
                <w:lang w:val="en-US" w:eastAsia="en-US" w:bidi="ar-SA"/>
              </w:rPr>
            </w:pPr>
            <w:r>
              <w:rPr>
                <w:rFonts w:ascii="arial" w:eastAsia="arial" w:hAnsi="arial" w:cs="arial"/>
                <w:color w:val="000000"/>
                <w:sz w:val="20"/>
                <w:lang w:val="en-US" w:eastAsia="en-US" w:bidi="ar-SA"/>
              </w:rPr>
              <w:t xml:space="preserve">Prior to </w:t>
            </w:r>
            <w:r>
              <w:rPr>
                <w:rFonts w:ascii="arial" w:eastAsia="arial" w:hAnsi="arial" w:cs="arial"/>
                <w:i/>
                <w:color w:val="000000"/>
                <w:sz w:val="20"/>
                <w:lang w:val="en-US" w:eastAsia="en-US" w:bidi="ar-SA"/>
              </w:rPr>
              <w:t>Ruffin</w:t>
            </w:r>
            <w:r>
              <w:rPr>
                <w:rFonts w:ascii="arial" w:eastAsia="arial" w:hAnsi="arial" w:cs="arial"/>
                <w:color w:val="000000"/>
                <w:sz w:val="20"/>
                <w:lang w:val="en-US" w:eastAsia="en-US" w:bidi="ar-SA"/>
              </w:rPr>
              <w:t xml:space="preserve">, it was clear that, when requested by the defendant, the trial court's instruction must explain the burden of persuasion in a criminal case in terms of both (1) the State's requirement to persuade beyond a reasonable doubt, and (2) the defendant's presumption of innocence. </w:t>
            </w:r>
            <w:hyperlink r:id="rId79" w:history="1">
              <w:r>
                <w:rPr>
                  <w:rFonts w:ascii="arial" w:eastAsia="arial" w:hAnsi="arial" w:cs="arial"/>
                  <w:i/>
                  <w:color w:val="0077CC"/>
                  <w:sz w:val="20"/>
                  <w:u w:val="single"/>
                  <w:lang w:val="en-US" w:eastAsia="en-US" w:bidi="ar-SA"/>
                </w:rPr>
                <w:t>Williams v. State, 322 Md. 35, 585 A.2d 209 (1991)</w:t>
              </w:r>
            </w:hyperlink>
            <w:r>
              <w:rPr>
                <w:rFonts w:ascii="arial" w:eastAsia="arial" w:hAnsi="arial" w:cs="arial"/>
                <w:color w:val="000000"/>
                <w:sz w:val="20"/>
                <w:lang w:val="en-US" w:eastAsia="en-US" w:bidi="ar-SA"/>
              </w:rPr>
              <w:t xml:space="preserve"> (holding that the trial court's failure to instruct on the presumption of innocence was not cured by instructions on the burden of proof and reasonable doubt and citing with approval MPJI-Cr 2:02). Even a correct and complete instruction regarding the State's burden to persuade beyond a reasonable doubt does not fairly cover the issue without an accompanying presumption of innocence instruction. </w:t>
            </w:r>
            <w:hyperlink r:id="rId79" w:history="1">
              <w:r>
                <w:rPr>
                  <w:rFonts w:ascii="arial" w:eastAsia="arial" w:hAnsi="arial" w:cs="arial"/>
                  <w:i/>
                  <w:color w:val="0077CC"/>
                  <w:sz w:val="20"/>
                  <w:u w:val="single"/>
                  <w:lang w:val="en-US" w:eastAsia="en-US" w:bidi="ar-SA"/>
                </w:rPr>
                <w:t>Id. at 38-45, 585 A.2d at 211-14.</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 xml:space="preserve">See </w:t>
            </w:r>
            <w:hyperlink r:id="rId80" w:history="1">
              <w:r>
                <w:rPr>
                  <w:rFonts w:ascii="arial" w:eastAsia="arial" w:hAnsi="arial" w:cs="arial"/>
                  <w:i/>
                  <w:color w:val="0077CC"/>
                  <w:sz w:val="20"/>
                  <w:u w:val="single"/>
                  <w:lang w:val="en-US" w:eastAsia="en-US" w:bidi="ar-SA"/>
                </w:rPr>
                <w:t>Wills v. State, 329 Md. 370, 620 A.2d 295 (1993)</w:t>
              </w:r>
            </w:hyperlink>
            <w:r>
              <w:rPr>
                <w:rFonts w:ascii="arial" w:eastAsia="arial" w:hAnsi="arial" w:cs="arial"/>
                <w:color w:val="000000"/>
                <w:sz w:val="20"/>
                <w:lang w:val="en-US" w:eastAsia="en-US" w:bidi="ar-SA"/>
              </w:rPr>
              <w:t xml:space="preserve"> (citing with approval MPJI-Cr 2:02). In </w:t>
            </w:r>
            <w:r>
              <w:rPr>
                <w:rFonts w:ascii="arial" w:eastAsia="arial" w:hAnsi="arial" w:cs="arial"/>
                <w:i/>
                <w:color w:val="000000"/>
                <w:sz w:val="20"/>
                <w:lang w:val="en-US" w:eastAsia="en-US" w:bidi="ar-SA"/>
              </w:rPr>
              <w:t>Wills</w:t>
            </w:r>
            <w:r>
              <w:rPr>
                <w:rFonts w:ascii="arial" w:eastAsia="arial" w:hAnsi="arial" w:cs="arial"/>
                <w:color w:val="000000"/>
                <w:sz w:val="20"/>
                <w:lang w:val="en-US" w:eastAsia="en-US" w:bidi="ar-SA"/>
              </w:rPr>
              <w:t xml:space="preserve">, the Court also approved the Committee's substitution in MPJI-Cr 2:02 of acting "'without reservation'" for acting "'without hesitation.'" </w:t>
            </w:r>
            <w:hyperlink r:id="rId80" w:history="1">
              <w:r>
                <w:rPr>
                  <w:rFonts w:ascii="arial" w:eastAsia="arial" w:hAnsi="arial" w:cs="arial"/>
                  <w:i/>
                  <w:color w:val="0077CC"/>
                  <w:sz w:val="20"/>
                  <w:u w:val="single"/>
                  <w:lang w:val="en-US" w:eastAsia="en-US" w:bidi="ar-SA"/>
                </w:rPr>
                <w:t>Id. at 384, 620 A.2d at 301.</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 xml:space="preserve">See </w:t>
            </w:r>
            <w:hyperlink r:id="rId81" w:history="1">
              <w:r>
                <w:rPr>
                  <w:rFonts w:ascii="arial" w:eastAsia="arial" w:hAnsi="arial" w:cs="arial"/>
                  <w:i/>
                  <w:color w:val="0077CC"/>
                  <w:sz w:val="20"/>
                  <w:u w:val="single"/>
                  <w:lang w:val="en-US" w:eastAsia="en-US" w:bidi="ar-SA"/>
                </w:rPr>
                <w:t>Poole v. State, 295 Md. 167, 185-86, 453 A.2d 1218, 1228 (1983);</w:t>
              </w:r>
            </w:hyperlink>
            <w:r>
              <w:rPr>
                <w:rFonts w:ascii="arial" w:eastAsia="arial" w:hAnsi="arial" w:cs="arial"/>
                <w:color w:val="000000"/>
                <w:sz w:val="20"/>
                <w:lang w:val="en-US" w:eastAsia="en-US" w:bidi="ar-SA"/>
              </w:rPr>
              <w:t xml:space="preserve"> </w:t>
            </w:r>
            <w:hyperlink r:id="rId30" w:history="1">
              <w:r>
                <w:rPr>
                  <w:rFonts w:ascii="arial" w:eastAsia="arial" w:hAnsi="arial" w:cs="arial"/>
                  <w:i/>
                  <w:color w:val="0077CC"/>
                  <w:sz w:val="20"/>
                  <w:u w:val="single"/>
                  <w:lang w:val="en-US" w:eastAsia="en-US" w:bidi="ar-SA"/>
                </w:rPr>
                <w:t>Montgomery v. State, 292 Md. 84, 92-95, 437 A.2d 654, 658-60 (1981);</w:t>
              </w:r>
            </w:hyperlink>
            <w:r>
              <w:rPr>
                <w:rFonts w:ascii="arial" w:eastAsia="arial" w:hAnsi="arial" w:cs="arial"/>
                <w:color w:val="000000"/>
                <w:sz w:val="20"/>
                <w:lang w:val="en-US" w:eastAsia="en-US" w:bidi="ar-SA"/>
              </w:rPr>
              <w:t xml:space="preserve"> </w:t>
            </w:r>
            <w:hyperlink r:id="rId82" w:history="1">
              <w:r>
                <w:rPr>
                  <w:rFonts w:ascii="arial" w:eastAsia="arial" w:hAnsi="arial" w:cs="arial"/>
                  <w:i/>
                  <w:color w:val="0077CC"/>
                  <w:sz w:val="20"/>
                  <w:u w:val="single"/>
                  <w:lang w:val="en-US" w:eastAsia="en-US" w:bidi="ar-SA"/>
                </w:rPr>
                <w:t>Lansdowne v. State, 287 Md. 232, 412 A.2d 88 (1980);</w:t>
              </w:r>
            </w:hyperlink>
            <w:r>
              <w:rPr>
                <w:rFonts w:ascii="arial" w:eastAsia="arial" w:hAnsi="arial" w:cs="arial"/>
                <w:color w:val="000000"/>
                <w:sz w:val="20"/>
                <w:lang w:val="en-US" w:eastAsia="en-US" w:bidi="ar-SA"/>
              </w:rPr>
              <w:t xml:space="preserve"> </w:t>
            </w:r>
            <w:hyperlink r:id="rId83" w:history="1">
              <w:r>
                <w:rPr>
                  <w:rFonts w:ascii="arial" w:eastAsia="arial" w:hAnsi="arial" w:cs="arial"/>
                  <w:i/>
                  <w:color w:val="0077CC"/>
                  <w:sz w:val="20"/>
                  <w:u w:val="single"/>
                  <w:lang w:val="en-US" w:eastAsia="en-US" w:bidi="ar-SA"/>
                </w:rPr>
                <w:t>Lambert v. State, 193 Md. 551, 558-61, 69 A.2d 461, 464-65 (1949);</w:t>
              </w:r>
            </w:hyperlink>
            <w:r>
              <w:rPr>
                <w:rFonts w:ascii="arial" w:eastAsia="arial" w:hAnsi="arial" w:cs="arial"/>
                <w:color w:val="000000"/>
                <w:sz w:val="20"/>
                <w:lang w:val="en-US" w:eastAsia="en-US" w:bidi="ar-SA"/>
              </w:rPr>
              <w:t xml:space="preserve"> </w:t>
            </w:r>
            <w:hyperlink r:id="rId84" w:history="1">
              <w:r>
                <w:rPr>
                  <w:rFonts w:ascii="arial" w:eastAsia="arial" w:hAnsi="arial" w:cs="arial"/>
                  <w:i/>
                  <w:color w:val="0077CC"/>
                  <w:sz w:val="20"/>
                  <w:u w:val="single"/>
                  <w:lang w:val="en-US" w:eastAsia="en-US" w:bidi="ar-SA"/>
                </w:rPr>
                <w:t>Brooks v. State, 53 Md. App. 285, 292-93, 452 A.2d 1285, 1289-90 (1982).</w:t>
              </w:r>
            </w:hyperlink>
          </w:p>
          <w:p>
            <w:pPr>
              <w:spacing w:before="200" w:line="260" w:lineRule="atLeast"/>
              <w:ind w:left="60" w:right="360"/>
              <w:jc w:val="both"/>
              <w:rPr>
                <w:lang w:val="en-US" w:eastAsia="en-US" w:bidi="ar-SA"/>
              </w:rPr>
            </w:pPr>
            <w:r>
              <w:rPr>
                <w:rFonts w:ascii="arial" w:eastAsia="arial" w:hAnsi="arial" w:cs="arial"/>
                <w:color w:val="000000"/>
                <w:sz w:val="20"/>
                <w:lang w:val="en-US" w:eastAsia="en-US" w:bidi="ar-SA"/>
              </w:rPr>
              <w:t xml:space="preserve">The presumption of innocence not only is "a basic component of a fair trial under our system of criminal justice," </w:t>
            </w:r>
            <w:hyperlink r:id="rId85" w:history="1">
              <w:r>
                <w:rPr>
                  <w:rFonts w:ascii="arial" w:eastAsia="arial" w:hAnsi="arial" w:cs="arial"/>
                  <w:i/>
                  <w:color w:val="0077CC"/>
                  <w:sz w:val="20"/>
                  <w:u w:val="single"/>
                  <w:lang w:val="en-US" w:eastAsia="en-US" w:bidi="ar-SA"/>
                </w:rPr>
                <w:t>Estelle v. Williams, 425 U.S. 501, 503 (1976),</w:t>
              </w:r>
            </w:hyperlink>
            <w:r>
              <w:rPr>
                <w:rFonts w:ascii="arial" w:eastAsia="arial" w:hAnsi="arial" w:cs="arial"/>
                <w:color w:val="000000"/>
                <w:sz w:val="20"/>
                <w:lang w:val="en-US" w:eastAsia="en-US" w:bidi="ar-SA"/>
              </w:rPr>
              <w:t xml:space="preserve"> it is also "firmly fixed in the common law of this State." </w:t>
            </w:r>
            <w:hyperlink r:id="rId79" w:history="1">
              <w:r>
                <w:rPr>
                  <w:rFonts w:ascii="arial" w:eastAsia="arial" w:hAnsi="arial" w:cs="arial"/>
                  <w:i/>
                  <w:color w:val="0077CC"/>
                  <w:sz w:val="20"/>
                  <w:u w:val="single"/>
                  <w:lang w:val="en-US" w:eastAsia="en-US" w:bidi="ar-SA"/>
                </w:rPr>
                <w:t>Williams, 322 Md. at 45, 585 A.2d at 214.</w:t>
              </w:r>
            </w:hyperlink>
            <w:r>
              <w:rPr>
                <w:rFonts w:ascii="arial" w:eastAsia="arial" w:hAnsi="arial" w:cs="arial"/>
                <w:color w:val="000000"/>
                <w:sz w:val="20"/>
                <w:lang w:val="en-US" w:eastAsia="en-US" w:bidi="ar-SA"/>
              </w:rPr>
              <w:t xml:space="preserve"> Presumption of innocence is another way of stating that the initial burden of production and the ultimate burden of persuasion are placed on the State under the Due Process Clause of the Fourteenth Amendment. </w:t>
            </w:r>
            <w:r>
              <w:rPr>
                <w:rFonts w:ascii="arial" w:eastAsia="arial" w:hAnsi="arial" w:cs="arial"/>
                <w:i/>
                <w:color w:val="000000"/>
                <w:sz w:val="20"/>
                <w:lang w:val="en-US" w:eastAsia="en-US" w:bidi="ar-SA"/>
              </w:rPr>
              <w:t xml:space="preserve">See </w:t>
            </w:r>
            <w:hyperlink r:id="rId86" w:history="1">
              <w:r>
                <w:rPr>
                  <w:rFonts w:ascii="arial" w:eastAsia="arial" w:hAnsi="arial" w:cs="arial"/>
                  <w:i/>
                  <w:color w:val="0077CC"/>
                  <w:sz w:val="20"/>
                  <w:u w:val="single"/>
                  <w:lang w:val="en-US" w:eastAsia="en-US" w:bidi="ar-SA"/>
                </w:rPr>
                <w:t>Taylor v. Kentucky, 436 U.S. 478, 484 (1978);</w:t>
              </w:r>
            </w:hyperlink>
            <w:r>
              <w:rPr>
                <w:rFonts w:ascii="arial" w:eastAsia="arial" w:hAnsi="arial" w:cs="arial"/>
                <w:color w:val="000000"/>
                <w:sz w:val="20"/>
                <w:lang w:val="en-US" w:eastAsia="en-US" w:bidi="ar-SA"/>
              </w:rPr>
              <w:t xml:space="preserve"> </w:t>
            </w:r>
            <w:hyperlink r:id="rId87" w:history="1">
              <w:r>
                <w:rPr>
                  <w:rFonts w:ascii="arial" w:eastAsia="arial" w:hAnsi="arial" w:cs="arial"/>
                  <w:i/>
                  <w:color w:val="0077CC"/>
                  <w:sz w:val="20"/>
                  <w:u w:val="single"/>
                  <w:lang w:val="en-US" w:eastAsia="en-US" w:bidi="ar-SA"/>
                </w:rPr>
                <w:t>Patterson v. New York, 432 U.S. 197 (1977);</w:t>
              </w:r>
            </w:hyperlink>
            <w:r>
              <w:rPr>
                <w:rFonts w:ascii="arial" w:eastAsia="arial" w:hAnsi="arial" w:cs="arial"/>
                <w:color w:val="000000"/>
                <w:sz w:val="20"/>
                <w:lang w:val="en-US" w:eastAsia="en-US" w:bidi="ar-SA"/>
              </w:rPr>
              <w:t xml:space="preserve"> </w:t>
            </w:r>
            <w:hyperlink r:id="rId88" w:history="1">
              <w:r>
                <w:rPr>
                  <w:rFonts w:ascii="arial" w:eastAsia="arial" w:hAnsi="arial" w:cs="arial"/>
                  <w:i/>
                  <w:color w:val="0077CC"/>
                  <w:sz w:val="20"/>
                  <w:u w:val="single"/>
                  <w:lang w:val="en-US" w:eastAsia="en-US" w:bidi="ar-SA"/>
                </w:rPr>
                <w:t>Mullaney v. Wilbur, 421 U.S. 684 (1975);</w:t>
              </w:r>
            </w:hyperlink>
            <w:r>
              <w:rPr>
                <w:rFonts w:ascii="arial" w:eastAsia="arial" w:hAnsi="arial" w:cs="arial"/>
                <w:color w:val="000000"/>
                <w:sz w:val="20"/>
                <w:lang w:val="en-US" w:eastAsia="en-US" w:bidi="ar-SA"/>
              </w:rPr>
              <w:t xml:space="preserve"> </w:t>
            </w:r>
            <w:hyperlink r:id="rId89" w:history="1">
              <w:r>
                <w:rPr>
                  <w:rFonts w:ascii="arial" w:eastAsia="arial" w:hAnsi="arial" w:cs="arial"/>
                  <w:i/>
                  <w:color w:val="0077CC"/>
                  <w:sz w:val="20"/>
                  <w:u w:val="single"/>
                  <w:lang w:val="en-US" w:eastAsia="en-US" w:bidi="ar-SA"/>
                </w:rPr>
                <w:t>Evans v. State, 28 Md. App. 640, 676, 679-81, 349 A.2d 300, 324-27 (1975),</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aff'd</w:t>
            </w:r>
            <w:r>
              <w:rPr>
                <w:rFonts w:ascii="arial" w:eastAsia="arial" w:hAnsi="arial" w:cs="arial"/>
                <w:color w:val="000000"/>
                <w:sz w:val="20"/>
                <w:lang w:val="en-US" w:eastAsia="en-US" w:bidi="ar-SA"/>
              </w:rPr>
              <w:t xml:space="preserve">, </w:t>
            </w:r>
            <w:hyperlink r:id="rId90" w:history="1">
              <w:r>
                <w:rPr>
                  <w:rFonts w:ascii="arial" w:eastAsia="arial" w:hAnsi="arial" w:cs="arial"/>
                  <w:i/>
                  <w:color w:val="0077CC"/>
                  <w:sz w:val="20"/>
                  <w:u w:val="single"/>
                  <w:lang w:val="en-US" w:eastAsia="en-US" w:bidi="ar-SA"/>
                </w:rPr>
                <w:t>278 Md. 197, 362 A.2d 629 (1976);</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 xml:space="preserve">cf. </w:t>
            </w:r>
            <w:hyperlink r:id="rId91" w:history="1">
              <w:r>
                <w:rPr>
                  <w:rFonts w:ascii="arial" w:eastAsia="arial" w:hAnsi="arial" w:cs="arial"/>
                  <w:i/>
                  <w:color w:val="0077CC"/>
                  <w:sz w:val="20"/>
                  <w:u w:val="single"/>
                  <w:lang w:val="en-US" w:eastAsia="en-US" w:bidi="ar-SA"/>
                </w:rPr>
                <w:t>Pitts v. State, 36 Md. App. 594, 374 A.2d 632</w:t>
              </w:r>
            </w:hyperlink>
            <w:r>
              <w:rPr>
                <w:rFonts w:ascii="arial" w:eastAsia="arial" w:hAnsi="arial" w:cs="arial"/>
                <w:color w:val="000000"/>
                <w:sz w:val="20"/>
                <w:lang w:val="en-US" w:eastAsia="en-US" w:bidi="ar-SA"/>
              </w:rPr>
              <w:t xml:space="preserve"> (to correct the technical misuse of the term presumption by indicating that there is no presumption in either direction may confuse the jury by seemingly contradicting the remainder of the instruction, even though it placed the burden on the State), </w:t>
            </w:r>
            <w:r>
              <w:rPr>
                <w:rFonts w:ascii="arial" w:eastAsia="arial" w:hAnsi="arial" w:cs="arial"/>
                <w:i/>
                <w:color w:val="000000"/>
                <w:sz w:val="20"/>
                <w:lang w:val="en-US" w:eastAsia="en-US" w:bidi="ar-SA"/>
              </w:rPr>
              <w:t>cert. denied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281 Md. 742, 744 (1977).</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See generally</w:t>
            </w:r>
            <w:r>
              <w:rPr>
                <w:rFonts w:ascii="arial" w:eastAsia="arial" w:hAnsi="arial" w:cs="arial"/>
                <w:color w:val="000000"/>
                <w:sz w:val="20"/>
                <w:lang w:val="en-US" w:eastAsia="en-US" w:bidi="ar-SA"/>
              </w:rPr>
              <w:t xml:space="preserve"> 2 KENNETH S. BROUN, MCCORMICK ON EVIDENCE § 346, at 535 (6th ed. 2006 &amp; Supp. 2010); LYNN MCLAIN, MARYLAND EVIDENCE § 303.2, at 450-51 (2d ed. 2001 &amp; Supp. 2010); JOSEPH F. MURPHY, JR., MARYLAND EVIDENCE HANDBOOK § 406, at 149 (4th ed. 2010) (citing with approval MPJI-Cr 2:02).</w:t>
            </w:r>
          </w:p>
          <w:p>
            <w:pPr>
              <w:spacing w:before="200" w:line="260" w:lineRule="atLeast"/>
              <w:ind w:left="60" w:right="360"/>
              <w:jc w:val="both"/>
              <w:rPr>
                <w:lang w:val="en-US" w:eastAsia="en-US" w:bidi="ar-SA"/>
              </w:rPr>
            </w:pPr>
            <w:r>
              <w:rPr>
                <w:rFonts w:ascii="arial" w:eastAsia="arial" w:hAnsi="arial" w:cs="arial"/>
                <w:color w:val="000000"/>
                <w:sz w:val="20"/>
                <w:lang w:val="en-US" w:eastAsia="en-US" w:bidi="ar-SA"/>
              </w:rPr>
              <w:t>In describing the presumption of innocence, the Court of Appeals has said:</w:t>
            </w:r>
          </w:p>
          <w:p>
            <w:pPr>
              <w:spacing w:before="60" w:line="260" w:lineRule="atLeast"/>
              <w:ind w:left="460" w:right="360"/>
              <w:jc w:val="both"/>
              <w:rPr>
                <w:lang w:val="en-US" w:eastAsia="en-US" w:bidi="ar-SA"/>
              </w:rPr>
            </w:pPr>
            <w:r>
              <w:rPr>
                <w:rFonts w:ascii="arial" w:eastAsia="arial" w:hAnsi="arial" w:cs="arial"/>
                <w:color w:val="000000"/>
                <w:sz w:val="20"/>
                <w:lang w:val="en-US" w:eastAsia="en-US" w:bidi="ar-SA"/>
              </w:rPr>
              <w:t>The heart of the principle is that the accused stands innocent until the jury is convinced that he is guilty upon evidence placed before it which is legally sufficient to sustain its verdict. The phrasing should be adequate to convey the heart of the principle to a man on the street as representative of the average juror.</w:t>
            </w:r>
          </w:p>
          <w:p>
            <w:pPr>
              <w:spacing w:before="240" w:line="260" w:lineRule="atLeast"/>
              <w:ind w:left="60" w:right="360"/>
              <w:jc w:val="both"/>
              <w:rPr>
                <w:lang w:val="en-US" w:eastAsia="en-US" w:bidi="ar-SA"/>
              </w:rPr>
            </w:pPr>
            <w:hyperlink r:id="rId79" w:history="1">
              <w:r>
                <w:rPr>
                  <w:rFonts w:ascii="arial" w:eastAsia="arial" w:hAnsi="arial" w:cs="arial"/>
                  <w:i/>
                  <w:color w:val="0077CC"/>
                  <w:sz w:val="20"/>
                  <w:u w:val="single"/>
                  <w:lang w:val="en-US" w:eastAsia="en-US" w:bidi="ar-SA"/>
                </w:rPr>
                <w:t>Williams, 322 Md. at 48, 585 A.2d at 215.</w:t>
              </w:r>
            </w:hyperlink>
          </w:p>
          <w:p>
            <w:pPr>
              <w:spacing w:before="240" w:line="260" w:lineRule="atLeast"/>
              <w:ind w:left="60" w:right="360"/>
              <w:jc w:val="both"/>
              <w:rPr>
                <w:lang w:val="en-US" w:eastAsia="en-US" w:bidi="ar-SA"/>
              </w:rPr>
            </w:pPr>
            <w:r>
              <w:rPr>
                <w:rFonts w:ascii="arial" w:eastAsia="arial" w:hAnsi="arial" w:cs="arial"/>
                <w:color w:val="000000"/>
                <w:sz w:val="20"/>
                <w:lang w:val="en-US" w:eastAsia="en-US" w:bidi="ar-SA"/>
              </w:rPr>
              <w:t xml:space="preserve">The Court noted that "the close alliance between the reasonable doubt principle and the presumption of innocence principle clearly indicates that the latter would aid in explaining the former." </w:t>
            </w:r>
            <w:hyperlink r:id="rId79" w:history="1">
              <w:r>
                <w:rPr>
                  <w:rFonts w:ascii="arial" w:eastAsia="arial" w:hAnsi="arial" w:cs="arial"/>
                  <w:i/>
                  <w:color w:val="0077CC"/>
                  <w:sz w:val="20"/>
                  <w:u w:val="single"/>
                  <w:lang w:val="en-US" w:eastAsia="en-US" w:bidi="ar-SA"/>
                </w:rPr>
                <w:t>Id. at 44, 585 A.2d at 214</w:t>
              </w:r>
            </w:hyperlink>
            <w:r>
              <w:rPr>
                <w:rFonts w:ascii="arial" w:eastAsia="arial" w:hAnsi="arial" w:cs="arial"/>
                <w:color w:val="000000"/>
                <w:sz w:val="20"/>
                <w:lang w:val="en-US" w:eastAsia="en-US" w:bidi="ar-SA"/>
              </w:rPr>
              <w:t xml:space="preserve"> (quoting with approval MPJI-Cr 2:02).</w:t>
            </w:r>
          </w:p>
          <w:p>
            <w:pPr>
              <w:spacing w:before="200" w:line="260" w:lineRule="atLeast"/>
              <w:ind w:left="60" w:right="360"/>
              <w:jc w:val="both"/>
              <w:rPr>
                <w:lang w:val="en-US" w:eastAsia="en-US" w:bidi="ar-SA"/>
              </w:rPr>
            </w:pPr>
            <w:r>
              <w:rPr>
                <w:rFonts w:ascii="arial" w:eastAsia="arial" w:hAnsi="arial" w:cs="arial"/>
                <w:color w:val="000000"/>
                <w:sz w:val="20"/>
                <w:lang w:val="en-US" w:eastAsia="en-US" w:bidi="ar-SA"/>
              </w:rPr>
              <w:t xml:space="preserve">The Due Process Clause requires the State to persuade the finder of fact of the defendant's guilt beyond a reasonable doubt. </w:t>
            </w:r>
            <w:hyperlink r:id="rId92" w:history="1">
              <w:r>
                <w:rPr>
                  <w:rFonts w:ascii="arial" w:eastAsia="arial" w:hAnsi="arial" w:cs="arial"/>
                  <w:i/>
                  <w:color w:val="0077CC"/>
                  <w:sz w:val="20"/>
                  <w:u w:val="single"/>
                  <w:lang w:val="en-US" w:eastAsia="en-US" w:bidi="ar-SA"/>
                </w:rPr>
                <w:t>Jackson v. Virginia, 443 U.S. 307, 320 n.14</w:t>
              </w:r>
            </w:hyperlink>
            <w:r>
              <w:rPr>
                <w:rFonts w:ascii="arial" w:eastAsia="arial" w:hAnsi="arial" w:cs="arial"/>
                <w:color w:val="000000"/>
                <w:sz w:val="20"/>
                <w:lang w:val="en-US" w:eastAsia="en-US" w:bidi="ar-SA"/>
              </w:rPr>
              <w:t xml:space="preserve"> (failure to instruct the jury on the reasonable doubt standard is never harmless error), </w:t>
            </w:r>
            <w:r>
              <w:rPr>
                <w:rFonts w:ascii="arial" w:eastAsia="arial" w:hAnsi="arial" w:cs="arial"/>
                <w:i/>
                <w:color w:val="000000"/>
                <w:sz w:val="20"/>
                <w:lang w:val="en-US" w:eastAsia="en-US" w:bidi="ar-SA"/>
              </w:rPr>
              <w:t>reh'g denied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444 U.S. 890 (1979);</w:t>
            </w:r>
            <w:r>
              <w:rPr>
                <w:rFonts w:ascii="arial" w:eastAsia="arial" w:hAnsi="arial" w:cs="arial"/>
                <w:color w:val="000000"/>
                <w:sz w:val="20"/>
                <w:lang w:val="en-US" w:eastAsia="en-US" w:bidi="ar-SA"/>
              </w:rPr>
              <w:t xml:space="preserve"> </w:t>
            </w:r>
            <w:hyperlink r:id="rId93" w:history="1">
              <w:r>
                <w:rPr>
                  <w:rFonts w:ascii="arial" w:eastAsia="arial" w:hAnsi="arial" w:cs="arial"/>
                  <w:i/>
                  <w:color w:val="0077CC"/>
                  <w:sz w:val="20"/>
                  <w:u w:val="single"/>
                  <w:lang w:val="en-US" w:eastAsia="en-US" w:bidi="ar-SA"/>
                </w:rPr>
                <w:t>In re Winship, 397 U.S. 358, 361-64 (1970);</w:t>
              </w:r>
            </w:hyperlink>
            <w:r>
              <w:rPr>
                <w:rFonts w:ascii="arial" w:eastAsia="arial" w:hAnsi="arial" w:cs="arial"/>
                <w:color w:val="000000"/>
                <w:sz w:val="20"/>
                <w:lang w:val="en-US" w:eastAsia="en-US" w:bidi="ar-SA"/>
              </w:rPr>
              <w:t xml:space="preserve"> </w:t>
            </w:r>
            <w:hyperlink r:id="rId94" w:history="1">
              <w:r>
                <w:rPr>
                  <w:rFonts w:ascii="arial" w:eastAsia="arial" w:hAnsi="arial" w:cs="arial"/>
                  <w:i/>
                  <w:color w:val="0077CC"/>
                  <w:sz w:val="20"/>
                  <w:u w:val="single"/>
                  <w:lang w:val="en-US" w:eastAsia="en-US" w:bidi="ar-SA"/>
                </w:rPr>
                <w:t>Robertson v. State, 295 Md. 688, 457 A.2d 826 (1983)</w:t>
              </w:r>
            </w:hyperlink>
            <w:r>
              <w:rPr>
                <w:rFonts w:ascii="arial" w:eastAsia="arial" w:hAnsi="arial" w:cs="arial"/>
                <w:color w:val="000000"/>
                <w:sz w:val="20"/>
                <w:lang w:val="en-US" w:eastAsia="en-US" w:bidi="ar-SA"/>
              </w:rPr>
              <w:t xml:space="preserve"> (failure to instruct the jury that it is bound by the court's instruction on the burden of persuasion, beyond a reasonable doubt, is reversible error). </w:t>
            </w:r>
            <w:r>
              <w:rPr>
                <w:rFonts w:ascii="arial" w:eastAsia="arial" w:hAnsi="arial" w:cs="arial"/>
                <w:i/>
                <w:color w:val="000000"/>
                <w:sz w:val="20"/>
                <w:lang w:val="en-US" w:eastAsia="en-US" w:bidi="ar-SA"/>
              </w:rPr>
              <w:t xml:space="preserve">But see </w:t>
            </w:r>
            <w:hyperlink r:id="rId95" w:history="1">
              <w:r>
                <w:rPr>
                  <w:rFonts w:ascii="arial" w:eastAsia="arial" w:hAnsi="arial" w:cs="arial"/>
                  <w:i/>
                  <w:color w:val="0077CC"/>
                  <w:sz w:val="20"/>
                  <w:u w:val="single"/>
                  <w:lang w:val="en-US" w:eastAsia="en-US" w:bidi="ar-SA"/>
                </w:rPr>
                <w:t>Newman v. State, 65 Md. App. 85, 499 A.2d 492 (1985)</w:t>
              </w:r>
            </w:hyperlink>
            <w:r>
              <w:rPr>
                <w:rFonts w:ascii="arial" w:eastAsia="arial" w:hAnsi="arial" w:cs="arial"/>
                <w:color w:val="000000"/>
                <w:sz w:val="20"/>
                <w:lang w:val="en-US" w:eastAsia="en-US" w:bidi="ar-SA"/>
              </w:rPr>
              <w:t xml:space="preserve"> (proper to preclude counsel from reading a definition of reasonable doubt from </w:t>
            </w:r>
            <w:r>
              <w:rPr>
                <w:rFonts w:ascii="arial" w:eastAsia="arial" w:hAnsi="arial" w:cs="arial"/>
                <w:i/>
                <w:color w:val="000000"/>
                <w:sz w:val="20"/>
                <w:lang w:val="en-US" w:eastAsia="en-US" w:bidi="ar-SA"/>
              </w:rPr>
              <w:t>In re Winship</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cert. denied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305 Md. 419, 504 A.2d 1152 (1986).</w:t>
            </w:r>
            <w:r>
              <w:rPr>
                <w:rFonts w:ascii="arial" w:eastAsia="arial" w:hAnsi="arial" w:cs="arial"/>
                <w:color w:val="000000"/>
                <w:sz w:val="20"/>
                <w:lang w:val="en-US" w:eastAsia="en-US" w:bidi="ar-SA"/>
              </w:rPr>
              <w:t xml:space="preserve"> If requested, the trial court has a duty to instruct the jury as to the correct standard for reasonable doubt. </w:t>
            </w:r>
            <w:hyperlink r:id="rId96" w:history="1">
              <w:r>
                <w:rPr>
                  <w:rFonts w:ascii="arial" w:eastAsia="arial" w:hAnsi="arial" w:cs="arial"/>
                  <w:i/>
                  <w:color w:val="0077CC"/>
                  <w:sz w:val="20"/>
                  <w:u w:val="single"/>
                  <w:lang w:val="en-US" w:eastAsia="en-US" w:bidi="ar-SA"/>
                </w:rPr>
                <w:t>Merzbacher v. State, 346 Md. 391, 404, 697 A.2d 432, 438 (1997)</w:t>
              </w:r>
            </w:hyperlink>
            <w:r>
              <w:rPr>
                <w:rFonts w:ascii="arial" w:eastAsia="arial" w:hAnsi="arial" w:cs="arial"/>
                <w:color w:val="000000"/>
                <w:sz w:val="20"/>
                <w:lang w:val="en-US" w:eastAsia="en-US" w:bidi="ar-SA"/>
              </w:rPr>
              <w:t xml:space="preserve"> ("We strongly recommend that trial courts closely adhere to the reasonable doubt instruction endorsed by </w:t>
            </w:r>
            <w:r>
              <w:rPr>
                <w:rFonts w:ascii="arial" w:eastAsia="arial" w:hAnsi="arial" w:cs="arial"/>
                <w:i/>
                <w:color w:val="000000"/>
                <w:sz w:val="20"/>
                <w:lang w:val="en-US" w:eastAsia="en-US" w:bidi="ar-SA"/>
              </w:rPr>
              <w:t>Wills</w:t>
            </w:r>
            <w:r>
              <w:rPr>
                <w:rFonts w:ascii="arial" w:eastAsia="arial" w:hAnsi="arial" w:cs="arial"/>
                <w:color w:val="000000"/>
                <w:sz w:val="20"/>
                <w:lang w:val="en-US" w:eastAsia="en-US" w:bidi="ar-SA"/>
              </w:rPr>
              <w:t xml:space="preserve"> and articulated in MPJR-CR 2:02."); </w:t>
            </w:r>
            <w:hyperlink r:id="rId30" w:history="1">
              <w:r>
                <w:rPr>
                  <w:rFonts w:ascii="arial" w:eastAsia="arial" w:hAnsi="arial" w:cs="arial"/>
                  <w:i/>
                  <w:color w:val="0077CC"/>
                  <w:sz w:val="20"/>
                  <w:u w:val="single"/>
                  <w:lang w:val="en-US" w:eastAsia="en-US" w:bidi="ar-SA"/>
                </w:rPr>
                <w:t>Montgomery v. State, 292 Md. 84, 92, 437 A.2d 654, 658 (1981);</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 xml:space="preserve">see also </w:t>
            </w:r>
            <w:hyperlink r:id="rId97" w:history="1">
              <w:r>
                <w:rPr>
                  <w:rFonts w:ascii="arial" w:eastAsia="arial" w:hAnsi="arial" w:cs="arial"/>
                  <w:i/>
                  <w:color w:val="0077CC"/>
                  <w:sz w:val="20"/>
                  <w:u w:val="single"/>
                  <w:lang w:val="en-US" w:eastAsia="en-US" w:bidi="ar-SA"/>
                </w:rPr>
                <w:t>Laster v. State, 70 Md. App. 592, 599, 521 A.2d 1289, 1292 (1987)</w:t>
              </w:r>
            </w:hyperlink>
            <w:r>
              <w:rPr>
                <w:rFonts w:ascii="arial" w:eastAsia="arial" w:hAnsi="arial" w:cs="arial"/>
                <w:color w:val="000000"/>
                <w:sz w:val="20"/>
                <w:lang w:val="en-US" w:eastAsia="en-US" w:bidi="ar-SA"/>
              </w:rPr>
              <w:t xml:space="preserve"> (instruction that witness was presumed to speak the truth was not plain error), </w:t>
            </w:r>
            <w:r>
              <w:rPr>
                <w:rFonts w:ascii="arial" w:eastAsia="arial" w:hAnsi="arial" w:cs="arial"/>
                <w:i/>
                <w:color w:val="000000"/>
                <w:sz w:val="20"/>
                <w:lang w:val="en-US" w:eastAsia="en-US" w:bidi="ar-SA"/>
              </w:rPr>
              <w:t>aff'd</w:t>
            </w:r>
            <w:r>
              <w:rPr>
                <w:rFonts w:ascii="arial" w:eastAsia="arial" w:hAnsi="arial" w:cs="arial"/>
                <w:color w:val="000000"/>
                <w:sz w:val="20"/>
                <w:lang w:val="en-US" w:eastAsia="en-US" w:bidi="ar-SA"/>
              </w:rPr>
              <w:t xml:space="preserve">, </w:t>
            </w:r>
            <w:hyperlink r:id="rId98" w:history="1">
              <w:r>
                <w:rPr>
                  <w:rFonts w:ascii="arial" w:eastAsia="arial" w:hAnsi="arial" w:cs="arial"/>
                  <w:i/>
                  <w:color w:val="0077CC"/>
                  <w:sz w:val="20"/>
                  <w:u w:val="single"/>
                  <w:lang w:val="en-US" w:eastAsia="en-US" w:bidi="ar-SA"/>
                </w:rPr>
                <w:t>313 Md. 548, 546 A.2d 472 (1988).</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See generally</w:t>
            </w:r>
            <w:r>
              <w:rPr>
                <w:rFonts w:ascii="arial" w:eastAsia="arial" w:hAnsi="arial" w:cs="arial"/>
                <w:color w:val="000000"/>
                <w:sz w:val="20"/>
                <w:lang w:val="en-US" w:eastAsia="en-US" w:bidi="ar-SA"/>
              </w:rPr>
              <w:t xml:space="preserve"> MCLAIN,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 300.5, at 292-320.</w:t>
            </w:r>
          </w:p>
          <w:p>
            <w:pPr>
              <w:spacing w:before="240" w:line="260" w:lineRule="atLeast"/>
              <w:ind w:left="60" w:right="360"/>
              <w:jc w:val="both"/>
              <w:rPr>
                <w:lang w:val="en-US" w:eastAsia="en-US" w:bidi="ar-SA"/>
              </w:rPr>
            </w:pPr>
            <w:r>
              <w:rPr>
                <w:rFonts w:ascii="arial" w:eastAsia="arial" w:hAnsi="arial" w:cs="arial"/>
                <w:color w:val="000000"/>
                <w:sz w:val="20"/>
                <w:lang w:val="en-US" w:eastAsia="en-US" w:bidi="ar-SA"/>
              </w:rPr>
              <w:t xml:space="preserve">The term "reasonable doubt" is not self-explanatory and therefore must be correctly explained if an instruction is requested under MD. RULE 4-325. </w:t>
            </w:r>
            <w:hyperlink r:id="rId82" w:history="1">
              <w:r>
                <w:rPr>
                  <w:rFonts w:ascii="arial" w:eastAsia="arial" w:hAnsi="arial" w:cs="arial"/>
                  <w:i/>
                  <w:color w:val="0077CC"/>
                  <w:sz w:val="20"/>
                  <w:u w:val="single"/>
                  <w:lang w:val="en-US" w:eastAsia="en-US" w:bidi="ar-SA"/>
                </w:rPr>
                <w:t>Lansdowne v. State, 287 Md. 232, 242-43, 412 A.2d 88, 93-94 (1980).</w:t>
              </w:r>
            </w:hyperlink>
          </w:p>
          <w:p>
            <w:pPr>
              <w:spacing w:before="200" w:line="260" w:lineRule="atLeast"/>
              <w:ind w:left="60" w:right="360"/>
              <w:jc w:val="both"/>
              <w:rPr>
                <w:lang w:val="en-US" w:eastAsia="en-US" w:bidi="ar-SA"/>
              </w:rPr>
            </w:pPr>
            <w:r>
              <w:rPr>
                <w:rFonts w:ascii="arial" w:eastAsia="arial" w:hAnsi="arial" w:cs="arial"/>
                <w:color w:val="000000"/>
                <w:sz w:val="20"/>
                <w:lang w:val="en-US" w:eastAsia="en-US" w:bidi="ar-SA"/>
              </w:rPr>
              <w:t xml:space="preserve">Prior to </w:t>
            </w:r>
            <w:hyperlink r:id="rId56" w:history="1">
              <w:r>
                <w:rPr>
                  <w:rFonts w:ascii="arial" w:eastAsia="arial" w:hAnsi="arial" w:cs="arial"/>
                  <w:i/>
                  <w:color w:val="0077CC"/>
                  <w:sz w:val="20"/>
                  <w:u w:val="single"/>
                  <w:lang w:val="en-US" w:eastAsia="en-US" w:bidi="ar-SA"/>
                </w:rPr>
                <w:t>Ruffin v. State, 394 Md. 355, 906 A.2d 360 (2006),</w:t>
              </w:r>
            </w:hyperlink>
            <w:r>
              <w:rPr>
                <w:rFonts w:ascii="arial" w:eastAsia="arial" w:hAnsi="arial" w:cs="arial"/>
                <w:color w:val="000000"/>
                <w:sz w:val="20"/>
                <w:lang w:val="en-US" w:eastAsia="en-US" w:bidi="ar-SA"/>
              </w:rPr>
              <w:t xml:space="preserve"> Maryland's appellate courts held that the term "reasonable doubt" cannot be defined by itself and must be explained in a manner indicating the degree of gravity with which the decision-making process should be endowed. </w:t>
            </w:r>
            <w:hyperlink r:id="rId30" w:history="1">
              <w:r>
                <w:rPr>
                  <w:rFonts w:ascii="arial" w:eastAsia="arial" w:hAnsi="arial" w:cs="arial"/>
                  <w:i/>
                  <w:color w:val="0077CC"/>
                  <w:sz w:val="20"/>
                  <w:u w:val="single"/>
                  <w:lang w:val="en-US" w:eastAsia="en-US" w:bidi="ar-SA"/>
                </w:rPr>
                <w:t>Montgomery, 292 Md. at 95, 437 A.2d at 659-60;</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 xml:space="preserve">see </w:t>
            </w:r>
            <w:hyperlink r:id="rId99" w:history="1">
              <w:r>
                <w:rPr>
                  <w:rFonts w:ascii="arial" w:eastAsia="arial" w:hAnsi="arial" w:cs="arial"/>
                  <w:i/>
                  <w:color w:val="0077CC"/>
                  <w:sz w:val="20"/>
                  <w:u w:val="single"/>
                  <w:lang w:val="en-US" w:eastAsia="en-US" w:bidi="ar-SA"/>
                </w:rPr>
                <w:t>Richardson v. State, 63 Md. App. 324, 336, 492 A.2d 932, 938-39</w:t>
              </w:r>
            </w:hyperlink>
            <w:r>
              <w:rPr>
                <w:rFonts w:ascii="arial" w:eastAsia="arial" w:hAnsi="arial" w:cs="arial"/>
                <w:color w:val="000000"/>
                <w:sz w:val="20"/>
                <w:lang w:val="en-US" w:eastAsia="en-US" w:bidi="ar-SA"/>
              </w:rPr>
              <w:t xml:space="preserve"> ("abiding conviction"), </w:t>
            </w:r>
            <w:r>
              <w:rPr>
                <w:rFonts w:ascii="arial" w:eastAsia="arial" w:hAnsi="arial" w:cs="arial"/>
                <w:i/>
                <w:color w:val="000000"/>
                <w:sz w:val="20"/>
                <w:lang w:val="en-US" w:eastAsia="en-US" w:bidi="ar-SA"/>
              </w:rPr>
              <w:t>cert. denied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304 Md. 300, 498 A.2d 1186 (1985).</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See generally</w:t>
            </w:r>
            <w:r>
              <w:rPr>
                <w:rFonts w:ascii="arial" w:eastAsia="arial" w:hAnsi="arial" w:cs="arial"/>
                <w:color w:val="000000"/>
                <w:sz w:val="20"/>
                <w:lang w:val="en-US" w:eastAsia="en-US" w:bidi="ar-SA"/>
              </w:rPr>
              <w:t xml:space="preserve"> MCLAIN,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 300.4, 303.2, at 271-92 and 450-61 (trial court may not suggest to criminal jury that it must accept an inference helpful to the prosecution); </w:t>
            </w:r>
            <w:r>
              <w:rPr>
                <w:rFonts w:ascii="arial" w:eastAsia="arial" w:hAnsi="arial" w:cs="arial"/>
                <w:i/>
                <w:color w:val="000000"/>
                <w:sz w:val="20"/>
                <w:lang w:val="en-US" w:eastAsia="en-US" w:bidi="ar-SA"/>
              </w:rPr>
              <w:t xml:space="preserve">cf. </w:t>
            </w:r>
            <w:hyperlink r:id="rId100" w:history="1">
              <w:r>
                <w:rPr>
                  <w:rFonts w:ascii="arial" w:eastAsia="arial" w:hAnsi="arial" w:cs="arial"/>
                  <w:i/>
                  <w:color w:val="0077CC"/>
                  <w:sz w:val="20"/>
                  <w:u w:val="single"/>
                  <w:lang w:val="en-US" w:eastAsia="en-US" w:bidi="ar-SA"/>
                </w:rPr>
                <w:t>Erdman v. State, 315 Md. 46, 553 A.2d 244 (1989)</w:t>
              </w:r>
            </w:hyperlink>
            <w:r>
              <w:rPr>
                <w:rFonts w:ascii="arial" w:eastAsia="arial" w:hAnsi="arial" w:cs="arial"/>
                <w:color w:val="000000"/>
                <w:sz w:val="20"/>
                <w:lang w:val="en-US" w:eastAsia="en-US" w:bidi="ar-SA"/>
              </w:rPr>
              <w:t xml:space="preserve"> (defendant who entered plea of not criminally responsible is entitled to an instruction as to dispositional consequences of a verdict on non-responsibility). In </w:t>
            </w:r>
            <w:hyperlink r:id="rId101" w:history="1">
              <w:r>
                <w:rPr>
                  <w:rFonts w:ascii="arial" w:eastAsia="arial" w:hAnsi="arial" w:cs="arial"/>
                  <w:i/>
                  <w:color w:val="0077CC"/>
                  <w:sz w:val="20"/>
                  <w:u w:val="single"/>
                  <w:lang w:val="en-US" w:eastAsia="en-US" w:bidi="ar-SA"/>
                </w:rPr>
                <w:t>Himple v. State, 101 Md. App. 579, 647 A.2d 1240 (1994),</w:t>
              </w:r>
            </w:hyperlink>
            <w:r>
              <w:rPr>
                <w:rFonts w:ascii="arial" w:eastAsia="arial" w:hAnsi="arial" w:cs="arial"/>
                <w:color w:val="000000"/>
                <w:sz w:val="20"/>
                <w:lang w:val="en-US" w:eastAsia="en-US" w:bidi="ar-SA"/>
              </w:rPr>
              <w:t xml:space="preserve"> the Court found plain error in the language "certainty based upon a convincing ground of probability." The Court stated that trial judges should not embellish from "the pattern instruction whose stark simplicity was created by the bench and the bar in order to avoid the problems of embellishment." </w:t>
            </w:r>
            <w:hyperlink r:id="rId101" w:history="1">
              <w:r>
                <w:rPr>
                  <w:rFonts w:ascii="arial" w:eastAsia="arial" w:hAnsi="arial" w:cs="arial"/>
                  <w:i/>
                  <w:color w:val="0077CC"/>
                  <w:sz w:val="20"/>
                  <w:u w:val="single"/>
                  <w:lang w:val="en-US" w:eastAsia="en-US" w:bidi="ar-SA"/>
                </w:rPr>
                <w:t>Id. at 581, 647 A.2d at 1241.</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 xml:space="preserve">See </w:t>
            </w:r>
            <w:hyperlink r:id="rId56" w:history="1">
              <w:r>
                <w:rPr>
                  <w:rFonts w:ascii="arial" w:eastAsia="arial" w:hAnsi="arial" w:cs="arial"/>
                  <w:i/>
                  <w:color w:val="0077CC"/>
                  <w:sz w:val="20"/>
                  <w:u w:val="single"/>
                  <w:lang w:val="en-US" w:eastAsia="en-US" w:bidi="ar-SA"/>
                </w:rPr>
                <w:t>Ruffin v. State, 394 Md. 355, 906 A.2d 360 (2006);</w:t>
              </w:r>
            </w:hyperlink>
            <w:r>
              <w:rPr>
                <w:rFonts w:ascii="arial" w:eastAsia="arial" w:hAnsi="arial" w:cs="arial"/>
                <w:color w:val="000000"/>
                <w:sz w:val="20"/>
                <w:lang w:val="en-US" w:eastAsia="en-US" w:bidi="ar-SA"/>
              </w:rPr>
              <w:t xml:space="preserve"> </w:t>
            </w:r>
            <w:hyperlink r:id="rId102" w:history="1">
              <w:r>
                <w:rPr>
                  <w:rFonts w:ascii="arial" w:eastAsia="arial" w:hAnsi="arial" w:cs="arial"/>
                  <w:i/>
                  <w:color w:val="0077CC"/>
                  <w:sz w:val="20"/>
                  <w:u w:val="single"/>
                  <w:lang w:val="en-US" w:eastAsia="en-US" w:bidi="ar-SA"/>
                </w:rPr>
                <w:t>Joyner-Pitts v. State, 101 Md. App. 429, 647 A.2d 116 (1994)</w:t>
              </w:r>
            </w:hyperlink>
            <w:r>
              <w:rPr>
                <w:rFonts w:ascii="arial" w:eastAsia="arial" w:hAnsi="arial" w:cs="arial"/>
                <w:color w:val="000000"/>
                <w:sz w:val="20"/>
                <w:lang w:val="en-US" w:eastAsia="en-US" w:bidi="ar-SA"/>
              </w:rPr>
              <w:t xml:space="preserve"> (instruction failed to communicate that jury's decision must be "'without reservation' or the functional equivalent of that concept," and trial court "went too far in its creativity" with its "rambling" instruction). In </w:t>
            </w:r>
            <w:hyperlink r:id="rId103" w:history="1">
              <w:r>
                <w:rPr>
                  <w:rFonts w:ascii="arial" w:eastAsia="arial" w:hAnsi="arial" w:cs="arial"/>
                  <w:i/>
                  <w:color w:val="0077CC"/>
                  <w:sz w:val="20"/>
                  <w:u w:val="single"/>
                  <w:lang w:val="en-US" w:eastAsia="en-US" w:bidi="ar-SA"/>
                </w:rPr>
                <w:t>Graham v. State, 151 Md. App. 466, 827 A.2d 874 (2003),</w:t>
              </w:r>
            </w:hyperlink>
            <w:r>
              <w:rPr>
                <w:rFonts w:ascii="arial" w:eastAsia="arial" w:hAnsi="arial" w:cs="arial"/>
                <w:color w:val="000000"/>
                <w:sz w:val="20"/>
                <w:lang w:val="en-US" w:eastAsia="en-US" w:bidi="ar-SA"/>
              </w:rPr>
              <w:t xml:space="preserve"> another pre-</w:t>
            </w:r>
            <w:r>
              <w:rPr>
                <w:rFonts w:ascii="arial" w:eastAsia="arial" w:hAnsi="arial" w:cs="arial"/>
                <w:i/>
                <w:color w:val="000000"/>
                <w:sz w:val="20"/>
                <w:lang w:val="en-US" w:eastAsia="en-US" w:bidi="ar-SA"/>
              </w:rPr>
              <w:t>Ruffin</w:t>
            </w:r>
            <w:r>
              <w:rPr>
                <w:rFonts w:ascii="arial" w:eastAsia="arial" w:hAnsi="arial" w:cs="arial"/>
                <w:color w:val="000000"/>
                <w:sz w:val="20"/>
                <w:lang w:val="en-US" w:eastAsia="en-US" w:bidi="ar-SA"/>
              </w:rPr>
              <w:t xml:space="preserve"> decision, the defendant was charged with obliterating the serial number of a handgun. The trial court instructed the jury that there is a rebuttable presumption that one in possession of such a handgun obliterated the serial number. The Court of Special Appeals held that the jury instruction was unconstitutional because, when the trial court declined to explain "rebuttable," it permitted the jury to infer that the defendant was guilty unless the defendant proved otherwise.</w:t>
            </w:r>
          </w:p>
          <w:p>
            <w:pPr>
              <w:spacing w:before="240" w:line="260" w:lineRule="atLeast"/>
              <w:ind w:left="60" w:right="360"/>
              <w:jc w:val="both"/>
              <w:rPr>
                <w:lang w:val="en-US" w:eastAsia="en-US" w:bidi="ar-SA"/>
              </w:rPr>
            </w:pPr>
            <w:r>
              <w:rPr>
                <w:rFonts w:ascii="arial" w:eastAsia="arial" w:hAnsi="arial" w:cs="arial"/>
                <w:color w:val="000000"/>
                <w:sz w:val="20"/>
                <w:lang w:val="en-US" w:eastAsia="en-US" w:bidi="ar-SA"/>
              </w:rPr>
              <w:t xml:space="preserve">In </w:t>
            </w:r>
            <w:hyperlink r:id="rId39" w:history="1">
              <w:r>
                <w:rPr>
                  <w:rFonts w:ascii="arial" w:eastAsia="arial" w:hAnsi="arial" w:cs="arial"/>
                  <w:i/>
                  <w:color w:val="0077CC"/>
                  <w:sz w:val="20"/>
                  <w:u w:val="single"/>
                  <w:lang w:val="en-US" w:eastAsia="en-US" w:bidi="ar-SA"/>
                </w:rPr>
                <w:t>Atkins v. State, 421 Md. 434, 26 A.3d 979 (2011),</w:t>
              </w:r>
            </w:hyperlink>
            <w:r>
              <w:rPr>
                <w:rFonts w:ascii="arial" w:eastAsia="arial" w:hAnsi="arial" w:cs="arial"/>
                <w:color w:val="000000"/>
                <w:sz w:val="20"/>
                <w:lang w:val="en-US" w:eastAsia="en-US" w:bidi="ar-SA"/>
              </w:rPr>
              <w:t xml:space="preserve"> the Court held unconstitutional a "CSI instruction" because, under the facts of the case, it, "in effect, relieved the State of its burden to prove guilt beyond a reasonable doubt." </w:t>
            </w:r>
            <w:hyperlink r:id="rId39" w:history="1">
              <w:r>
                <w:rPr>
                  <w:rFonts w:ascii="arial" w:eastAsia="arial" w:hAnsi="arial" w:cs="arial"/>
                  <w:i/>
                  <w:color w:val="0077CC"/>
                  <w:sz w:val="20"/>
                  <w:u w:val="single"/>
                  <w:lang w:val="en-US" w:eastAsia="en-US" w:bidi="ar-SA"/>
                </w:rPr>
                <w:t>Id. at 437, 26 A.3d at 980.</w:t>
              </w:r>
            </w:hyperlink>
            <w:r>
              <w:rPr>
                <w:rFonts w:ascii="arial" w:eastAsia="arial" w:hAnsi="arial" w:cs="arial"/>
                <w:color w:val="000000"/>
                <w:sz w:val="20"/>
                <w:lang w:val="en-US" w:eastAsia="en-US" w:bidi="ar-SA"/>
              </w:rPr>
              <w:t xml:space="preserve"> Atkins, who claimed selfdefense, stabbed three people in a fight and was convicted on three counts of second degree assault. </w:t>
            </w:r>
            <w:r>
              <w:rPr>
                <w:rFonts w:ascii="arial" w:eastAsia="arial" w:hAnsi="arial" w:cs="arial"/>
                <w:i/>
                <w:color w:val="000000"/>
                <w:sz w:val="20"/>
                <w:lang w:val="en-US" w:eastAsia="en-US" w:bidi="ar-SA"/>
              </w:rPr>
              <w:t>Id.</w:t>
            </w:r>
            <w:r>
              <w:rPr>
                <w:rFonts w:ascii="arial" w:eastAsia="arial" w:hAnsi="arial" w:cs="arial"/>
                <w:color w:val="000000"/>
                <w:sz w:val="20"/>
                <w:lang w:val="en-US" w:eastAsia="en-US" w:bidi="ar-SA"/>
              </w:rPr>
              <w:t xml:space="preserve"> There was a dispute about which of two knives the defendant had used, and the State had not performed "scientific or forensic" tests on the knives. </w:t>
            </w:r>
            <w:hyperlink r:id="rId39" w:history="1">
              <w:r>
                <w:rPr>
                  <w:rFonts w:ascii="arial" w:eastAsia="arial" w:hAnsi="arial" w:cs="arial"/>
                  <w:i/>
                  <w:color w:val="0077CC"/>
                  <w:sz w:val="20"/>
                  <w:u w:val="single"/>
                  <w:lang w:val="en-US" w:eastAsia="en-US" w:bidi="ar-SA"/>
                </w:rPr>
                <w:t>Id. at 439, 26 A.3d at 981.</w:t>
              </w:r>
            </w:hyperlink>
            <w:r>
              <w:rPr>
                <w:rFonts w:ascii="arial" w:eastAsia="arial" w:hAnsi="arial" w:cs="arial"/>
                <w:color w:val="000000"/>
                <w:sz w:val="20"/>
                <w:lang w:val="en-US" w:eastAsia="en-US" w:bidi="ar-SA"/>
              </w:rPr>
              <w:t xml:space="preserve"> The trial court instructed the jury that "there is no legal requirement that the State utilize any specific investigative technique or scientific test to prove its case." </w:t>
            </w:r>
            <w:hyperlink r:id="rId39" w:history="1">
              <w:r>
                <w:rPr>
                  <w:rFonts w:ascii="arial" w:eastAsia="arial" w:hAnsi="arial" w:cs="arial"/>
                  <w:i/>
                  <w:color w:val="0077CC"/>
                  <w:sz w:val="20"/>
                  <w:u w:val="single"/>
                  <w:lang w:val="en-US" w:eastAsia="en-US" w:bidi="ar-SA"/>
                </w:rPr>
                <w:t>Id. at 466, 26 A.3d at 997.</w:t>
              </w:r>
            </w:hyperlink>
            <w:r>
              <w:rPr>
                <w:rFonts w:ascii="arial" w:eastAsia="arial" w:hAnsi="arial" w:cs="arial"/>
                <w:color w:val="000000"/>
                <w:sz w:val="20"/>
                <w:lang w:val="en-US" w:eastAsia="en-US" w:bidi="ar-SA"/>
              </w:rPr>
              <w:t xml:space="preserve"> Under these circumstances, the Court of Appeals held that "the instruction as worded effectively undermined the defense theory of self-defense, and relieved the State of its burden to prove guilt beyond a reasonable doubt." </w:t>
            </w:r>
            <w:hyperlink r:id="rId39" w:history="1">
              <w:r>
                <w:rPr>
                  <w:rFonts w:ascii="arial" w:eastAsia="arial" w:hAnsi="arial" w:cs="arial"/>
                  <w:i/>
                  <w:color w:val="0077CC"/>
                  <w:sz w:val="20"/>
                  <w:u w:val="single"/>
                  <w:lang w:val="en-US" w:eastAsia="en-US" w:bidi="ar-SA"/>
                </w:rPr>
                <w:t>Id. at 451, 26 A.3d at 988.</w:t>
              </w:r>
            </w:hyperlink>
            <w:r>
              <w:rPr>
                <w:rFonts w:ascii="arial" w:eastAsia="arial" w:hAnsi="arial" w:cs="arial"/>
                <w:color w:val="000000"/>
                <w:sz w:val="20"/>
                <w:lang w:val="en-US" w:eastAsia="en-US" w:bidi="ar-SA"/>
              </w:rPr>
              <w:t xml:space="preserve"> (The instruction also "invaded the province of the jury" because it "constituted commentary on the weight of the evidence." </w:t>
            </w:r>
            <w:hyperlink r:id="rId39" w:history="1">
              <w:r>
                <w:rPr>
                  <w:rFonts w:ascii="arial" w:eastAsia="arial" w:hAnsi="arial" w:cs="arial"/>
                  <w:i/>
                  <w:color w:val="0077CC"/>
                  <w:sz w:val="20"/>
                  <w:u w:val="single"/>
                  <w:lang w:val="en-US" w:eastAsia="en-US" w:bidi="ar-SA"/>
                </w:rPr>
                <w:t>Id. at 453, 26 A.3d at 989.)</w:t>
              </w:r>
            </w:hyperlink>
            <w:r>
              <w:rPr>
                <w:rFonts w:ascii="arial" w:eastAsia="arial" w:hAnsi="arial" w:cs="arial"/>
                <w:color w:val="000000"/>
                <w:sz w:val="20"/>
                <w:lang w:val="en-US" w:eastAsia="en-US" w:bidi="ar-SA"/>
              </w:rPr>
              <w:t xml:space="preserve"> The Court cautioned that it did "not hold that an investigative techniques instruction would never be proper." </w:t>
            </w:r>
            <w:hyperlink r:id="rId39" w:history="1">
              <w:r>
                <w:rPr>
                  <w:rFonts w:ascii="arial" w:eastAsia="arial" w:hAnsi="arial" w:cs="arial"/>
                  <w:i/>
                  <w:color w:val="0077CC"/>
                  <w:sz w:val="20"/>
                  <w:u w:val="single"/>
                  <w:lang w:val="en-US" w:eastAsia="en-US" w:bidi="ar-SA"/>
                </w:rPr>
                <w:t>Id. at 454, 26 A.3d at 990.</w:t>
              </w:r>
            </w:hyperlink>
            <w:r>
              <w:rPr>
                <w:rFonts w:ascii="arial" w:eastAsia="arial" w:hAnsi="arial" w:cs="arial"/>
                <w:color w:val="000000"/>
                <w:sz w:val="20"/>
                <w:lang w:val="en-US" w:eastAsia="en-US" w:bidi="ar-SA"/>
              </w:rPr>
              <w:t xml:space="preserve"> It added that "it would be proper to tell the jury that the State may prove its case by whatever means it chooses," but should avoid "commenting in the negative, i.e., what the State does </w:t>
            </w:r>
            <w:r>
              <w:rPr>
                <w:rFonts w:ascii="arial" w:eastAsia="arial" w:hAnsi="arial" w:cs="arial"/>
                <w:i/>
                <w:color w:val="000000"/>
                <w:sz w:val="20"/>
                <w:lang w:val="en-US" w:eastAsia="en-US" w:bidi="ar-SA"/>
              </w:rPr>
              <w:t>not</w:t>
            </w:r>
            <w:r>
              <w:rPr>
                <w:rFonts w:ascii="arial" w:eastAsia="arial" w:hAnsi="arial" w:cs="arial"/>
                <w:color w:val="000000"/>
                <w:sz w:val="20"/>
                <w:lang w:val="en-US" w:eastAsia="en-US" w:bidi="ar-SA"/>
              </w:rPr>
              <w:t xml:space="preserve"> have to do." </w:t>
            </w:r>
            <w:hyperlink r:id="rId39" w:history="1">
              <w:r>
                <w:rPr>
                  <w:rFonts w:ascii="arial" w:eastAsia="arial" w:hAnsi="arial" w:cs="arial"/>
                  <w:i/>
                  <w:color w:val="0077CC"/>
                  <w:sz w:val="20"/>
                  <w:u w:val="single"/>
                  <w:lang w:val="en-US" w:eastAsia="en-US" w:bidi="ar-SA"/>
                </w:rPr>
                <w:t>Id. at 455 n.8, 26 A.3d at 990 n.8</w:t>
              </w:r>
            </w:hyperlink>
            <w:r>
              <w:rPr>
                <w:rFonts w:ascii="arial" w:eastAsia="arial" w:hAnsi="arial" w:cs="arial"/>
                <w:color w:val="000000"/>
                <w:sz w:val="20"/>
                <w:lang w:val="en-US" w:eastAsia="en-US" w:bidi="ar-SA"/>
              </w:rPr>
              <w:t xml:space="preserve"> (emphasis in original).</w:t>
            </w:r>
          </w:p>
          <w:p>
            <w:pPr>
              <w:spacing w:after="120"/>
              <w:rPr>
                <w:lang w:val="en-US" w:eastAsia="en-US" w:bidi="ar-SA"/>
              </w:rPr>
            </w:pPr>
          </w:p>
        </w:tc>
      </w:tr>
    </w:tbl>
    <w:p>
      <w:pPr>
        <w:spacing w:before="60" w:line="260" w:lineRule="atLeast"/>
        <w:ind w:left="720"/>
        <w:jc w:val="both"/>
        <w:rPr>
          <w:lang w:val="en-US" w:eastAsia="en-US" w:bidi="ar-SA"/>
        </w:rPr>
      </w:pPr>
      <w:r>
        <w:rPr>
          <w:rFonts w:ascii="arial" w:eastAsia="arial" w:hAnsi="arial" w:cs="arial"/>
          <w:color w:val="000000"/>
          <w:sz w:val="20"/>
          <w:lang w:val="en-US" w:eastAsia="en-US" w:bidi="ar-SA"/>
        </w:rPr>
        <w:t>#MICPEL#</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Source:</w:t>
      </w:r>
      <w:r>
        <w:rPr>
          <w:rFonts w:ascii="arial" w:eastAsia="arial" w:hAnsi="arial" w:cs="arial"/>
          <w:color w:val="000000"/>
          <w:sz w:val="20"/>
          <w:lang w:val="en-US" w:eastAsia="en-US" w:bidi="ar-SA"/>
        </w:rPr>
        <w:t> MICPEL</w:t>
      </w:r>
    </w:p>
    <w:p>
      <w:pPr>
        <w:spacing w:before="240" w:line="220" w:lineRule="atLeast"/>
        <w:rPr>
          <w:lang w:val="en-US" w:eastAsia="en-US" w:bidi="ar-SA"/>
        </w:rPr>
      </w:pPr>
      <w:r>
        <w:rPr>
          <w:rFonts w:ascii="arial" w:eastAsia="arial" w:hAnsi="arial" w:cs="arial"/>
          <w:color w:val="000000"/>
          <w:sz w:val="16"/>
          <w:lang w:val="en-US" w:eastAsia="en-US" w:bidi="ar-SA"/>
        </w:rPr>
        <w:t>Maryland Criminal Pattern Jury Instructions</w:t>
      </w:r>
    </w:p>
    <w:p>
      <w:pPr>
        <w:spacing w:line="220" w:lineRule="atLeast"/>
        <w:rPr>
          <w:lang w:val="en-US" w:eastAsia="en-US" w:bidi="ar-SA"/>
        </w:rPr>
      </w:pPr>
      <w:r>
        <w:rPr>
          <w:rFonts w:ascii="arial" w:eastAsia="arial" w:hAnsi="arial" w:cs="arial"/>
          <w:color w:val="000000"/>
          <w:sz w:val="16"/>
          <w:lang w:val="en-US" w:eastAsia="en-US" w:bidi="ar-SA"/>
        </w:rPr>
        <w:t>Copyright 2018 by The Maryland State Bar Association, Inc.</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6" style="position:absolute;z-index:2516664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04"/>
          <w:headerReference w:type="default" r:id="rId105"/>
          <w:footerReference w:type="even" r:id="rId106"/>
          <w:footerReference w:type="default" r:id="rId107"/>
          <w:headerReference w:type="first" r:id="rId108"/>
          <w:footerReference w:type="first" r:id="rId109"/>
          <w:type w:val="nextPage"/>
          <w:pgSz w:w="12240" w:h="15840"/>
          <w:pgMar w:top="840" w:right="1000" w:bottom="840" w:left="1000" w:header="400" w:footer="400"/>
          <w:pgNumType w:fmt="decimal"/>
          <w:cols w:space="720"/>
          <w:titlePg/>
        </w:sectPr>
      </w:pPr>
    </w:p>
    <w:p>
      <w:pPr>
        <w:rPr>
          <w:lang w:val="en-US" w:eastAsia="en-US" w:bidi="ar-SA"/>
        </w:rPr>
      </w:pPr>
      <w:bookmarkStart w:id="3" w:name="Bookmark_4"/>
      <w:bookmarkEnd w:id="3"/>
    </w:p>
    <w:p>
      <w:pPr>
        <w:rPr>
          <w:lang w:val="en-US" w:eastAsia="en-US" w:bidi="ar-SA"/>
        </w:rPr>
      </w:pPr>
      <w:r>
        <w:pict>
          <v:shape id="_x0000_i1037" type="#_x0000_t75" alt="LexisNexis®" style="width:147.77pt;height:30pt">
            <v:imagedata r:id="rId4" o:title=""/>
          </v:shape>
        </w:pict>
      </w:r>
      <w:r>
        <w:rPr>
          <w:lang w:val="en-US" w:eastAsia="en-US" w:bidi="ar-SA"/>
        </w:rPr>
        <w:cr/>
      </w:r>
    </w:p>
    <w:p>
      <w:pPr>
        <w:spacing w:before="240" w:after="200" w:line="340" w:lineRule="atLeast"/>
        <w:jc w:val="center"/>
        <w:outlineLvl w:val="0"/>
        <w:rPr>
          <w:rFonts w:ascii="Arial" w:hAnsi="Arial" w:cs="Arial"/>
          <w:b/>
          <w:bCs/>
          <w:kern w:val="32"/>
          <w:sz w:val="32"/>
          <w:szCs w:val="32"/>
          <w:lang w:val="en-US" w:eastAsia="en-US" w:bidi="ar-SA"/>
        </w:rPr>
      </w:pPr>
      <w:hyperlink r:id="rId110" w:history="1">
        <w:r>
          <w:rPr>
            <w:rFonts w:ascii="arial" w:eastAsia="arial" w:hAnsi="arial" w:cs="arial"/>
            <w:b/>
            <w:bCs/>
            <w:i/>
            <w:color w:val="0077CC"/>
            <w:kern w:val="32"/>
            <w:sz w:val="28"/>
            <w:szCs w:val="32"/>
            <w:u w:val="single"/>
            <w:lang w:val="en-US" w:eastAsia="en-US" w:bidi="ar-SA"/>
          </w:rPr>
          <w:t>MPJI-Cr 2:03</w:t>
        </w:r>
      </w:hyperlink>
    </w:p>
    <w:p>
      <w:pPr>
        <w:spacing w:line="240" w:lineRule="atLeast"/>
        <w:jc w:val="both"/>
        <w:rPr>
          <w:lang w:val="en-US" w:eastAsia="en-US" w:bidi="ar-SA"/>
        </w:rPr>
      </w:pPr>
    </w:p>
    <w:p>
      <w:pPr>
        <w:spacing w:before="200" w:line="280" w:lineRule="atLeast"/>
        <w:rPr>
          <w:lang w:val="en-US" w:eastAsia="en-US" w:bidi="ar-SA"/>
        </w:rPr>
      </w:pPr>
      <w:r>
        <w:rPr>
          <w:rFonts w:ascii="arial" w:eastAsia="arial" w:hAnsi="arial" w:cs="arial"/>
          <w:b/>
          <w:i/>
          <w:color w:val="000000"/>
          <w:sz w:val="22"/>
          <w:lang w:val="en-US" w:eastAsia="en-US" w:bidi="ar-SA"/>
        </w:rPr>
        <w:t>Maryland Criminal Pattern Jury Instructions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CHAPTER 2 GENERAL INSTRUCTIONS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UNANIMOUS VERDICT</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2:03Unanimous Verdict</w:t>
      </w:r>
    </w:p>
    <w:p>
      <w:pPr>
        <w:spacing w:line="60" w:lineRule="exact"/>
        <w:rPr>
          <w:lang w:val="en-US" w:eastAsia="en-US" w:bidi="ar-SA"/>
        </w:rPr>
      </w:pPr>
      <w:r>
        <w:pict>
          <v:line id="_x0000_s1038" style="position:absolute;z-index:25166131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color w:val="000000"/>
          <w:sz w:val="20"/>
          <w:lang w:val="en-US" w:eastAsia="en-US" w:bidi="ar-SA"/>
        </w:rPr>
        <w:t>Your verdict must represent the considered judgment of each juror and must be unanimous. In other words, all twelve of you must agree</w:t>
      </w:r>
      <w:r>
        <w:rPr>
          <w:rFonts w:ascii="arial" w:eastAsia="arial" w:hAnsi="arial" w:cs="arial"/>
          <w:color w:val="000000"/>
          <w:sz w:val="20"/>
          <w:lang w:val="en-US" w:eastAsia="en-US" w:bidi="ar-SA"/>
        </w:rPr>
        <w:t>.</w:t>
      </w:r>
    </w:p>
    <w:p>
      <w:pPr>
        <w:rPr>
          <w:lang w:val="en-US" w:eastAsia="en-US" w:bidi="ar-SA"/>
        </w:rPr>
      </w:pPr>
    </w:p>
    <w:tbl>
      <w:tblPr>
        <w:tblStyle w:val="TableNormal"/>
        <w:tblW w:w="0" w:type="auto"/>
        <w:tblInd w:w="0" w:type="dxa"/>
        <w:tblBorders>
          <w:top w:val="single" w:sz="8" w:space="0" w:color="BCBEC0"/>
          <w:left w:val="single" w:sz="8" w:space="0" w:color="BCBEC0"/>
          <w:bottom w:val="single" w:sz="8" w:space="0" w:color="BCBEC0"/>
          <w:right w:val="single" w:sz="8" w:space="0" w:color="BCBEC0"/>
          <w:insideH w:val="single" w:sz="8" w:space="0" w:color="BCBEC0"/>
          <w:insideV w:val="single" w:sz="8" w:space="0" w:color="BCBEC0"/>
        </w:tblBorders>
        <w:tblLayout w:type="fixed"/>
        <w:tblCellMar>
          <w:left w:w="108" w:type="dxa"/>
          <w:right w:w="108" w:type="dxa"/>
        </w:tblCellMar>
      </w:tblPr>
      <w:tblGrid>
        <w:gridCol w:w="10240"/>
      </w:tblGrid>
      <w:tr>
        <w:tblPrEx>
          <w:tblW w:w="0" w:type="auto"/>
          <w:tblInd w:w="0" w:type="dxa"/>
          <w:tblBorders>
            <w:top w:val="single" w:sz="8" w:space="0" w:color="BCBEC0"/>
            <w:left w:val="single" w:sz="8" w:space="0" w:color="BCBEC0"/>
            <w:bottom w:val="single" w:sz="8" w:space="0" w:color="BCBEC0"/>
            <w:right w:val="single" w:sz="8" w:space="0" w:color="BCBEC0"/>
            <w:insideH w:val="single" w:sz="8" w:space="0" w:color="BCBEC0"/>
            <w:insideV w:val="single" w:sz="8" w:space="0" w:color="BCBEC0"/>
          </w:tblBorders>
          <w:tblLayout w:type="fixed"/>
          <w:tblCellMar>
            <w:left w:w="108" w:type="dxa"/>
            <w:right w:w="108" w:type="dxa"/>
          </w:tblCellMar>
        </w:tblPrEx>
        <w:tc>
          <w:tcPr>
            <w:tcW w:w="10240" w:type="dxa"/>
            <w:vAlign w:val="center"/>
          </w:tcPr>
          <w:p>
            <w:pPr>
              <w:spacing w:before="240" w:line="260" w:lineRule="atLeast"/>
              <w:ind w:left="60" w:right="360"/>
              <w:rPr>
                <w:lang w:val="en-US" w:eastAsia="en-US" w:bidi="ar-SA"/>
              </w:rPr>
            </w:pPr>
            <w:r>
              <w:rPr>
                <w:rFonts w:ascii="arial" w:eastAsia="arial" w:hAnsi="arial" w:cs="arial"/>
                <w:b/>
                <w:color w:val="000000"/>
                <w:sz w:val="20"/>
                <w:lang w:val="en-US" w:eastAsia="en-US" w:bidi="ar-SA"/>
              </w:rPr>
              <w:t> </w:t>
            </w:r>
          </w:p>
          <w:p>
            <w:pPr>
              <w:spacing w:before="200" w:line="260" w:lineRule="atLeast"/>
              <w:ind w:left="60" w:right="360"/>
              <w:jc w:val="both"/>
              <w:rPr>
                <w:lang w:val="en-US" w:eastAsia="en-US" w:bidi="ar-SA"/>
              </w:rPr>
            </w:pPr>
            <w:r>
              <w:rPr>
                <w:rFonts w:ascii="arial" w:eastAsia="arial" w:hAnsi="arial" w:cs="arial"/>
                <w:color w:val="000000"/>
                <w:sz w:val="20"/>
                <w:lang w:val="en-US" w:eastAsia="en-US" w:bidi="ar-SA"/>
              </w:rPr>
              <w:t>COMMENT</w:t>
            </w:r>
          </w:p>
          <w:p>
            <w:pPr>
              <w:spacing w:before="200" w:line="260" w:lineRule="atLeast"/>
              <w:ind w:left="60" w:right="360"/>
              <w:jc w:val="both"/>
              <w:rPr>
                <w:lang w:val="en-US" w:eastAsia="en-US" w:bidi="ar-SA"/>
              </w:rPr>
            </w:pPr>
            <w:r>
              <w:rPr>
                <w:rFonts w:ascii="arial" w:eastAsia="arial" w:hAnsi="arial" w:cs="arial"/>
                <w:color w:val="000000"/>
                <w:sz w:val="20"/>
                <w:lang w:val="en-US" w:eastAsia="en-US" w:bidi="ar-SA"/>
              </w:rPr>
              <w:t xml:space="preserve">The size of the jury shall be twelve unless the parties stipulate, at any time, in writing or on the record, to a jury of less than twelve. MD. RULE 4-311(b); </w:t>
            </w:r>
            <w:r>
              <w:rPr>
                <w:rFonts w:ascii="arial" w:eastAsia="arial" w:hAnsi="arial" w:cs="arial"/>
                <w:i/>
                <w:color w:val="000000"/>
                <w:sz w:val="20"/>
                <w:lang w:val="en-US" w:eastAsia="en-US" w:bidi="ar-SA"/>
              </w:rPr>
              <w:t xml:space="preserve">see </w:t>
            </w:r>
            <w:hyperlink r:id="rId111" w:history="1">
              <w:r>
                <w:rPr>
                  <w:rFonts w:ascii="arial" w:eastAsia="arial" w:hAnsi="arial" w:cs="arial"/>
                  <w:i/>
                  <w:color w:val="0077CC"/>
                  <w:sz w:val="20"/>
                  <w:u w:val="single"/>
                  <w:lang w:val="en-US" w:eastAsia="en-US" w:bidi="ar-SA"/>
                </w:rPr>
                <w:t>Williams v. State, 22 Md. App. 714, 325 A.2d 427 (1974),</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cert. denied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273 Md. 723 (1974).</w:t>
            </w:r>
            <w:r>
              <w:rPr>
                <w:rFonts w:ascii="arial" w:eastAsia="arial" w:hAnsi="arial" w:cs="arial"/>
                <w:color w:val="000000"/>
                <w:sz w:val="20"/>
                <w:lang w:val="en-US" w:eastAsia="en-US" w:bidi="ar-SA"/>
              </w:rPr>
              <w:t xml:space="preserve"> MARYLAND RULE 4-311(b) does not require that either party explain or justify a decision to insist upon the number of jurors provided by law. </w:t>
            </w:r>
            <w:hyperlink r:id="rId112" w:history="1">
              <w:r>
                <w:rPr>
                  <w:rFonts w:ascii="arial" w:eastAsia="arial" w:hAnsi="arial" w:cs="arial"/>
                  <w:i/>
                  <w:color w:val="0077CC"/>
                  <w:sz w:val="20"/>
                  <w:u w:val="single"/>
                  <w:lang w:val="en-US" w:eastAsia="en-US" w:bidi="ar-SA"/>
                </w:rPr>
                <w:t>State v. Gorwell, 339 Md. 203, 214, 661 A.2d 718, 724 (1995)</w:t>
              </w:r>
            </w:hyperlink>
            <w:r>
              <w:rPr>
                <w:rFonts w:ascii="arial" w:eastAsia="arial" w:hAnsi="arial" w:cs="arial"/>
                <w:color w:val="000000"/>
                <w:sz w:val="20"/>
                <w:lang w:val="en-US" w:eastAsia="en-US" w:bidi="ar-SA"/>
              </w:rPr>
              <w:t xml:space="preserve"> (no requirement that the trial judge agree with the State's decision to decline to continue with 11 jurors or, where reasons are given by the State, that the trial judge agree with those reasons), </w:t>
            </w:r>
            <w:r>
              <w:rPr>
                <w:rFonts w:ascii="arial" w:eastAsia="arial" w:hAnsi="arial" w:cs="arial"/>
                <w:i/>
                <w:color w:val="000000"/>
                <w:sz w:val="20"/>
                <w:lang w:val="en-US" w:eastAsia="en-US" w:bidi="ar-SA"/>
              </w:rPr>
              <w:t>cert. denied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516 U.S. 1076 (1996).</w:t>
            </w:r>
          </w:p>
          <w:p>
            <w:pPr>
              <w:spacing w:before="240" w:line="260" w:lineRule="atLeast"/>
              <w:ind w:left="60" w:right="360"/>
              <w:jc w:val="both"/>
              <w:rPr>
                <w:lang w:val="en-US" w:eastAsia="en-US" w:bidi="ar-SA"/>
              </w:rPr>
            </w:pPr>
            <w:r>
              <w:rPr>
                <w:rFonts w:ascii="arial" w:eastAsia="arial" w:hAnsi="arial" w:cs="arial"/>
                <w:color w:val="000000"/>
                <w:sz w:val="20"/>
                <w:lang w:val="en-US" w:eastAsia="en-US" w:bidi="ar-SA"/>
              </w:rPr>
              <w:t xml:space="preserve">MARYLAND RULE 4-327(a) provides that a jury verdict shall be unanimous and shall be returned in open court. This is a State constitutional right. … MD. CONST., DECL. RTS. art. 21 ("jury, without whose unanimous consent he ought not be found guilty"). </w:t>
            </w:r>
            <w:r>
              <w:rPr>
                <w:rFonts w:ascii="arial" w:eastAsia="arial" w:hAnsi="arial" w:cs="arial"/>
                <w:i/>
                <w:color w:val="000000"/>
                <w:sz w:val="20"/>
                <w:lang w:val="en-US" w:eastAsia="en-US" w:bidi="ar-SA"/>
              </w:rPr>
              <w:t>See generally</w:t>
            </w:r>
            <w:r>
              <w:rPr>
                <w:rFonts w:ascii="arial" w:eastAsia="arial" w:hAnsi="arial" w:cs="arial"/>
                <w:color w:val="000000"/>
                <w:sz w:val="20"/>
                <w:lang w:val="en-US" w:eastAsia="en-US" w:bidi="ar-SA"/>
              </w:rPr>
              <w:t xml:space="preserve"> LYNN MCLAIN, MARYLAND EVIDENCE § 300.4, at 271-92 (2d ed. 2001 &amp; Supp. 2010). However, the unanimity requirement applies only to the verdict. </w:t>
            </w:r>
            <w:r>
              <w:rPr>
                <w:rFonts w:ascii="arial" w:eastAsia="arial" w:hAnsi="arial" w:cs="arial"/>
                <w:i/>
                <w:color w:val="000000"/>
                <w:sz w:val="20"/>
                <w:lang w:val="en-US" w:eastAsia="en-US" w:bidi="ar-SA"/>
              </w:rPr>
              <w:t xml:space="preserve">See </w:t>
            </w:r>
            <w:hyperlink r:id="rId113" w:history="1">
              <w:r>
                <w:rPr>
                  <w:rFonts w:ascii="arial" w:eastAsia="arial" w:hAnsi="arial" w:cs="arial"/>
                  <w:i/>
                  <w:color w:val="0077CC"/>
                  <w:sz w:val="20"/>
                  <w:u w:val="single"/>
                  <w:lang w:val="en-US" w:eastAsia="en-US" w:bidi="ar-SA"/>
                </w:rPr>
                <w:t>Schad v. Arizona, 501 U.S. 624</w:t>
              </w:r>
            </w:hyperlink>
            <w:r>
              <w:rPr>
                <w:rFonts w:ascii="arial" w:eastAsia="arial" w:hAnsi="arial" w:cs="arial"/>
                <w:color w:val="000000"/>
                <w:sz w:val="20"/>
                <w:lang w:val="en-US" w:eastAsia="en-US" w:bidi="ar-SA"/>
              </w:rPr>
              <w:t xml:space="preserve"> (jury not required to unanimously agree on theory of malice for murder (i.e., premeditated or felony murder)), </w:t>
            </w:r>
            <w:r>
              <w:rPr>
                <w:rFonts w:ascii="arial" w:eastAsia="arial" w:hAnsi="arial" w:cs="arial"/>
                <w:i/>
                <w:color w:val="000000"/>
                <w:sz w:val="20"/>
                <w:lang w:val="en-US" w:eastAsia="en-US" w:bidi="ar-SA"/>
              </w:rPr>
              <w:t>reh'g denied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501 U.S. 1277 (1991);</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 xml:space="preserve">compare </w:t>
            </w:r>
            <w:hyperlink r:id="rId114" w:history="1">
              <w:r>
                <w:rPr>
                  <w:rFonts w:ascii="arial" w:eastAsia="arial" w:hAnsi="arial" w:cs="arial"/>
                  <w:i/>
                  <w:color w:val="0077CC"/>
                  <w:sz w:val="20"/>
                  <w:u w:val="single"/>
                  <w:lang w:val="en-US" w:eastAsia="en-US" w:bidi="ar-SA"/>
                </w:rPr>
                <w:t>Richardson v. United States, 526 U.S. 813, 817 (1999)</w:t>
              </w:r>
            </w:hyperlink>
            <w:r>
              <w:rPr>
                <w:rFonts w:ascii="arial" w:eastAsia="arial" w:hAnsi="arial" w:cs="arial"/>
                <w:color w:val="000000"/>
                <w:sz w:val="20"/>
                <w:lang w:val="en-US" w:eastAsia="en-US" w:bidi="ar-SA"/>
              </w:rPr>
              <w:t xml:space="preserve"> (in a federal "continuing criminal enterprise" prosecution, the Court required unanimous jury findings for three drug violations because they were elements of the crime). </w:t>
            </w:r>
            <w:r>
              <w:rPr>
                <w:rFonts w:ascii="arial" w:eastAsia="arial" w:hAnsi="arial" w:cs="arial"/>
                <w:i/>
                <w:color w:val="000000"/>
                <w:sz w:val="20"/>
                <w:lang w:val="en-US" w:eastAsia="en-US" w:bidi="ar-SA"/>
              </w:rPr>
              <w:t xml:space="preserve">See </w:t>
            </w:r>
            <w:hyperlink r:id="rId115" w:history="1">
              <w:r>
                <w:rPr>
                  <w:rFonts w:ascii="arial" w:eastAsia="arial" w:hAnsi="arial" w:cs="arial"/>
                  <w:i/>
                  <w:color w:val="0077CC"/>
                  <w:sz w:val="20"/>
                  <w:u w:val="single"/>
                  <w:lang w:val="en-US" w:eastAsia="en-US" w:bidi="ar-SA"/>
                </w:rPr>
                <w:t>Crispino v. State, 417 Md. 31, 48, 7 A.3d 1092, 1102 (2010)</w:t>
              </w:r>
            </w:hyperlink>
            <w:r>
              <w:rPr>
                <w:rFonts w:ascii="arial" w:eastAsia="arial" w:hAnsi="arial" w:cs="arial"/>
                <w:color w:val="000000"/>
                <w:sz w:val="20"/>
                <w:lang w:val="en-US" w:eastAsia="en-US" w:bidi="ar-SA"/>
              </w:rPr>
              <w:t xml:space="preserve"> (reaffirming "that jurors need not be unanimous with regard to a specific act, but rather, whether all elements of an offense are proven"); </w:t>
            </w:r>
            <w:hyperlink r:id="rId116" w:history="1">
              <w:r>
                <w:rPr>
                  <w:rFonts w:ascii="arial" w:eastAsia="arial" w:hAnsi="arial" w:cs="arial"/>
                  <w:i/>
                  <w:color w:val="0077CC"/>
                  <w:sz w:val="20"/>
                  <w:u w:val="single"/>
                  <w:lang w:val="en-US" w:eastAsia="en-US" w:bidi="ar-SA"/>
                </w:rPr>
                <w:t>Rice v. State, 311 Md. 116, 135-36, 532 A.2d 1357, 1366-67 (1987)</w:t>
              </w:r>
            </w:hyperlink>
            <w:r>
              <w:rPr>
                <w:rFonts w:ascii="arial" w:eastAsia="arial" w:hAnsi="arial" w:cs="arial"/>
                <w:color w:val="000000"/>
                <w:sz w:val="20"/>
                <w:lang w:val="en-US" w:eastAsia="en-US" w:bidi="ar-SA"/>
              </w:rPr>
              <w:t xml:space="preserve"> (jury not required to unanimously agree on method of theft committed); </w:t>
            </w:r>
            <w:hyperlink r:id="rId117" w:history="1">
              <w:r>
                <w:rPr>
                  <w:rFonts w:ascii="arial" w:eastAsia="arial" w:hAnsi="arial" w:cs="arial"/>
                  <w:i/>
                  <w:color w:val="0077CC"/>
                  <w:sz w:val="20"/>
                  <w:u w:val="single"/>
                  <w:lang w:val="en-US" w:eastAsia="en-US" w:bidi="ar-SA"/>
                </w:rPr>
                <w:t>Craddock v. State, 64 Md. App. 269, 278, 494 A.2d 971, 975</w:t>
              </w:r>
            </w:hyperlink>
            <w:r>
              <w:rPr>
                <w:rFonts w:ascii="arial" w:eastAsia="arial" w:hAnsi="arial" w:cs="arial"/>
                <w:color w:val="000000"/>
                <w:sz w:val="20"/>
                <w:lang w:val="en-US" w:eastAsia="en-US" w:bidi="ar-SA"/>
              </w:rPr>
              <w:t xml:space="preserve"> ("[J]urors are not required to uniformly accept all evidence in order to arrive at a unanimous verdict … . In short, the law requires unanimity only in the verdict … ."), </w:t>
            </w:r>
            <w:r>
              <w:rPr>
                <w:rFonts w:ascii="arial" w:eastAsia="arial" w:hAnsi="arial" w:cs="arial"/>
                <w:i/>
                <w:color w:val="000000"/>
                <w:sz w:val="20"/>
                <w:lang w:val="en-US" w:eastAsia="en-US" w:bidi="ar-SA"/>
              </w:rPr>
              <w:t>cert. denied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304 Md. 297, 498 A.2d 1184 (1985);</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 xml:space="preserve">see also </w:t>
            </w:r>
            <w:hyperlink r:id="rId47" w:history="1">
              <w:r>
                <w:rPr>
                  <w:rFonts w:ascii="arial" w:eastAsia="arial" w:hAnsi="arial" w:cs="arial"/>
                  <w:i/>
                  <w:color w:val="0077CC"/>
                  <w:sz w:val="20"/>
                  <w:u w:val="single"/>
                  <w:lang w:val="en-US" w:eastAsia="en-US" w:bidi="ar-SA"/>
                </w:rPr>
                <w:t>Mills v. State, 310 Md. 33, 60, 527 A.2d 3, 15-16 (1987),</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vacated on other grounds</w:t>
            </w:r>
            <w:r>
              <w:rPr>
                <w:rFonts w:ascii="arial" w:eastAsia="arial" w:hAnsi="arial" w:cs="arial"/>
                <w:color w:val="000000"/>
                <w:sz w:val="20"/>
                <w:lang w:val="en-US" w:eastAsia="en-US" w:bidi="ar-SA"/>
              </w:rPr>
              <w:t xml:space="preserve">, </w:t>
            </w:r>
            <w:hyperlink r:id="rId48" w:history="1">
              <w:r>
                <w:rPr>
                  <w:rFonts w:ascii="arial" w:eastAsia="arial" w:hAnsi="arial" w:cs="arial"/>
                  <w:i/>
                  <w:color w:val="0077CC"/>
                  <w:sz w:val="20"/>
                  <w:u w:val="single"/>
                  <w:lang w:val="en-US" w:eastAsia="en-US" w:bidi="ar-SA"/>
                </w:rPr>
                <w:t>486 U.S. 367 (1988);</w:t>
              </w:r>
            </w:hyperlink>
            <w:r>
              <w:rPr>
                <w:rFonts w:ascii="arial" w:eastAsia="arial" w:hAnsi="arial" w:cs="arial"/>
                <w:color w:val="000000"/>
                <w:sz w:val="20"/>
                <w:lang w:val="en-US" w:eastAsia="en-US" w:bidi="ar-SA"/>
              </w:rPr>
              <w:t xml:space="preserve"> Tim A. Thomas, Annotation, </w:t>
            </w:r>
            <w:r>
              <w:rPr>
                <w:rFonts w:ascii="arial" w:eastAsia="arial" w:hAnsi="arial" w:cs="arial"/>
                <w:i/>
                <w:color w:val="000000"/>
                <w:sz w:val="20"/>
                <w:lang w:val="en-US" w:eastAsia="en-US" w:bidi="ar-SA"/>
              </w:rPr>
              <w:t>Requirement of Jury Unanimity as to Mode of Committing Crime under Statute Setting Forth the Various Modes by Which Offense May Be Committed</w:t>
            </w:r>
            <w:r>
              <w:rPr>
                <w:rFonts w:ascii="arial" w:eastAsia="arial" w:hAnsi="arial" w:cs="arial"/>
                <w:color w:val="000000"/>
                <w:sz w:val="20"/>
                <w:lang w:val="en-US" w:eastAsia="en-US" w:bidi="ar-SA"/>
              </w:rPr>
              <w:t xml:space="preserve">, </w:t>
            </w:r>
            <w:hyperlink r:id="rId118" w:history="1">
              <w:r>
                <w:rPr>
                  <w:rFonts w:ascii="arial" w:eastAsia="arial" w:hAnsi="arial" w:cs="arial"/>
                  <w:i/>
                  <w:color w:val="0077CC"/>
                  <w:sz w:val="20"/>
                  <w:u w:val="single"/>
                  <w:lang w:val="en-US" w:eastAsia="en-US" w:bidi="ar-SA"/>
                </w:rPr>
                <w:t>75 A.L.R.4th 91 (1990).</w:t>
              </w:r>
            </w:hyperlink>
            <w:r>
              <w:rPr>
                <w:rFonts w:ascii="arial" w:eastAsia="arial" w:hAnsi="arial" w:cs="arial"/>
                <w:color w:val="000000"/>
                <w:sz w:val="20"/>
                <w:lang w:val="en-US" w:eastAsia="en-US" w:bidi="ar-SA"/>
              </w:rPr>
              <w:t xml:space="preserve"> MARYLAND RULE 4-327(e) provides that either party or the court may poll the jury to determine whether the verdict announced reflects the verdict of each juror. </w:t>
            </w:r>
            <w:hyperlink r:id="rId119" w:history="1">
              <w:r>
                <w:rPr>
                  <w:rFonts w:ascii="arial" w:eastAsia="arial" w:hAnsi="arial" w:cs="arial"/>
                  <w:i/>
                  <w:color w:val="0077CC"/>
                  <w:sz w:val="20"/>
                  <w:u w:val="single"/>
                  <w:lang w:val="en-US" w:eastAsia="en-US" w:bidi="ar-SA"/>
                </w:rPr>
                <w:t>Lattisaw v. State, 329 Md. 339, 619 A.2d 548 (1993)</w:t>
              </w:r>
            </w:hyperlink>
            <w:r>
              <w:rPr>
                <w:rFonts w:ascii="arial" w:eastAsia="arial" w:hAnsi="arial" w:cs="arial"/>
                <w:color w:val="000000"/>
                <w:sz w:val="20"/>
                <w:lang w:val="en-US" w:eastAsia="en-US" w:bidi="ar-SA"/>
              </w:rPr>
              <w:t xml:space="preserve"> (to cure an ambiguity in a juror's verdict, it is proper for the judge to send the jury out for further deliberations with a unanimity instruction and individually question the ambiguous juror).</w:t>
            </w:r>
          </w:p>
          <w:p>
            <w:pPr>
              <w:spacing w:before="240" w:line="260" w:lineRule="atLeast"/>
              <w:ind w:left="60" w:right="360"/>
              <w:jc w:val="both"/>
              <w:rPr>
                <w:lang w:val="en-US" w:eastAsia="en-US" w:bidi="ar-SA"/>
              </w:rPr>
            </w:pPr>
            <w:r>
              <w:rPr>
                <w:rFonts w:ascii="arial" w:eastAsia="arial" w:hAnsi="arial" w:cs="arial"/>
                <w:color w:val="000000"/>
                <w:sz w:val="20"/>
                <w:lang w:val="en-US" w:eastAsia="en-US" w:bidi="ar-SA"/>
              </w:rPr>
              <w:t xml:space="preserve">The defendant, with the consent of the State and the court, may knowingly and intelligently waive the unanimity requirement. </w:t>
            </w:r>
            <w:r>
              <w:rPr>
                <w:rFonts w:ascii="arial" w:eastAsia="arial" w:hAnsi="arial" w:cs="arial"/>
                <w:i/>
                <w:color w:val="000000"/>
                <w:sz w:val="20"/>
                <w:lang w:val="en-US" w:eastAsia="en-US" w:bidi="ar-SA"/>
              </w:rPr>
              <w:t xml:space="preserve">See </w:t>
            </w:r>
            <w:hyperlink r:id="rId112" w:history="1">
              <w:r>
                <w:rPr>
                  <w:rFonts w:ascii="arial" w:eastAsia="arial" w:hAnsi="arial" w:cs="arial"/>
                  <w:i/>
                  <w:color w:val="0077CC"/>
                  <w:sz w:val="20"/>
                  <w:u w:val="single"/>
                  <w:lang w:val="en-US" w:eastAsia="en-US" w:bidi="ar-SA"/>
                </w:rPr>
                <w:t>Gorwell, 339 Md. 203, 661 A.2d 718</w:t>
              </w:r>
            </w:hyperlink>
            <w:r>
              <w:rPr>
                <w:rFonts w:ascii="arial" w:eastAsia="arial" w:hAnsi="arial" w:cs="arial"/>
                <w:color w:val="000000"/>
                <w:sz w:val="20"/>
                <w:lang w:val="en-US" w:eastAsia="en-US" w:bidi="ar-SA"/>
              </w:rPr>
              <w:t xml:space="preserve"> (prosecutorial withholding of consent to jury of less than 12 persons did not justify proceeding with lesser number of jurors in absence of prosecutorial consent); </w:t>
            </w:r>
            <w:hyperlink r:id="rId120" w:history="1">
              <w:r>
                <w:rPr>
                  <w:rFonts w:ascii="arial" w:eastAsia="arial" w:hAnsi="arial" w:cs="arial"/>
                  <w:i/>
                  <w:color w:val="0077CC"/>
                  <w:sz w:val="20"/>
                  <w:u w:val="single"/>
                  <w:lang w:val="en-US" w:eastAsia="en-US" w:bidi="ar-SA"/>
                </w:rPr>
                <w:t>State v. McKay, 280 Md. 558, 565-72, 375 A.2d 228, 232-36 (1977).</w:t>
              </w:r>
            </w:hyperlink>
          </w:p>
          <w:p>
            <w:pPr>
              <w:spacing w:before="240" w:line="260" w:lineRule="atLeast"/>
              <w:ind w:left="60" w:right="360"/>
              <w:jc w:val="both"/>
              <w:rPr>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i/>
                <w:color w:val="000000"/>
                <w:sz w:val="20"/>
                <w:lang w:val="en-US" w:eastAsia="en-US" w:bidi="ar-SA"/>
              </w:rPr>
              <w:t>McKay</w:t>
            </w:r>
            <w:r>
              <w:rPr>
                <w:rFonts w:ascii="arial" w:eastAsia="arial" w:hAnsi="arial" w:cs="arial"/>
                <w:color w:val="000000"/>
                <w:sz w:val="20"/>
                <w:lang w:val="en-US" w:eastAsia="en-US" w:bidi="ar-SA"/>
              </w:rPr>
              <w:t xml:space="preserve">, the Court of Appeals held that the defendant's waiver was not intelligent and competent when his election to accept a less than unanimous verdict was based on his erroneous belief that if he did not accept a majority verdict, a retrial of the case would include the counts on which he had been acquitted. </w:t>
            </w:r>
            <w:hyperlink r:id="rId120" w:history="1">
              <w:r>
                <w:rPr>
                  <w:rFonts w:ascii="arial" w:eastAsia="arial" w:hAnsi="arial" w:cs="arial"/>
                  <w:i/>
                  <w:color w:val="0077CC"/>
                  <w:sz w:val="20"/>
                  <w:u w:val="single"/>
                  <w:lang w:val="en-US" w:eastAsia="en-US" w:bidi="ar-SA"/>
                </w:rPr>
                <w:t>McKay, 280 Md. at 565-72, 375 A.2d at 232-36.</w:t>
              </w:r>
            </w:hyperlink>
            <w:r>
              <w:rPr>
                <w:rFonts w:ascii="arial" w:eastAsia="arial" w:hAnsi="arial" w:cs="arial"/>
                <w:color w:val="000000"/>
                <w:sz w:val="20"/>
                <w:lang w:val="en-US" w:eastAsia="en-US" w:bidi="ar-SA"/>
              </w:rPr>
              <w:t xml:space="preserve"> In </w:t>
            </w:r>
            <w:hyperlink r:id="rId121" w:history="1">
              <w:r>
                <w:rPr>
                  <w:rFonts w:ascii="arial" w:eastAsia="arial" w:hAnsi="arial" w:cs="arial"/>
                  <w:i/>
                  <w:color w:val="0077CC"/>
                  <w:sz w:val="20"/>
                  <w:u w:val="single"/>
                  <w:lang w:val="en-US" w:eastAsia="en-US" w:bidi="ar-SA"/>
                </w:rPr>
                <w:t>Allen v. State, 77 Md. App. 537, 551 A.2d 156 (1989),</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cert. denied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320 Md. 15, 575 A.2d 742 (1990),</w:t>
            </w:r>
            <w:r>
              <w:rPr>
                <w:rFonts w:ascii="arial" w:eastAsia="arial" w:hAnsi="arial" w:cs="arial"/>
                <w:color w:val="000000"/>
                <w:sz w:val="20"/>
                <w:lang w:val="en-US" w:eastAsia="en-US" w:bidi="ar-SA"/>
              </w:rPr>
              <w:t xml:space="preserve"> the defendant waived unanimity on the suggestion of the court, following three notes from the jury, only two of which had been revealed to the defendant. The Court of Special Appeals established a "bright line" rule, requiring the "trial judge to read the contents of any jury communication to both the State and the defense before allowing the defendant to accept a majority verdict." </w:t>
            </w:r>
            <w:hyperlink r:id="rId121" w:history="1">
              <w:r>
                <w:rPr>
                  <w:rFonts w:ascii="arial" w:eastAsia="arial" w:hAnsi="arial" w:cs="arial"/>
                  <w:i/>
                  <w:color w:val="0077CC"/>
                  <w:sz w:val="20"/>
                  <w:u w:val="single"/>
                  <w:lang w:val="en-US" w:eastAsia="en-US" w:bidi="ar-SA"/>
                </w:rPr>
                <w:t>Id. at 546, 551 A.2d at 160.</w:t>
              </w:r>
            </w:hyperlink>
            <w:r>
              <w:rPr>
                <w:rFonts w:ascii="arial" w:eastAsia="arial" w:hAnsi="arial" w:cs="arial"/>
                <w:color w:val="000000"/>
                <w:sz w:val="20"/>
                <w:lang w:val="en-US" w:eastAsia="en-US" w:bidi="ar-SA"/>
              </w:rPr>
              <w:t xml:space="preserve"> Moreover, in dicta, the court indicated that the trial judge should never suggest such a waiver. </w:t>
            </w:r>
            <w:hyperlink r:id="rId121" w:history="1">
              <w:r>
                <w:rPr>
                  <w:rFonts w:ascii="arial" w:eastAsia="arial" w:hAnsi="arial" w:cs="arial"/>
                  <w:i/>
                  <w:color w:val="0077CC"/>
                  <w:sz w:val="20"/>
                  <w:u w:val="single"/>
                  <w:lang w:val="en-US" w:eastAsia="en-US" w:bidi="ar-SA"/>
                </w:rPr>
                <w:t>Id. at 546-49, 551 A.2d at 160-62.</w:t>
              </w:r>
            </w:hyperlink>
          </w:p>
          <w:p>
            <w:pPr>
              <w:spacing w:before="240" w:line="260" w:lineRule="atLeast"/>
              <w:ind w:left="60" w:right="360"/>
              <w:jc w:val="both"/>
              <w:rPr>
                <w:lang w:val="en-US" w:eastAsia="en-US" w:bidi="ar-SA"/>
              </w:rPr>
            </w:pPr>
            <w:r>
              <w:rPr>
                <w:rFonts w:ascii="arial" w:eastAsia="arial" w:hAnsi="arial" w:cs="arial"/>
                <w:color w:val="000000"/>
                <w:sz w:val="20"/>
                <w:lang w:val="en-US" w:eastAsia="en-US" w:bidi="ar-SA"/>
              </w:rPr>
              <w:t xml:space="preserve">The parties can "stipulate" to a jury of less than 12 persons. MD. RULE 4-311(b). In </w:t>
            </w:r>
            <w:hyperlink r:id="rId122" w:history="1">
              <w:r>
                <w:rPr>
                  <w:rFonts w:ascii="arial" w:eastAsia="arial" w:hAnsi="arial" w:cs="arial"/>
                  <w:i/>
                  <w:color w:val="0077CC"/>
                  <w:sz w:val="20"/>
                  <w:u w:val="single"/>
                  <w:lang w:val="en-US" w:eastAsia="en-US" w:bidi="ar-SA"/>
                </w:rPr>
                <w:t>State v. Kenney, 327 Md. 354, 609 A.2d 337 (2002),</w:t>
              </w:r>
            </w:hyperlink>
            <w:r>
              <w:rPr>
                <w:rFonts w:ascii="arial" w:eastAsia="arial" w:hAnsi="arial" w:cs="arial"/>
                <w:color w:val="000000"/>
                <w:sz w:val="20"/>
                <w:lang w:val="en-US" w:eastAsia="en-US" w:bidi="ar-SA"/>
              </w:rPr>
              <w:t xml:space="preserve"> the Court accepted an on-the-record statement by defense counsel that the defendant had agreed to waive the requirement of a 12 person jury and would accept 11 jurors, holding that it was not necessary that the court personally inquire of the defendant. The Court pointed out that MD. RULE 4-311(b) requires only that "the parties stipulate" to a jury of less than 12 persons. In contrast, MD. RULE 4-246(b), which governs the waiver of jury trials, "requires the court to examine 'the </w:t>
            </w:r>
            <w:r>
              <w:rPr>
                <w:rFonts w:ascii="arial" w:eastAsia="arial" w:hAnsi="arial" w:cs="arial"/>
                <w:i/>
                <w:color w:val="000000"/>
                <w:sz w:val="20"/>
                <w:lang w:val="en-US" w:eastAsia="en-US" w:bidi="ar-SA"/>
              </w:rPr>
              <w:t>defendant</w:t>
            </w:r>
            <w:r>
              <w:rPr>
                <w:rFonts w:ascii="arial" w:eastAsia="arial" w:hAnsi="arial" w:cs="arial"/>
                <w:color w:val="000000"/>
                <w:sz w:val="20"/>
                <w:lang w:val="en-US" w:eastAsia="en-US" w:bidi="ar-SA"/>
              </w:rPr>
              <w:t xml:space="preserve"> on the record in open court' and to find that the waiver is 'made knowingly and voluntarily' before accepting a waiver of a jury trial." </w:t>
            </w:r>
            <w:hyperlink r:id="rId122" w:history="1">
              <w:r>
                <w:rPr>
                  <w:rFonts w:ascii="arial" w:eastAsia="arial" w:hAnsi="arial" w:cs="arial"/>
                  <w:i/>
                  <w:color w:val="0077CC"/>
                  <w:sz w:val="20"/>
                  <w:u w:val="single"/>
                  <w:lang w:val="en-US" w:eastAsia="en-US" w:bidi="ar-SA"/>
                </w:rPr>
                <w:t>Kenney, 327 Md. 361, 609 A.2d 340</w:t>
              </w:r>
            </w:hyperlink>
            <w:r>
              <w:rPr>
                <w:rFonts w:ascii="arial" w:eastAsia="arial" w:hAnsi="arial" w:cs="arial"/>
                <w:color w:val="000000"/>
                <w:sz w:val="20"/>
                <w:lang w:val="en-US" w:eastAsia="en-US" w:bidi="ar-SA"/>
              </w:rPr>
              <w:t xml:space="preserve"> (quoting MD. RULE 4-246(b)) (emphasis added).</w:t>
            </w:r>
          </w:p>
          <w:p>
            <w:pPr>
              <w:spacing w:after="120"/>
              <w:rPr>
                <w:lang w:val="en-US" w:eastAsia="en-US" w:bidi="ar-SA"/>
              </w:rPr>
            </w:pPr>
          </w:p>
        </w:tc>
      </w:tr>
    </w:tbl>
    <w:p>
      <w:pPr>
        <w:spacing w:before="60" w:line="260" w:lineRule="atLeast"/>
        <w:ind w:left="720"/>
        <w:jc w:val="both"/>
        <w:rPr>
          <w:lang w:val="en-US" w:eastAsia="en-US" w:bidi="ar-SA"/>
        </w:rPr>
      </w:pPr>
      <w:r>
        <w:rPr>
          <w:rFonts w:ascii="arial" w:eastAsia="arial" w:hAnsi="arial" w:cs="arial"/>
          <w:color w:val="000000"/>
          <w:sz w:val="20"/>
          <w:lang w:val="en-US" w:eastAsia="en-US" w:bidi="ar-SA"/>
        </w:rPr>
        <w:t>#MICPEL#</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Reference</w:t>
      </w:r>
    </w:p>
    <w:p>
      <w:pPr>
        <w:spacing w:line="60" w:lineRule="exact"/>
        <w:rPr>
          <w:lang w:val="en-US" w:eastAsia="en-US" w:bidi="ar-SA"/>
        </w:rPr>
      </w:pPr>
      <w:r>
        <w:pict>
          <v:line id="_x0000_s1039" style="position:absolute;z-index:251667456" from="0,2pt" to="512pt,2pt" strokecolor="#009ddb" strokeweight="2pt">
            <v:stroke linestyle="single"/>
            <w10:wrap type="topAndBottom"/>
          </v:line>
        </w:pict>
      </w:r>
    </w:p>
    <w:p>
      <w:pPr>
        <w:spacing w:line="120" w:lineRule="exact"/>
        <w:rPr>
          <w:lang w:val="en-US" w:eastAsia="en-US" w:bidi="ar-SA"/>
        </w:rPr>
      </w:pPr>
    </w:p>
    <w:p>
      <w:pPr>
        <w:spacing w:before="120" w:line="260" w:lineRule="atLeast"/>
        <w:rPr>
          <w:lang w:val="en-US" w:eastAsia="en-US" w:bidi="ar-SA"/>
        </w:rPr>
      </w:pPr>
      <w:r>
        <w:rPr>
          <w:rFonts w:ascii="arial" w:eastAsia="arial" w:hAnsi="arial" w:cs="arial"/>
          <w:color w:val="000000"/>
          <w:sz w:val="20"/>
          <w:lang w:val="en-US" w:eastAsia="en-US" w:bidi="ar-SA"/>
        </w:rPr>
        <w:t>MPJI-Cr 2:01.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Source:</w:t>
      </w:r>
      <w:r>
        <w:rPr>
          <w:rFonts w:ascii="arial" w:eastAsia="arial" w:hAnsi="arial" w:cs="arial"/>
          <w:color w:val="000000"/>
          <w:sz w:val="20"/>
          <w:lang w:val="en-US" w:eastAsia="en-US" w:bidi="ar-SA"/>
        </w:rPr>
        <w:t> MICPEL</w:t>
      </w:r>
    </w:p>
    <w:p>
      <w:pPr>
        <w:spacing w:before="240" w:line="220" w:lineRule="atLeast"/>
        <w:rPr>
          <w:lang w:val="en-US" w:eastAsia="en-US" w:bidi="ar-SA"/>
        </w:rPr>
      </w:pPr>
      <w:r>
        <w:rPr>
          <w:rFonts w:ascii="arial" w:eastAsia="arial" w:hAnsi="arial" w:cs="arial"/>
          <w:color w:val="000000"/>
          <w:sz w:val="16"/>
          <w:lang w:val="en-US" w:eastAsia="en-US" w:bidi="ar-SA"/>
        </w:rPr>
        <w:t>Maryland Criminal Pattern Jury Instructions</w:t>
      </w:r>
    </w:p>
    <w:p>
      <w:pPr>
        <w:spacing w:line="220" w:lineRule="atLeast"/>
        <w:rPr>
          <w:lang w:val="en-US" w:eastAsia="en-US" w:bidi="ar-SA"/>
        </w:rPr>
      </w:pPr>
      <w:r>
        <w:rPr>
          <w:rFonts w:ascii="arial" w:eastAsia="arial" w:hAnsi="arial" w:cs="arial"/>
          <w:color w:val="000000"/>
          <w:sz w:val="16"/>
          <w:lang w:val="en-US" w:eastAsia="en-US" w:bidi="ar-SA"/>
        </w:rPr>
        <w:t>Copyright 2018 by The Maryland State Bar Association, Inc.</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0" style="position:absolute;z-index:2516725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23"/>
          <w:headerReference w:type="default" r:id="rId124"/>
          <w:footerReference w:type="even" r:id="rId125"/>
          <w:footerReference w:type="default" r:id="rId126"/>
          <w:headerReference w:type="first" r:id="rId127"/>
          <w:footerReference w:type="first" r:id="rId128"/>
          <w:type w:val="nextPage"/>
          <w:pgSz w:w="12240" w:h="15840"/>
          <w:pgMar w:top="840" w:right="1000" w:bottom="840" w:left="1000" w:header="400" w:footer="400"/>
          <w:pgNumType w:fmt="decimal"/>
          <w:cols w:space="720"/>
          <w:titlePg/>
        </w:sectPr>
      </w:pPr>
    </w:p>
    <w:p>
      <w:pPr>
        <w:rPr>
          <w:lang w:val="en-US" w:eastAsia="en-US" w:bidi="ar-SA"/>
        </w:rPr>
      </w:pPr>
      <w:bookmarkStart w:id="4" w:name="Bookmark_5"/>
      <w:bookmarkEnd w:id="4"/>
    </w:p>
    <w:p>
      <w:pPr>
        <w:rPr>
          <w:lang w:val="en-US" w:eastAsia="en-US" w:bidi="ar-SA"/>
        </w:rPr>
      </w:pPr>
      <w:r>
        <w:pict>
          <v:shape id="_x0000_i1041" type="#_x0000_t75" alt="LexisNexis®" style="width:147.77pt;height:30pt">
            <v:imagedata r:id="rId4" o:title=""/>
          </v:shape>
        </w:pict>
      </w:r>
      <w:r>
        <w:rPr>
          <w:lang w:val="en-US" w:eastAsia="en-US" w:bidi="ar-SA"/>
        </w:rPr>
        <w:cr/>
      </w:r>
    </w:p>
    <w:p>
      <w:pPr>
        <w:spacing w:before="240" w:after="200" w:line="340" w:lineRule="atLeast"/>
        <w:jc w:val="center"/>
        <w:outlineLvl w:val="0"/>
        <w:rPr>
          <w:rFonts w:ascii="Arial" w:hAnsi="Arial" w:cs="Arial"/>
          <w:b/>
          <w:bCs/>
          <w:kern w:val="32"/>
          <w:sz w:val="32"/>
          <w:szCs w:val="32"/>
          <w:lang w:val="en-US" w:eastAsia="en-US" w:bidi="ar-SA"/>
        </w:rPr>
      </w:pPr>
      <w:hyperlink r:id="rId129" w:history="1">
        <w:r>
          <w:rPr>
            <w:rFonts w:ascii="arial" w:eastAsia="arial" w:hAnsi="arial" w:cs="arial"/>
            <w:b/>
            <w:bCs/>
            <w:i/>
            <w:color w:val="0077CC"/>
            <w:kern w:val="32"/>
            <w:sz w:val="28"/>
            <w:szCs w:val="32"/>
            <w:u w:val="single"/>
            <w:lang w:val="en-US" w:eastAsia="en-US" w:bidi="ar-SA"/>
          </w:rPr>
          <w:t>MPJI-Cr 2:04</w:t>
        </w:r>
      </w:hyperlink>
    </w:p>
    <w:p>
      <w:pPr>
        <w:spacing w:line="240" w:lineRule="atLeast"/>
        <w:jc w:val="both"/>
        <w:rPr>
          <w:lang w:val="en-US" w:eastAsia="en-US" w:bidi="ar-SA"/>
        </w:rPr>
      </w:pPr>
    </w:p>
    <w:p>
      <w:pPr>
        <w:spacing w:before="200" w:line="280" w:lineRule="atLeast"/>
        <w:rPr>
          <w:lang w:val="en-US" w:eastAsia="en-US" w:bidi="ar-SA"/>
        </w:rPr>
      </w:pPr>
      <w:r>
        <w:rPr>
          <w:rFonts w:ascii="arial" w:eastAsia="arial" w:hAnsi="arial" w:cs="arial"/>
          <w:b/>
          <w:i/>
          <w:color w:val="000000"/>
          <w:sz w:val="22"/>
          <w:lang w:val="en-US" w:eastAsia="en-US" w:bidi="ar-SA"/>
        </w:rPr>
        <w:t>Maryland Criminal Pattern Jury Instructions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CHAPTER 2 GENERAL INSTRUCTIONS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IMPARTIALITY IN CONSIDERATION</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2:04Impartiality in Consideration</w:t>
      </w:r>
    </w:p>
    <w:p>
      <w:pPr>
        <w:spacing w:line="60" w:lineRule="exact"/>
        <w:rPr>
          <w:lang w:val="en-US" w:eastAsia="en-US" w:bidi="ar-SA"/>
        </w:rPr>
      </w:pPr>
      <w:r>
        <w:pict>
          <v:line id="_x0000_s1042" style="position:absolute;z-index:25166233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color w:val="000000"/>
          <w:sz w:val="20"/>
          <w:lang w:val="en-US" w:eastAsia="en-US" w:bidi="ar-SA"/>
        </w:rPr>
        <w:t>You must consider and decide this case fairly and impartially. You are to perform this duty without bias or prejudice as to any party. You should not be swayed by sympathy, prejudice, or public opinion</w:t>
      </w:r>
      <w:r>
        <w:rPr>
          <w:rFonts w:ascii="arial" w:eastAsia="arial" w:hAnsi="arial" w:cs="arial"/>
          <w:color w:val="000000"/>
          <w:sz w:val="20"/>
          <w:lang w:val="en-US" w:eastAsia="en-US" w:bidi="ar-SA"/>
        </w:rPr>
        <w:t>.</w:t>
      </w:r>
    </w:p>
    <w:p>
      <w:pPr>
        <w:rPr>
          <w:lang w:val="en-US" w:eastAsia="en-US" w:bidi="ar-SA"/>
        </w:rPr>
      </w:pPr>
    </w:p>
    <w:tbl>
      <w:tblPr>
        <w:tblStyle w:val="TableNormal"/>
        <w:tblW w:w="0" w:type="auto"/>
        <w:tblInd w:w="0" w:type="dxa"/>
        <w:tblBorders>
          <w:top w:val="single" w:sz="8" w:space="0" w:color="BCBEC0"/>
          <w:left w:val="single" w:sz="8" w:space="0" w:color="BCBEC0"/>
          <w:bottom w:val="single" w:sz="8" w:space="0" w:color="BCBEC0"/>
          <w:right w:val="single" w:sz="8" w:space="0" w:color="BCBEC0"/>
          <w:insideH w:val="single" w:sz="8" w:space="0" w:color="BCBEC0"/>
          <w:insideV w:val="single" w:sz="8" w:space="0" w:color="BCBEC0"/>
        </w:tblBorders>
        <w:tblLayout w:type="fixed"/>
        <w:tblCellMar>
          <w:left w:w="108" w:type="dxa"/>
          <w:right w:w="108" w:type="dxa"/>
        </w:tblCellMar>
      </w:tblPr>
      <w:tblGrid>
        <w:gridCol w:w="10240"/>
      </w:tblGrid>
      <w:tr>
        <w:tblPrEx>
          <w:tblW w:w="0" w:type="auto"/>
          <w:tblInd w:w="0" w:type="dxa"/>
          <w:tblBorders>
            <w:top w:val="single" w:sz="8" w:space="0" w:color="BCBEC0"/>
            <w:left w:val="single" w:sz="8" w:space="0" w:color="BCBEC0"/>
            <w:bottom w:val="single" w:sz="8" w:space="0" w:color="BCBEC0"/>
            <w:right w:val="single" w:sz="8" w:space="0" w:color="BCBEC0"/>
            <w:insideH w:val="single" w:sz="8" w:space="0" w:color="BCBEC0"/>
            <w:insideV w:val="single" w:sz="8" w:space="0" w:color="BCBEC0"/>
          </w:tblBorders>
          <w:tblLayout w:type="fixed"/>
          <w:tblCellMar>
            <w:left w:w="108" w:type="dxa"/>
            <w:right w:w="108" w:type="dxa"/>
          </w:tblCellMar>
        </w:tblPrEx>
        <w:tc>
          <w:tcPr>
            <w:tcW w:w="10240" w:type="dxa"/>
            <w:vAlign w:val="center"/>
          </w:tcPr>
          <w:p>
            <w:pPr>
              <w:spacing w:before="240" w:line="260" w:lineRule="atLeast"/>
              <w:ind w:left="60" w:right="360"/>
              <w:rPr>
                <w:lang w:val="en-US" w:eastAsia="en-US" w:bidi="ar-SA"/>
              </w:rPr>
            </w:pPr>
            <w:r>
              <w:rPr>
                <w:rFonts w:ascii="arial" w:eastAsia="arial" w:hAnsi="arial" w:cs="arial"/>
                <w:b/>
                <w:color w:val="000000"/>
                <w:sz w:val="20"/>
                <w:lang w:val="en-US" w:eastAsia="en-US" w:bidi="ar-SA"/>
              </w:rPr>
              <w:t> </w:t>
            </w:r>
          </w:p>
          <w:p>
            <w:pPr>
              <w:spacing w:before="200" w:line="260" w:lineRule="atLeast"/>
              <w:ind w:left="60" w:right="360"/>
              <w:jc w:val="both"/>
              <w:rPr>
                <w:lang w:val="en-US" w:eastAsia="en-US" w:bidi="ar-SA"/>
              </w:rPr>
            </w:pPr>
            <w:r>
              <w:rPr>
                <w:rFonts w:ascii="arial" w:eastAsia="arial" w:hAnsi="arial" w:cs="arial"/>
                <w:color w:val="000000"/>
                <w:sz w:val="20"/>
                <w:lang w:val="en-US" w:eastAsia="en-US" w:bidi="ar-SA"/>
              </w:rPr>
              <w:t>COMMENT</w:t>
            </w:r>
          </w:p>
          <w:p>
            <w:pPr>
              <w:spacing w:before="240" w:line="260" w:lineRule="atLeast"/>
              <w:ind w:left="60" w:right="360"/>
              <w:jc w:val="both"/>
              <w:rPr>
                <w:lang w:val="en-US" w:eastAsia="en-US" w:bidi="ar-SA"/>
              </w:rPr>
            </w:pPr>
            <w:r>
              <w:rPr>
                <w:rFonts w:ascii="arial" w:eastAsia="arial" w:hAnsi="arial" w:cs="arial"/>
                <w:i/>
                <w:color w:val="000000"/>
                <w:sz w:val="20"/>
                <w:lang w:val="en-US" w:eastAsia="en-US" w:bidi="ar-SA"/>
              </w:rPr>
              <w:t>See</w:t>
            </w:r>
            <w:r>
              <w:rPr>
                <w:rFonts w:ascii="arial" w:eastAsia="arial" w:hAnsi="arial" w:cs="arial"/>
                <w:color w:val="000000"/>
                <w:sz w:val="20"/>
                <w:lang w:val="en-US" w:eastAsia="en-US" w:bidi="ar-SA"/>
              </w:rPr>
              <w:t xml:space="preserve"> Comment to MPJI-Cr 1:02 (Publicity). "[I]n all criminal prosecutions, every man hath a right to … trial by an impartial jury … ." MD. CONST., DECL. RTS. art. 21. The standard for an impartial jury in Maryland was first set forth in </w:t>
            </w:r>
            <w:hyperlink r:id="rId130" w:history="1">
              <w:r>
                <w:rPr>
                  <w:rFonts w:ascii="arial" w:eastAsia="arial" w:hAnsi="arial" w:cs="arial"/>
                  <w:i/>
                  <w:color w:val="0077CC"/>
                  <w:sz w:val="20"/>
                  <w:u w:val="single"/>
                  <w:lang w:val="en-US" w:eastAsia="en-US" w:bidi="ar-SA"/>
                </w:rPr>
                <w:t>Garlitz v. State, 71 Md. 293, 18 A. 39 (1889),</w:t>
              </w:r>
            </w:hyperlink>
            <w:r>
              <w:rPr>
                <w:rFonts w:ascii="arial" w:eastAsia="arial" w:hAnsi="arial" w:cs="arial"/>
                <w:color w:val="000000"/>
                <w:sz w:val="20"/>
                <w:lang w:val="en-US" w:eastAsia="en-US" w:bidi="ar-SA"/>
              </w:rPr>
              <w:t xml:space="preserve"> as follows:</w:t>
            </w:r>
          </w:p>
          <w:p>
            <w:pPr>
              <w:spacing w:before="60" w:line="260" w:lineRule="atLeast"/>
              <w:ind w:left="460" w:right="360"/>
              <w:jc w:val="both"/>
              <w:rPr>
                <w:lang w:val="en-US" w:eastAsia="en-US" w:bidi="ar-SA"/>
              </w:rPr>
            </w:pPr>
            <w:r>
              <w:rPr>
                <w:rFonts w:ascii="arial" w:eastAsia="arial" w:hAnsi="arial" w:cs="arial"/>
                <w:color w:val="000000"/>
                <w:sz w:val="20"/>
                <w:lang w:val="en-US" w:eastAsia="en-US" w:bidi="ar-SA"/>
              </w:rPr>
              <w:t>[A]ll that can be required of a juror, to render him competent, is that he shall be without bias or prejudice for or against the accused, and that his mind is free to hear and impartially consider the evidence, and to render a verdict thereon without regard to any former opinion or impression existing in his mind, formed upon rumor or newspaper reports.</w:t>
            </w:r>
          </w:p>
          <w:p>
            <w:pPr>
              <w:spacing w:before="240" w:line="260" w:lineRule="atLeast"/>
              <w:ind w:left="60" w:right="360"/>
              <w:jc w:val="both"/>
              <w:rPr>
                <w:lang w:val="en-US" w:eastAsia="en-US" w:bidi="ar-SA"/>
              </w:rPr>
            </w:pPr>
            <w:hyperlink r:id="rId130" w:history="1">
              <w:r>
                <w:rPr>
                  <w:rFonts w:ascii="arial" w:eastAsia="arial" w:hAnsi="arial" w:cs="arial"/>
                  <w:i/>
                  <w:color w:val="0077CC"/>
                  <w:sz w:val="20"/>
                  <w:u w:val="single"/>
                  <w:lang w:val="en-US" w:eastAsia="en-US" w:bidi="ar-SA"/>
                </w:rPr>
                <w:t>Id. at 300, 18 A. at 41.</w:t>
              </w:r>
            </w:hyperlink>
          </w:p>
          <w:p>
            <w:pPr>
              <w:spacing w:before="200" w:line="260" w:lineRule="atLeast"/>
              <w:ind w:left="60" w:right="360"/>
              <w:jc w:val="both"/>
              <w:rPr>
                <w:lang w:val="en-US" w:eastAsia="en-US" w:bidi="ar-SA"/>
              </w:rPr>
            </w:pPr>
            <w:r>
              <w:rPr>
                <w:rFonts w:ascii="arial" w:eastAsia="arial" w:hAnsi="arial" w:cs="arial"/>
                <w:color w:val="000000"/>
                <w:sz w:val="20"/>
                <w:lang w:val="en-US" w:eastAsia="en-US" w:bidi="ar-SA"/>
              </w:rPr>
              <w:t xml:space="preserve">The constitutional right to an impartial jury can usually be protected through the voir dire examination. </w:t>
            </w:r>
            <w:hyperlink r:id="rId131" w:history="1">
              <w:r>
                <w:rPr>
                  <w:rFonts w:ascii="arial" w:eastAsia="arial" w:hAnsi="arial" w:cs="arial"/>
                  <w:i/>
                  <w:color w:val="0077CC"/>
                  <w:sz w:val="20"/>
                  <w:u w:val="single"/>
                  <w:lang w:val="en-US" w:eastAsia="en-US" w:bidi="ar-SA"/>
                </w:rPr>
                <w:t>Couser v. State, 282 Md. 125, 383 A.2d 389,</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cert. denied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439 U.S. 852 (1978).</w:t>
            </w:r>
            <w:r>
              <w:rPr>
                <w:rFonts w:ascii="arial" w:eastAsia="arial" w:hAnsi="arial" w:cs="arial"/>
                <w:color w:val="000000"/>
                <w:sz w:val="20"/>
                <w:lang w:val="en-US" w:eastAsia="en-US" w:bidi="ar-SA"/>
              </w:rPr>
              <w:t xml:space="preserve"> The scope of inquiry on voir dire examination is left largely to the trial court's discretion. </w:t>
            </w:r>
            <w:hyperlink r:id="rId132" w:history="1">
              <w:r>
                <w:rPr>
                  <w:rFonts w:ascii="arial" w:eastAsia="arial" w:hAnsi="arial" w:cs="arial"/>
                  <w:i/>
                  <w:color w:val="0077CC"/>
                  <w:sz w:val="20"/>
                  <w:u w:val="single"/>
                  <w:lang w:val="en-US" w:eastAsia="en-US" w:bidi="ar-SA"/>
                </w:rPr>
                <w:t>Nance v. State, 93 Md. App. 475, 613 A.2d 428 (1992),</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aff'd</w:t>
            </w:r>
            <w:r>
              <w:rPr>
                <w:rFonts w:ascii="arial" w:eastAsia="arial" w:hAnsi="arial" w:cs="arial"/>
                <w:color w:val="000000"/>
                <w:sz w:val="20"/>
                <w:lang w:val="en-US" w:eastAsia="en-US" w:bidi="ar-SA"/>
              </w:rPr>
              <w:t xml:space="preserve">, </w:t>
            </w:r>
            <w:hyperlink r:id="rId133" w:history="1">
              <w:r>
                <w:rPr>
                  <w:rFonts w:ascii="arial" w:eastAsia="arial" w:hAnsi="arial" w:cs="arial"/>
                  <w:i/>
                  <w:color w:val="0077CC"/>
                  <w:sz w:val="20"/>
                  <w:u w:val="single"/>
                  <w:lang w:val="en-US" w:eastAsia="en-US" w:bidi="ar-SA"/>
                </w:rPr>
                <w:t>331 Md. 549, 629 A.2d 633 (1993).</w:t>
              </w:r>
            </w:hyperlink>
            <w:r>
              <w:rPr>
                <w:rFonts w:ascii="arial" w:eastAsia="arial" w:hAnsi="arial" w:cs="arial"/>
                <w:color w:val="000000"/>
                <w:sz w:val="20"/>
                <w:lang w:val="en-US" w:eastAsia="en-US" w:bidi="ar-SA"/>
              </w:rPr>
              <w:t xml:space="preserve"> In </w:t>
            </w:r>
            <w:hyperlink r:id="rId134" w:history="1">
              <w:r>
                <w:rPr>
                  <w:rFonts w:ascii="arial" w:eastAsia="arial" w:hAnsi="arial" w:cs="arial"/>
                  <w:i/>
                  <w:color w:val="0077CC"/>
                  <w:sz w:val="20"/>
                  <w:u w:val="single"/>
                  <w:lang w:val="en-US" w:eastAsia="en-US" w:bidi="ar-SA"/>
                </w:rPr>
                <w:t>Mu'Min v. Virginia, 500 U.S. 415,</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reh'g denied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501 U.S. 1269 (1991),</w:t>
            </w:r>
            <w:r>
              <w:rPr>
                <w:rFonts w:ascii="arial" w:eastAsia="arial" w:hAnsi="arial" w:cs="arial"/>
                <w:color w:val="000000"/>
                <w:sz w:val="20"/>
                <w:lang w:val="en-US" w:eastAsia="en-US" w:bidi="ar-SA"/>
              </w:rPr>
              <w:t xml:space="preserve"> the trial judge asked the entire venire four questions relating to pretrial publicity. Despite substantial pretrial publicity, the Supreme Court held that the voir dire questioning was sufficient and that the jury was impartial because, although eight of the twelve jurors had familiarity with the case, none had formed an opinion. However, the Court recognized that "adverse pretrial publicity can create such a presumption of prejudice in the community that the jurors' claims that they can be impartial should not be believed … ." </w:t>
            </w:r>
            <w:hyperlink r:id="rId134" w:history="1">
              <w:r>
                <w:rPr>
                  <w:rFonts w:ascii="arial" w:eastAsia="arial" w:hAnsi="arial" w:cs="arial"/>
                  <w:i/>
                  <w:color w:val="0077CC"/>
                  <w:sz w:val="20"/>
                  <w:u w:val="single"/>
                  <w:lang w:val="en-US" w:eastAsia="en-US" w:bidi="ar-SA"/>
                </w:rPr>
                <w:t>Id. at 429</w:t>
              </w:r>
            </w:hyperlink>
            <w:r>
              <w:rPr>
                <w:rFonts w:ascii="arial" w:eastAsia="arial" w:hAnsi="arial" w:cs="arial"/>
                <w:color w:val="000000"/>
                <w:sz w:val="20"/>
                <w:lang w:val="en-US" w:eastAsia="en-US" w:bidi="ar-SA"/>
              </w:rPr>
              <w:t xml:space="preserve"> (quoting </w:t>
            </w:r>
            <w:hyperlink r:id="rId135" w:history="1">
              <w:r>
                <w:rPr>
                  <w:rFonts w:ascii="arial" w:eastAsia="arial" w:hAnsi="arial" w:cs="arial"/>
                  <w:i/>
                  <w:color w:val="0077CC"/>
                  <w:sz w:val="20"/>
                  <w:u w:val="single"/>
                  <w:lang w:val="en-US" w:eastAsia="en-US" w:bidi="ar-SA"/>
                </w:rPr>
                <w:t>Patton v. Yount, 467 U.S. 1025, 1031 (1984));</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 xml:space="preserve">accord </w:t>
            </w:r>
            <w:hyperlink r:id="rId136" w:history="1">
              <w:r>
                <w:rPr>
                  <w:rFonts w:ascii="arial" w:eastAsia="arial" w:hAnsi="arial" w:cs="arial"/>
                  <w:i/>
                  <w:color w:val="0077CC"/>
                  <w:sz w:val="20"/>
                  <w:u w:val="single"/>
                  <w:lang w:val="en-US" w:eastAsia="en-US" w:bidi="ar-SA"/>
                </w:rPr>
                <w:t>Barber v. State, 16 Md. App. 235, 240, 295 A.2d 814, 816 (1972)</w:t>
              </w:r>
            </w:hyperlink>
            <w:r>
              <w:rPr>
                <w:rFonts w:ascii="arial" w:eastAsia="arial" w:hAnsi="arial" w:cs="arial"/>
                <w:color w:val="000000"/>
                <w:sz w:val="20"/>
                <w:lang w:val="en-US" w:eastAsia="en-US" w:bidi="ar-SA"/>
              </w:rPr>
              <w:t xml:space="preserve"> (bias presumed where publicity was so "'massive, pervasive, and prejudicial' that it 'inflamed and prejudiced the public'"). </w:t>
            </w:r>
            <w:r>
              <w:rPr>
                <w:rFonts w:ascii="arial" w:eastAsia="arial" w:hAnsi="arial" w:cs="arial"/>
                <w:i/>
                <w:color w:val="000000"/>
                <w:sz w:val="20"/>
                <w:lang w:val="en-US" w:eastAsia="en-US" w:bidi="ar-SA"/>
              </w:rPr>
              <w:t>See generally</w:t>
            </w:r>
            <w:r>
              <w:rPr>
                <w:rFonts w:ascii="arial" w:eastAsia="arial" w:hAnsi="arial" w:cs="arial"/>
                <w:color w:val="000000"/>
                <w:sz w:val="20"/>
                <w:lang w:val="en-US" w:eastAsia="en-US" w:bidi="ar-SA"/>
              </w:rPr>
              <w:t xml:space="preserve"> LYNN MCLAIN, MARYLAND EVIDENCE § 303.3, at 462 n.1 (2d ed. 2001 &amp; Supp. 2010).</w:t>
            </w:r>
          </w:p>
          <w:p>
            <w:pPr>
              <w:spacing w:before="200" w:line="260" w:lineRule="atLeast"/>
              <w:ind w:left="60" w:right="360"/>
              <w:jc w:val="both"/>
              <w:rPr>
                <w:lang w:val="en-US" w:eastAsia="en-US" w:bidi="ar-SA"/>
              </w:rPr>
            </w:pPr>
            <w:r>
              <w:rPr>
                <w:rFonts w:ascii="arial" w:eastAsia="arial" w:hAnsi="arial" w:cs="arial"/>
                <w:color w:val="000000"/>
                <w:sz w:val="20"/>
                <w:lang w:val="en-US" w:eastAsia="en-US" w:bidi="ar-SA"/>
              </w:rPr>
              <w:t xml:space="preserve">The burden is on the party who claims prejudice. </w:t>
            </w:r>
            <w:hyperlink r:id="rId137" w:history="1">
              <w:r>
                <w:rPr>
                  <w:rFonts w:ascii="arial" w:eastAsia="arial" w:hAnsi="arial" w:cs="arial"/>
                  <w:i/>
                  <w:color w:val="0077CC"/>
                  <w:sz w:val="20"/>
                  <w:u w:val="single"/>
                  <w:lang w:val="en-US" w:eastAsia="en-US" w:bidi="ar-SA"/>
                </w:rPr>
                <w:t>Bristow v. State, 242 Md. 283, 219 A.2d 33 (1966);</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 xml:space="preserve">cf. </w:t>
            </w:r>
            <w:hyperlink r:id="rId138" w:history="1">
              <w:r>
                <w:rPr>
                  <w:rFonts w:ascii="arial" w:eastAsia="arial" w:hAnsi="arial" w:cs="arial"/>
                  <w:i/>
                  <w:color w:val="0077CC"/>
                  <w:sz w:val="20"/>
                  <w:u w:val="single"/>
                  <w:lang w:val="en-US" w:eastAsia="en-US" w:bidi="ar-SA"/>
                </w:rPr>
                <w:t>Giles v. State, 229 Md. 370, 183 A.2d 359 (1962),</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appeal dismissed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372 U.S. 767 (1963)</w:t>
            </w:r>
            <w:r>
              <w:rPr>
                <w:rFonts w:ascii="arial" w:eastAsia="arial" w:hAnsi="arial" w:cs="arial"/>
                <w:color w:val="000000"/>
                <w:sz w:val="20"/>
                <w:lang w:val="en-US" w:eastAsia="en-US" w:bidi="ar-SA"/>
              </w:rPr>
              <w:t xml:space="preserve"> (not a denial of the right to a fair and impartial jury when the defendant does not have a member of his own race on the jury); </w:t>
            </w:r>
            <w:hyperlink r:id="rId139" w:history="1">
              <w:r>
                <w:rPr>
                  <w:rFonts w:ascii="arial" w:eastAsia="arial" w:hAnsi="arial" w:cs="arial"/>
                  <w:i/>
                  <w:color w:val="0077CC"/>
                  <w:sz w:val="20"/>
                  <w:u w:val="single"/>
                  <w:lang w:val="en-US" w:eastAsia="en-US" w:bidi="ar-SA"/>
                </w:rPr>
                <w:t>Hunt v. State, 12 Md. App. 286, 278 A.2d 637</w:t>
              </w:r>
            </w:hyperlink>
            <w:r>
              <w:rPr>
                <w:rFonts w:ascii="arial" w:eastAsia="arial" w:hAnsi="arial" w:cs="arial"/>
                <w:color w:val="000000"/>
                <w:sz w:val="20"/>
                <w:lang w:val="en-US" w:eastAsia="en-US" w:bidi="ar-SA"/>
              </w:rPr>
              <w:t xml:space="preserve"> (defendant obtained a fair trial by impartial jury notwithstanding exclusion of persons under twenty-five years of age), </w:t>
            </w:r>
            <w:r>
              <w:rPr>
                <w:rFonts w:ascii="arial" w:eastAsia="arial" w:hAnsi="arial" w:cs="arial"/>
                <w:i/>
                <w:color w:val="000000"/>
                <w:sz w:val="20"/>
                <w:lang w:val="en-US" w:eastAsia="en-US" w:bidi="ar-SA"/>
              </w:rPr>
              <w:t>cert. denied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263 Md. 715 (1971);</w:t>
            </w:r>
            <w:r>
              <w:rPr>
                <w:rFonts w:ascii="arial" w:eastAsia="arial" w:hAnsi="arial" w:cs="arial"/>
                <w:color w:val="000000"/>
                <w:sz w:val="20"/>
                <w:lang w:val="en-US" w:eastAsia="en-US" w:bidi="ar-SA"/>
              </w:rPr>
              <w:t xml:space="preserve"> </w:t>
            </w:r>
            <w:hyperlink r:id="rId132" w:history="1">
              <w:r>
                <w:rPr>
                  <w:rFonts w:ascii="arial" w:eastAsia="arial" w:hAnsi="arial" w:cs="arial"/>
                  <w:i/>
                  <w:color w:val="0077CC"/>
                  <w:sz w:val="20"/>
                  <w:u w:val="single"/>
                  <w:lang w:val="en-US" w:eastAsia="en-US" w:bidi="ar-SA"/>
                </w:rPr>
                <w:t>Nance, 93 Md. App. at 481, 613 A.2d at 430</w:t>
              </w:r>
            </w:hyperlink>
            <w:r>
              <w:rPr>
                <w:rFonts w:ascii="arial" w:eastAsia="arial" w:hAnsi="arial" w:cs="arial"/>
                <w:color w:val="000000"/>
                <w:sz w:val="20"/>
                <w:lang w:val="en-US" w:eastAsia="en-US" w:bidi="ar-SA"/>
              </w:rPr>
              <w:t xml:space="preserve"> (the trial court did not commit error in refusing to ask a voir dire question when the topic was sufficiently covered by a more general question), </w:t>
            </w:r>
            <w:r>
              <w:rPr>
                <w:rFonts w:ascii="arial" w:eastAsia="arial" w:hAnsi="arial" w:cs="arial"/>
                <w:i/>
                <w:color w:val="000000"/>
                <w:sz w:val="20"/>
                <w:lang w:val="en-US" w:eastAsia="en-US" w:bidi="ar-SA"/>
              </w:rPr>
              <w:t>aff'd</w:t>
            </w:r>
            <w:r>
              <w:rPr>
                <w:rFonts w:ascii="arial" w:eastAsia="arial" w:hAnsi="arial" w:cs="arial"/>
                <w:color w:val="000000"/>
                <w:sz w:val="20"/>
                <w:lang w:val="en-US" w:eastAsia="en-US" w:bidi="ar-SA"/>
              </w:rPr>
              <w:t xml:space="preserve">, </w:t>
            </w:r>
            <w:hyperlink r:id="rId133" w:history="1">
              <w:r>
                <w:rPr>
                  <w:rFonts w:ascii="arial" w:eastAsia="arial" w:hAnsi="arial" w:cs="arial"/>
                  <w:i/>
                  <w:color w:val="0077CC"/>
                  <w:sz w:val="20"/>
                  <w:u w:val="single"/>
                  <w:lang w:val="en-US" w:eastAsia="en-US" w:bidi="ar-SA"/>
                </w:rPr>
                <w:t>331 Md. 549, 629 A.2d 633 (1993);</w:t>
              </w:r>
            </w:hyperlink>
            <w:r>
              <w:rPr>
                <w:rFonts w:ascii="arial" w:eastAsia="arial" w:hAnsi="arial" w:cs="arial"/>
                <w:color w:val="000000"/>
                <w:sz w:val="20"/>
                <w:lang w:val="en-US" w:eastAsia="en-US" w:bidi="ar-SA"/>
              </w:rPr>
              <w:t xml:space="preserve"> </w:t>
            </w:r>
            <w:hyperlink r:id="rId140" w:history="1">
              <w:r>
                <w:rPr>
                  <w:rFonts w:ascii="arial" w:eastAsia="arial" w:hAnsi="arial" w:cs="arial"/>
                  <w:i/>
                  <w:color w:val="0077CC"/>
                  <w:sz w:val="20"/>
                  <w:u w:val="single"/>
                  <w:lang w:val="en-US" w:eastAsia="en-US" w:bidi="ar-SA"/>
                </w:rPr>
                <w:t>Bloodsworth v. State, 76 Md. App. 23, 46, 543 A.2d 382, 393</w:t>
              </w:r>
            </w:hyperlink>
            <w:r>
              <w:rPr>
                <w:rFonts w:ascii="arial" w:eastAsia="arial" w:hAnsi="arial" w:cs="arial"/>
                <w:color w:val="000000"/>
                <w:sz w:val="20"/>
                <w:lang w:val="en-US" w:eastAsia="en-US" w:bidi="ar-SA"/>
              </w:rPr>
              <w:t xml:space="preserve"> (curative instruction regarding inadmissible evidence sufficient to attenuate prejudice), </w:t>
            </w:r>
            <w:r>
              <w:rPr>
                <w:rFonts w:ascii="arial" w:eastAsia="arial" w:hAnsi="arial" w:cs="arial"/>
                <w:i/>
                <w:color w:val="000000"/>
                <w:sz w:val="20"/>
                <w:lang w:val="en-US" w:eastAsia="en-US" w:bidi="ar-SA"/>
              </w:rPr>
              <w:t>cert. denied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313 Md. 688, 548 A.2d 128 (1988).</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See generally</w:t>
            </w:r>
            <w:r>
              <w:rPr>
                <w:rFonts w:ascii="arial" w:eastAsia="arial" w:hAnsi="arial" w:cs="arial"/>
                <w:color w:val="000000"/>
                <w:sz w:val="20"/>
                <w:lang w:val="en-US" w:eastAsia="en-US" w:bidi="ar-SA"/>
              </w:rPr>
              <w:t xml:space="preserve"> Comment to MPJI-Cr 1:02.</w:t>
            </w:r>
          </w:p>
          <w:p>
            <w:pPr>
              <w:spacing w:before="240" w:line="260" w:lineRule="atLeast"/>
              <w:ind w:left="60" w:right="360"/>
              <w:jc w:val="both"/>
              <w:rPr>
                <w:lang w:val="en-US" w:eastAsia="en-US" w:bidi="ar-SA"/>
              </w:rPr>
            </w:pPr>
            <w:r>
              <w:rPr>
                <w:rFonts w:ascii="arial" w:eastAsia="arial" w:hAnsi="arial" w:cs="arial"/>
                <w:color w:val="000000"/>
                <w:sz w:val="20"/>
                <w:lang w:val="en-US" w:eastAsia="en-US" w:bidi="ar-SA"/>
              </w:rPr>
              <w:t xml:space="preserve">The Court of Appeals of Maryland has emphasized the importance of voir dire in seating an impartial jury. Although trial judges have substantial discretion whether to ask a requested voir dire question, the court has said there are certain "areas for which," if requested, "we have mandated inquiry." </w:t>
            </w:r>
            <w:hyperlink r:id="rId141" w:history="1">
              <w:r>
                <w:rPr>
                  <w:rFonts w:ascii="arial" w:eastAsia="arial" w:hAnsi="arial" w:cs="arial"/>
                  <w:i/>
                  <w:color w:val="0077CC"/>
                  <w:sz w:val="20"/>
                  <w:u w:val="single"/>
                  <w:lang w:val="en-US" w:eastAsia="en-US" w:bidi="ar-SA"/>
                </w:rPr>
                <w:t>Curtin v. State, 393 Md. 593, 609, 903 A.2d 922, 932 (2006).</w:t>
              </w:r>
            </w:hyperlink>
            <w:r>
              <w:rPr>
                <w:rFonts w:ascii="arial" w:eastAsia="arial" w:hAnsi="arial" w:cs="arial"/>
                <w:color w:val="000000"/>
                <w:sz w:val="20"/>
                <w:lang w:val="en-US" w:eastAsia="en-US" w:bidi="ar-SA"/>
              </w:rPr>
              <w:t xml:space="preserve"> Summarizing these decisions, the Court said:</w:t>
            </w:r>
          </w:p>
          <w:p>
            <w:pPr>
              <w:spacing w:before="240" w:line="260" w:lineRule="atLeast"/>
              <w:ind w:left="460" w:right="360"/>
              <w:jc w:val="both"/>
              <w:rPr>
                <w:lang w:val="en-US" w:eastAsia="en-US" w:bidi="ar-SA"/>
              </w:rPr>
            </w:pPr>
            <w:r>
              <w:rPr>
                <w:rFonts w:ascii="arial" w:eastAsia="arial" w:hAnsi="arial" w:cs="arial"/>
                <w:color w:val="000000"/>
                <w:sz w:val="20"/>
                <w:lang w:val="en-US" w:eastAsia="en-US" w:bidi="ar-SA"/>
              </w:rPr>
              <w:t xml:space="preserve">These areas are: race, ethnicity, or cultural heritage, </w:t>
            </w:r>
            <w:hyperlink r:id="rId142" w:history="1">
              <w:r>
                <w:rPr>
                  <w:rFonts w:ascii="arial" w:eastAsia="arial" w:hAnsi="arial" w:cs="arial"/>
                  <w:i/>
                  <w:color w:val="0077CC"/>
                  <w:sz w:val="20"/>
                  <w:u w:val="single"/>
                  <w:lang w:val="en-US" w:eastAsia="en-US" w:bidi="ar-SA"/>
                </w:rPr>
                <w:t>Hernandez v. State, 357 Md. 204, 232, 742 A.2d 952, 967 (1999)</w:t>
              </w:r>
            </w:hyperlink>
            <w:r>
              <w:rPr>
                <w:rFonts w:ascii="arial" w:eastAsia="arial" w:hAnsi="arial" w:cs="arial"/>
                <w:color w:val="000000"/>
                <w:sz w:val="20"/>
                <w:lang w:val="en-US" w:eastAsia="en-US" w:bidi="ar-SA"/>
              </w:rPr>
              <w:t xml:space="preserve"> ("Where a voir dire question has been properly requested and directed to bias against the accused's race, ethnicity, or cultural heritage, the trial court ordinarily will be required to propound such a question."); religious bias, </w:t>
            </w:r>
            <w:r>
              <w:rPr>
                <w:rFonts w:ascii="arial" w:eastAsia="arial" w:hAnsi="arial" w:cs="arial"/>
                <w:i/>
                <w:color w:val="000000"/>
                <w:sz w:val="20"/>
                <w:lang w:val="en-US" w:eastAsia="en-US" w:bidi="ar-SA"/>
              </w:rPr>
              <w:t>Casey</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v. Roman Catholic Archbishop</w:t>
            </w:r>
            <w:r>
              <w:rPr>
                <w:rFonts w:ascii="arial" w:eastAsia="arial" w:hAnsi="arial" w:cs="arial"/>
                <w:color w:val="000000"/>
                <w:sz w:val="20"/>
                <w:lang w:val="en-US" w:eastAsia="en-US" w:bidi="ar-SA"/>
              </w:rPr>
              <w:t xml:space="preserve">], </w:t>
            </w:r>
            <w:hyperlink r:id="rId143" w:history="1">
              <w:r>
                <w:rPr>
                  <w:rFonts w:ascii="arial" w:eastAsia="arial" w:hAnsi="arial" w:cs="arial"/>
                  <w:i/>
                  <w:color w:val="0077CC"/>
                  <w:sz w:val="20"/>
                  <w:u w:val="single"/>
                  <w:lang w:val="en-US" w:eastAsia="en-US" w:bidi="ar-SA"/>
                </w:rPr>
                <w:t>217 Md. [595] at 607, 143 A.2d [627] at 632</w:t>
              </w:r>
            </w:hyperlink>
            <w:r>
              <w:rPr>
                <w:rFonts w:ascii="arial" w:eastAsia="arial" w:hAnsi="arial" w:cs="arial"/>
                <w:color w:val="000000"/>
                <w:sz w:val="20"/>
                <w:lang w:val="en-US" w:eastAsia="en-US" w:bidi="ar-SA"/>
              </w:rPr>
              <w:t xml:space="preserve"> [(1958)] ("[I]f the religious affiliation of a juror might reasonably prevent him from arriving at a fair and impartial verdict in a particular case because of the nature of the case, the parties are entitled to … have the court discover them."); in capital cases, the ability of a juror to convict based upon circumstantial evidence, </w:t>
            </w:r>
            <w:r>
              <w:rPr>
                <w:rFonts w:ascii="arial" w:eastAsia="arial" w:hAnsi="arial" w:cs="arial"/>
                <w:i/>
                <w:color w:val="000000"/>
                <w:sz w:val="20"/>
                <w:lang w:val="en-US" w:eastAsia="en-US" w:bidi="ar-SA"/>
              </w:rPr>
              <w:t>Corens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v. State</w:t>
            </w:r>
            <w:r>
              <w:rPr>
                <w:rFonts w:ascii="arial" w:eastAsia="arial" w:hAnsi="arial" w:cs="arial"/>
                <w:color w:val="000000"/>
                <w:sz w:val="20"/>
                <w:lang w:val="en-US" w:eastAsia="en-US" w:bidi="ar-SA"/>
              </w:rPr>
              <w:t xml:space="preserve">], </w:t>
            </w:r>
            <w:hyperlink r:id="rId144" w:history="1">
              <w:r>
                <w:rPr>
                  <w:rFonts w:ascii="arial" w:eastAsia="arial" w:hAnsi="arial" w:cs="arial"/>
                  <w:i/>
                  <w:color w:val="0077CC"/>
                  <w:sz w:val="20"/>
                  <w:u w:val="single"/>
                  <w:lang w:val="en-US" w:eastAsia="en-US" w:bidi="ar-SA"/>
                </w:rPr>
                <w:t>185 Md. [561] at 564, 45</w:t>
              </w:r>
            </w:hyperlink>
            <w:r>
              <w:rPr>
                <w:rFonts w:ascii="arial" w:eastAsia="arial" w:hAnsi="arial" w:cs="arial"/>
                <w:color w:val="000000"/>
                <w:sz w:val="20"/>
                <w:lang w:val="en-US" w:eastAsia="en-US" w:bidi="ar-SA"/>
              </w:rPr>
              <w:t xml:space="preserve"> A.2d at [340] 344 [(1946)] ("We … hold that the State has the right to challenge a juror in a capital case on the ground that he would not be willing to convict on circumstantial evidence."); placement of undue weight on police officer credibility, </w:t>
            </w:r>
            <w:hyperlink r:id="rId145" w:history="1">
              <w:r>
                <w:rPr>
                  <w:rFonts w:ascii="arial" w:eastAsia="arial" w:hAnsi="arial" w:cs="arial"/>
                  <w:i/>
                  <w:color w:val="0077CC"/>
                  <w:sz w:val="20"/>
                  <w:u w:val="single"/>
                  <w:lang w:val="en-US" w:eastAsia="en-US" w:bidi="ar-SA"/>
                </w:rPr>
                <w:t>Langley v. State, 281 Md. 337, 349, 378 A.2d 1338, 1344 (1977)</w:t>
              </w:r>
            </w:hyperlink>
            <w:r>
              <w:rPr>
                <w:rFonts w:ascii="arial" w:eastAsia="arial" w:hAnsi="arial" w:cs="arial"/>
                <w:color w:val="000000"/>
                <w:sz w:val="20"/>
                <w:lang w:val="en-US" w:eastAsia="en-US" w:bidi="ar-SA"/>
              </w:rPr>
              <w:t xml:space="preserve"> ("[W]e hold that in a case such as this, where a principal part of the State's evidence is testimony of a police officer diametrically opposed to that of a defendant, it is prejudicial error to fail to propound a question such as … whether any juror would tend to give either more or less credence … [to a police officer]."); violations of narcotics law, [</w:t>
            </w:r>
            <w:hyperlink r:id="rId146" w:history="1">
              <w:r>
                <w:rPr>
                  <w:rFonts w:ascii="arial" w:eastAsia="arial" w:hAnsi="arial" w:cs="arial"/>
                  <w:i/>
                  <w:color w:val="0077CC"/>
                  <w:sz w:val="20"/>
                  <w:u w:val="single"/>
                  <w:lang w:val="en-US" w:eastAsia="en-US" w:bidi="ar-SA"/>
                </w:rPr>
                <w:t>State v.] Thomas, [369 Md. 202, 204, 798 A.2d 566, 567 (2002)]</w:t>
              </w:r>
            </w:hyperlink>
            <w:r>
              <w:rPr>
                <w:rFonts w:ascii="arial" w:eastAsia="arial" w:hAnsi="arial" w:cs="arial"/>
                <w:color w:val="000000"/>
                <w:sz w:val="20"/>
                <w:lang w:val="en-US" w:eastAsia="en-US" w:bidi="ar-SA"/>
              </w:rPr>
              <w:t xml:space="preserve"> (holding that trial judge abused his discretion in failing to ask question whether any jurors harbored strong feelings towards the violation of narcotics laws where defendant was charged with the possession and distribution of a controlled dangerous substance); strong emotional feelings with regards to alleged sexual assault against a minor, </w:t>
            </w:r>
            <w:hyperlink r:id="rId147" w:history="1">
              <w:r>
                <w:rPr>
                  <w:rFonts w:ascii="arial" w:eastAsia="arial" w:hAnsi="arial" w:cs="arial"/>
                  <w:i/>
                  <w:color w:val="0077CC"/>
                  <w:sz w:val="20"/>
                  <w:u w:val="single"/>
                  <w:lang w:val="en-US" w:eastAsia="en-US" w:bidi="ar-SA"/>
                </w:rPr>
                <w:t>Sweet [v. State, 371 Md. 1, 10, 806 A.2d 265, 271 (2002)],</w:t>
              </w:r>
            </w:hyperlink>
            <w:r>
              <w:rPr>
                <w:rFonts w:ascii="arial" w:eastAsia="arial" w:hAnsi="arial" w:cs="arial"/>
                <w:color w:val="000000"/>
                <w:sz w:val="20"/>
                <w:lang w:val="en-US" w:eastAsia="en-US" w:bidi="ar-SA"/>
              </w:rPr>
              <w:t xml:space="preserve"> (holding that trial court abused its discretion in refusing to ask whether the charges of second degree assault and third degree sexual offense against a minor stirred up such strong emotional feelings that it would affect the veniremen's impartiality); </w:t>
            </w:r>
            <w:r>
              <w:rPr>
                <w:rFonts w:ascii="arial" w:eastAsia="arial" w:hAnsi="arial" w:cs="arial"/>
                <w:i/>
                <w:color w:val="000000"/>
                <w:sz w:val="20"/>
                <w:lang w:val="en-US" w:eastAsia="en-US" w:bidi="ar-SA"/>
              </w:rPr>
              <w:t xml:space="preserve">cf. </w:t>
            </w:r>
            <w:hyperlink r:id="rId148" w:history="1">
              <w:r>
                <w:rPr>
                  <w:rFonts w:ascii="arial" w:eastAsia="arial" w:hAnsi="arial" w:cs="arial"/>
                  <w:i/>
                  <w:color w:val="0077CC"/>
                  <w:sz w:val="20"/>
                  <w:u w:val="single"/>
                  <w:lang w:val="en-US" w:eastAsia="en-US" w:bidi="ar-SA"/>
                </w:rPr>
                <w:t>Landon v. Zorn, 389 Md. 206, 222, 884 A.2d 142, 151 (2005)</w:t>
              </w:r>
            </w:hyperlink>
            <w:r>
              <w:rPr>
                <w:rFonts w:ascii="arial" w:eastAsia="arial" w:hAnsi="arial" w:cs="arial"/>
                <w:color w:val="000000"/>
                <w:sz w:val="20"/>
                <w:lang w:val="en-US" w:eastAsia="en-US" w:bidi="ar-SA"/>
              </w:rPr>
              <w:t xml:space="preserve"> (holding that trial judge did not abuse his discretion in refusing to ask proposed voir dire question regarding bias against plaintiffs in personal injury and medical malpractice cases because an affirmative answer to the proposed question would not constitute grounds for disqualification for cause).</w:t>
            </w:r>
          </w:p>
          <w:p>
            <w:pPr>
              <w:spacing w:before="240" w:line="260" w:lineRule="atLeast"/>
              <w:ind w:left="60" w:right="360"/>
              <w:jc w:val="both"/>
              <w:rPr>
                <w:lang w:val="en-US" w:eastAsia="en-US" w:bidi="ar-SA"/>
              </w:rPr>
            </w:pPr>
            <w:hyperlink r:id="rId141" w:history="1">
              <w:r>
                <w:rPr>
                  <w:rFonts w:ascii="arial" w:eastAsia="arial" w:hAnsi="arial" w:cs="arial"/>
                  <w:i/>
                  <w:color w:val="0077CC"/>
                  <w:sz w:val="20"/>
                  <w:u w:val="single"/>
                  <w:lang w:val="en-US" w:eastAsia="en-US" w:bidi="ar-SA"/>
                </w:rPr>
                <w:t>Curtin, 393 Md. at 609-610 n. 8, 903 A.2d at 932 n.8.</w:t>
              </w:r>
            </w:hyperlink>
          </w:p>
          <w:p>
            <w:pPr>
              <w:spacing w:before="240" w:line="260" w:lineRule="atLeast"/>
              <w:ind w:left="60" w:right="360"/>
              <w:jc w:val="both"/>
              <w:rPr>
                <w:lang w:val="en-US" w:eastAsia="en-US" w:bidi="ar-SA"/>
              </w:rPr>
            </w:pPr>
            <w:r>
              <w:rPr>
                <w:rFonts w:ascii="arial" w:eastAsia="arial" w:hAnsi="arial" w:cs="arial"/>
                <w:color w:val="000000"/>
                <w:sz w:val="20"/>
                <w:lang w:val="en-US" w:eastAsia="en-US" w:bidi="ar-SA"/>
              </w:rPr>
              <w:t xml:space="preserve">After </w:t>
            </w:r>
            <w:r>
              <w:rPr>
                <w:rFonts w:ascii="arial" w:eastAsia="arial" w:hAnsi="arial" w:cs="arial"/>
                <w:i/>
                <w:color w:val="000000"/>
                <w:sz w:val="20"/>
                <w:lang w:val="en-US" w:eastAsia="en-US" w:bidi="ar-SA"/>
              </w:rPr>
              <w:t>Curtin</w:t>
            </w:r>
            <w:r>
              <w:rPr>
                <w:rFonts w:ascii="arial" w:eastAsia="arial" w:hAnsi="arial" w:cs="arial"/>
                <w:color w:val="000000"/>
                <w:sz w:val="20"/>
                <w:lang w:val="en-US" w:eastAsia="en-US" w:bidi="ar-SA"/>
              </w:rPr>
              <w:t xml:space="preserve">, the Court of Appeals added two other mandatory questions, if requested. It held in </w:t>
            </w:r>
            <w:hyperlink r:id="rId149" w:history="1">
              <w:r>
                <w:rPr>
                  <w:rFonts w:ascii="arial" w:eastAsia="arial" w:hAnsi="arial" w:cs="arial"/>
                  <w:i/>
                  <w:color w:val="0077CC"/>
                  <w:sz w:val="20"/>
                  <w:u w:val="single"/>
                  <w:lang w:val="en-US" w:eastAsia="en-US" w:bidi="ar-SA"/>
                </w:rPr>
                <w:t>Moore v. State, 412 Md. 635, 989 A.2d 1150 (2010),</w:t>
              </w:r>
            </w:hyperlink>
            <w:r>
              <w:rPr>
                <w:rFonts w:ascii="arial" w:eastAsia="arial" w:hAnsi="arial" w:cs="arial"/>
                <w:color w:val="000000"/>
                <w:sz w:val="20"/>
                <w:lang w:val="en-US" w:eastAsia="en-US" w:bidi="ar-SA"/>
              </w:rPr>
              <w:t xml:space="preserve"> that the trial judge abused his discretion in refusing to ask whether "any prospective juror [would] be more likely to believe a witness for the prosecution merely because he or she is a prosecution witness" and whether "any prospective juror [would] tend to view the testimony of a witness called by the defense with more skepticism than witnesses called by the State, merely because they were called by the defense." </w:t>
            </w:r>
            <w:hyperlink r:id="rId149" w:history="1">
              <w:r>
                <w:rPr>
                  <w:rFonts w:ascii="arial" w:eastAsia="arial" w:hAnsi="arial" w:cs="arial"/>
                  <w:i/>
                  <w:color w:val="0077CC"/>
                  <w:sz w:val="20"/>
                  <w:u w:val="single"/>
                  <w:lang w:val="en-US" w:eastAsia="en-US" w:bidi="ar-SA"/>
                </w:rPr>
                <w:t>Id. at 642, 989 A.2d at 1153.</w:t>
              </w:r>
            </w:hyperlink>
            <w:r>
              <w:rPr>
                <w:rFonts w:ascii="arial" w:eastAsia="arial" w:hAnsi="arial" w:cs="arial"/>
                <w:color w:val="000000"/>
                <w:sz w:val="20"/>
                <w:lang w:val="en-US" w:eastAsia="en-US" w:bidi="ar-SA"/>
              </w:rPr>
              <w:t xml:space="preserve"> The Court held that the questions were necessary to make sure jurors did not give the State's witnesses a "presumption of credibility." </w:t>
            </w:r>
            <w:hyperlink r:id="rId149" w:history="1">
              <w:r>
                <w:rPr>
                  <w:rFonts w:ascii="arial" w:eastAsia="arial" w:hAnsi="arial" w:cs="arial"/>
                  <w:i/>
                  <w:color w:val="0077CC"/>
                  <w:sz w:val="20"/>
                  <w:u w:val="single"/>
                  <w:lang w:val="en-US" w:eastAsia="en-US" w:bidi="ar-SA"/>
                </w:rPr>
                <w:t>Id. at 663, 989 A.2d at 1166.</w:t>
              </w:r>
            </w:hyperlink>
          </w:p>
          <w:p>
            <w:pPr>
              <w:spacing w:before="240" w:line="260" w:lineRule="atLeast"/>
              <w:ind w:left="60" w:right="360"/>
              <w:jc w:val="both"/>
              <w:rPr>
                <w:lang w:val="en-US" w:eastAsia="en-US" w:bidi="ar-SA"/>
              </w:rPr>
            </w:pPr>
            <w:r>
              <w:rPr>
                <w:rFonts w:ascii="arial" w:eastAsia="arial" w:hAnsi="arial" w:cs="arial"/>
                <w:color w:val="000000"/>
                <w:sz w:val="20"/>
                <w:lang w:val="en-US" w:eastAsia="en-US" w:bidi="ar-SA"/>
              </w:rPr>
              <w:t xml:space="preserve">In </w:t>
            </w:r>
            <w:hyperlink r:id="rId150" w:history="1">
              <w:r>
                <w:rPr>
                  <w:rFonts w:ascii="arial" w:eastAsia="arial" w:hAnsi="arial" w:cs="arial"/>
                  <w:i/>
                  <w:color w:val="0077CC"/>
                  <w:sz w:val="20"/>
                  <w:u w:val="single"/>
                  <w:lang w:val="en-US" w:eastAsia="en-US" w:bidi="ar-SA"/>
                </w:rPr>
                <w:t>State v. Shim, 418 Md. 37, 12 A.3d 671 (2011),</w:t>
              </w:r>
            </w:hyperlink>
            <w:r>
              <w:rPr>
                <w:rFonts w:ascii="arial" w:eastAsia="arial" w:hAnsi="arial" w:cs="arial"/>
                <w:color w:val="000000"/>
                <w:sz w:val="20"/>
                <w:lang w:val="en-US" w:eastAsia="en-US" w:bidi="ar-SA"/>
              </w:rPr>
              <w:t xml:space="preserve"> the Court of Appeals held that the trial court should have asked jurors if they had strong feelings about violent death. The Court made clear, also, that it was speaking more broadly:</w:t>
            </w:r>
          </w:p>
          <w:p>
            <w:pPr>
              <w:spacing w:before="240" w:line="260" w:lineRule="atLeast"/>
              <w:ind w:left="460" w:right="360"/>
              <w:jc w:val="both"/>
              <w:rPr>
                <w:lang w:val="en-US" w:eastAsia="en-US" w:bidi="ar-SA"/>
              </w:rPr>
            </w:pPr>
            <w:r>
              <w:rPr>
                <w:rFonts w:ascii="arial" w:eastAsia="arial" w:hAnsi="arial" w:cs="arial"/>
                <w:color w:val="000000"/>
                <w:sz w:val="20"/>
                <w:lang w:val="en-US" w:eastAsia="en-US" w:bidi="ar-SA"/>
              </w:rPr>
              <w:t xml:space="preserve">[T]o the extent that this Court has not already done so, we recognize today that the potential for bias exists in most crimes, and thus we will require voir dire questions which are targeted at uncovering these biases. When requested by a defendant, and regardless of the crime, the court should ask the general question, "Does any member of the jury panel have such strong feelings about [the charges in this case] that it would be difficult for you to fairly and impartially weigh the facts." This is a question targeted at uncovering a bias directly related to a crime, even if "[t]he question does not involve any of the mandatory areas of inquiry that this Court has already identified." This holding is not a departure from previous cases, but an approach "on which we have already embarked." </w:t>
            </w:r>
            <w:hyperlink r:id="rId141" w:history="1">
              <w:r>
                <w:rPr>
                  <w:rFonts w:ascii="arial" w:eastAsia="arial" w:hAnsi="arial" w:cs="arial"/>
                  <w:i/>
                  <w:color w:val="0077CC"/>
                  <w:sz w:val="20"/>
                  <w:u w:val="single"/>
                  <w:lang w:val="en-US" w:eastAsia="en-US" w:bidi="ar-SA"/>
                </w:rPr>
                <w:t>Curtin, 393 Md. at 613, 903 A.2d at 934.</w:t>
              </w:r>
            </w:hyperlink>
            <w:r>
              <w:rPr>
                <w:rFonts w:ascii="arial" w:eastAsia="arial" w:hAnsi="arial" w:cs="arial"/>
                <w:color w:val="000000"/>
                <w:sz w:val="20"/>
                <w:lang w:val="en-US" w:eastAsia="en-US" w:bidi="ar-SA"/>
              </w:rPr>
              <w:t xml:space="preserve"> (Wilner, J., concurring).</w:t>
            </w:r>
          </w:p>
          <w:p>
            <w:pPr>
              <w:spacing w:before="240" w:line="260" w:lineRule="atLeast"/>
              <w:ind w:left="60" w:right="360"/>
              <w:jc w:val="both"/>
              <w:rPr>
                <w:lang w:val="en-US" w:eastAsia="en-US" w:bidi="ar-SA"/>
              </w:rPr>
            </w:pPr>
            <w:hyperlink r:id="rId150" w:history="1">
              <w:r>
                <w:rPr>
                  <w:rFonts w:ascii="arial" w:eastAsia="arial" w:hAnsi="arial" w:cs="arial"/>
                  <w:i/>
                  <w:color w:val="0077CC"/>
                  <w:sz w:val="20"/>
                  <w:u w:val="single"/>
                  <w:lang w:val="en-US" w:eastAsia="en-US" w:bidi="ar-SA"/>
                </w:rPr>
                <w:t>Shim, 418 Md. at 54-55, 12 A.3d at 681.</w:t>
              </w:r>
            </w:hyperlink>
          </w:p>
          <w:p>
            <w:pPr>
              <w:spacing w:before="200" w:line="260" w:lineRule="atLeast"/>
              <w:ind w:left="60" w:right="360"/>
              <w:jc w:val="both"/>
              <w:rPr>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i/>
                <w:color w:val="000000"/>
                <w:sz w:val="20"/>
                <w:lang w:val="en-US" w:eastAsia="en-US" w:bidi="ar-SA"/>
              </w:rPr>
              <w:t>Pearson v. State</w:t>
            </w:r>
            <w:r>
              <w:rPr>
                <w:rFonts w:ascii="arial" w:eastAsia="arial" w:hAnsi="arial" w:cs="arial"/>
                <w:color w:val="000000"/>
                <w:sz w:val="20"/>
                <w:lang w:val="en-US" w:eastAsia="en-US" w:bidi="ar-SA"/>
              </w:rPr>
              <w:t xml:space="preserve">, the Court of Appeals reaffirmed </w:t>
            </w:r>
            <w:r>
              <w:rPr>
                <w:rFonts w:ascii="arial" w:eastAsia="arial" w:hAnsi="arial" w:cs="arial"/>
                <w:i/>
                <w:color w:val="000000"/>
                <w:sz w:val="20"/>
                <w:lang w:val="en-US" w:eastAsia="en-US" w:bidi="ar-SA"/>
              </w:rPr>
              <w:t>Shim</w:t>
            </w:r>
            <w:r>
              <w:rPr>
                <w:rFonts w:ascii="arial" w:eastAsia="arial" w:hAnsi="arial" w:cs="arial"/>
                <w:color w:val="000000"/>
                <w:sz w:val="20"/>
                <w:lang w:val="en-US" w:eastAsia="en-US" w:bidi="ar-SA"/>
              </w:rPr>
              <w:t xml:space="preserve">'s essential holding that, "on request, a trial court must ask during voir dire whether any prospective juror has 'strong feelings' about the crime with which the defendant is charged." </w:t>
            </w:r>
            <w:hyperlink r:id="rId151" w:history="1">
              <w:r>
                <w:rPr>
                  <w:rFonts w:ascii="arial" w:eastAsia="arial" w:hAnsi="arial" w:cs="arial"/>
                  <w:i/>
                  <w:color w:val="0077CC"/>
                  <w:sz w:val="20"/>
                  <w:u w:val="single"/>
                  <w:lang w:val="en-US" w:eastAsia="en-US" w:bidi="ar-SA"/>
                </w:rPr>
                <w:t>Pearson v. State, 437 Md. 350, 353, 86 A.3d 1232, 1238-39 (2014).</w:t>
              </w:r>
            </w:hyperlink>
            <w:r>
              <w:rPr>
                <w:rFonts w:ascii="arial" w:eastAsia="arial" w:hAnsi="arial" w:cs="arial"/>
                <w:color w:val="000000"/>
                <w:sz w:val="20"/>
                <w:lang w:val="en-US" w:eastAsia="en-US" w:bidi="ar-SA"/>
              </w:rPr>
              <w:t xml:space="preserve"> However, the </w:t>
            </w:r>
            <w:r>
              <w:rPr>
                <w:rFonts w:ascii="arial" w:eastAsia="arial" w:hAnsi="arial" w:cs="arial"/>
                <w:i/>
                <w:color w:val="000000"/>
                <w:sz w:val="20"/>
                <w:lang w:val="en-US" w:eastAsia="en-US" w:bidi="ar-SA"/>
              </w:rPr>
              <w:t>Pearson</w:t>
            </w:r>
            <w:r>
              <w:rPr>
                <w:rFonts w:ascii="arial" w:eastAsia="arial" w:hAnsi="arial" w:cs="arial"/>
                <w:color w:val="000000"/>
                <w:sz w:val="20"/>
                <w:lang w:val="en-US" w:eastAsia="en-US" w:bidi="ar-SA"/>
              </w:rPr>
              <w:t xml:space="preserve"> court specifically amended </w:t>
            </w:r>
            <w:r>
              <w:rPr>
                <w:rFonts w:ascii="arial" w:eastAsia="arial" w:hAnsi="arial" w:cs="arial"/>
                <w:i/>
                <w:color w:val="000000"/>
                <w:sz w:val="20"/>
                <w:lang w:val="en-US" w:eastAsia="en-US" w:bidi="ar-SA"/>
              </w:rPr>
              <w:t>Shim</w:t>
            </w:r>
            <w:r>
              <w:rPr>
                <w:rFonts w:ascii="arial" w:eastAsia="arial" w:hAnsi="arial" w:cs="arial"/>
                <w:color w:val="000000"/>
                <w:sz w:val="20"/>
                <w:lang w:val="en-US" w:eastAsia="en-US" w:bidi="ar-SA"/>
              </w:rPr>
              <w:t xml:space="preserve">'s particular phrasing of the strong feelings question. After </w:t>
            </w:r>
            <w:r>
              <w:rPr>
                <w:rFonts w:ascii="arial" w:eastAsia="arial" w:hAnsi="arial" w:cs="arial"/>
                <w:i/>
                <w:color w:val="000000"/>
                <w:sz w:val="20"/>
                <w:lang w:val="en-US" w:eastAsia="en-US" w:bidi="ar-SA"/>
              </w:rPr>
              <w:t>Pearson</w:t>
            </w:r>
            <w:r>
              <w:rPr>
                <w:rFonts w:ascii="arial" w:eastAsia="arial" w:hAnsi="arial" w:cs="arial"/>
                <w:color w:val="000000"/>
                <w:sz w:val="20"/>
                <w:lang w:val="en-US" w:eastAsia="en-US" w:bidi="ar-SA"/>
              </w:rPr>
              <w:t xml:space="preserve">, the proper form of the question is: "Do any of you have strong feelings about [the crime with which the defendant is charged]?" </w:t>
            </w:r>
            <w:r>
              <w:rPr>
                <w:rFonts w:ascii="arial" w:eastAsia="arial" w:hAnsi="arial" w:cs="arial"/>
                <w:i/>
                <w:color w:val="000000"/>
                <w:sz w:val="20"/>
                <w:lang w:val="en-US" w:eastAsia="en-US" w:bidi="ar-SA"/>
              </w:rPr>
              <w:t>Id.</w:t>
            </w:r>
            <w:r>
              <w:rPr>
                <w:rFonts w:ascii="arial" w:eastAsia="arial" w:hAnsi="arial" w:cs="arial"/>
                <w:color w:val="000000"/>
                <w:sz w:val="20"/>
                <w:lang w:val="en-US" w:eastAsia="en-US" w:bidi="ar-SA"/>
              </w:rPr>
              <w:t xml:space="preserve"> The reason for this amendment is </w:t>
            </w:r>
            <w:r>
              <w:rPr>
                <w:rFonts w:ascii="arial" w:eastAsia="arial" w:hAnsi="arial" w:cs="arial"/>
                <w:i/>
                <w:color w:val="000000"/>
                <w:sz w:val="20"/>
                <w:lang w:val="en-US" w:eastAsia="en-US" w:bidi="ar-SA"/>
              </w:rPr>
              <w:t>Shim</w:t>
            </w:r>
            <w:r>
              <w:rPr>
                <w:rFonts w:ascii="arial" w:eastAsia="arial" w:hAnsi="arial" w:cs="arial"/>
                <w:color w:val="000000"/>
                <w:sz w:val="20"/>
                <w:lang w:val="en-US" w:eastAsia="en-US" w:bidi="ar-SA"/>
              </w:rPr>
              <w:t xml:space="preserve">'s original phrasing improperly "shifted responsibility to decide a prospective juror's bias from the trial court to the prospective juror." </w:t>
            </w:r>
            <w:r>
              <w:rPr>
                <w:rFonts w:ascii="arial" w:eastAsia="arial" w:hAnsi="arial" w:cs="arial"/>
                <w:i/>
                <w:color w:val="000000"/>
                <w:sz w:val="20"/>
                <w:lang w:val="en-US" w:eastAsia="en-US" w:bidi="ar-SA"/>
              </w:rPr>
              <w:t>Id.</w:t>
            </w:r>
          </w:p>
          <w:p>
            <w:pPr>
              <w:spacing w:before="240" w:line="260" w:lineRule="atLeast"/>
              <w:ind w:left="60" w:right="360"/>
              <w:jc w:val="both"/>
              <w:rPr>
                <w:lang w:val="en-US" w:eastAsia="en-US" w:bidi="ar-SA"/>
              </w:rPr>
            </w:pPr>
            <w:r>
              <w:rPr>
                <w:rFonts w:ascii="arial" w:eastAsia="arial" w:hAnsi="arial" w:cs="arial"/>
                <w:color w:val="000000"/>
                <w:sz w:val="20"/>
                <w:lang w:val="en-US" w:eastAsia="en-US" w:bidi="ar-SA"/>
              </w:rPr>
              <w:t xml:space="preserve">Just as the failure to ask a voir dire question can be an abuse of discretion, asking a prejudicial question can be error as well. In </w:t>
            </w:r>
            <w:hyperlink r:id="rId152" w:history="1">
              <w:r>
                <w:rPr>
                  <w:rFonts w:ascii="arial" w:eastAsia="arial" w:hAnsi="arial" w:cs="arial"/>
                  <w:i/>
                  <w:color w:val="0077CC"/>
                  <w:sz w:val="20"/>
                  <w:u w:val="single"/>
                  <w:lang w:val="en-US" w:eastAsia="en-US" w:bidi="ar-SA"/>
                </w:rPr>
                <w:t>Charles v. State, 414 Md. 726, 997 A.2d 154 (2010),</w:t>
              </w:r>
            </w:hyperlink>
            <w:r>
              <w:rPr>
                <w:rFonts w:ascii="arial" w:eastAsia="arial" w:hAnsi="arial" w:cs="arial"/>
                <w:color w:val="000000"/>
                <w:sz w:val="20"/>
                <w:lang w:val="en-US" w:eastAsia="en-US" w:bidi="ar-SA"/>
              </w:rPr>
              <w:t xml:space="preserve"> as part of group voir dire, the trial court addressed popular television programs like </w:t>
            </w:r>
            <w:r>
              <w:rPr>
                <w:rFonts w:ascii="arial" w:eastAsia="arial" w:hAnsi="arial" w:cs="arial"/>
                <w:i/>
                <w:color w:val="000000"/>
                <w:sz w:val="20"/>
                <w:lang w:val="en-US" w:eastAsia="en-US" w:bidi="ar-SA"/>
              </w:rPr>
              <w:t>CSI</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Law and Order</w:t>
            </w:r>
            <w:r>
              <w:rPr>
                <w:rFonts w:ascii="arial" w:eastAsia="arial" w:hAnsi="arial" w:cs="arial"/>
                <w:color w:val="000000"/>
                <w:sz w:val="20"/>
                <w:lang w:val="en-US" w:eastAsia="en-US" w:bidi="ar-SA"/>
              </w:rPr>
              <w:t xml:space="preserve">, and said: "if you are currently of the opinion or belief that you cannot convict a defendant without 'scientific evidence,' regardless of the other evidence in the case and regardless of the instructions that I will give you as to the law, please rise." </w:t>
            </w:r>
            <w:r>
              <w:rPr>
                <w:rFonts w:ascii="arial" w:eastAsia="arial" w:hAnsi="arial" w:cs="arial"/>
                <w:i/>
                <w:color w:val="000000"/>
                <w:sz w:val="20"/>
                <w:lang w:val="en-US" w:eastAsia="en-US" w:bidi="ar-SA"/>
              </w:rPr>
              <w:t>Id.</w:t>
            </w:r>
            <w:r>
              <w:rPr>
                <w:rFonts w:ascii="arial" w:eastAsia="arial" w:hAnsi="arial" w:cs="arial"/>
                <w:color w:val="000000"/>
                <w:sz w:val="20"/>
                <w:lang w:val="en-US" w:eastAsia="en-US" w:bidi="ar-SA"/>
              </w:rPr>
              <w:t xml:space="preserve"> at 5. The Court of Appeals held this was error and reversed the convictions in the case. After discussing, but not expressing an opinion on, the alleged "CSI effect" on criminal trials (the contention that juries now generally expect the State to produce forensic evidence of guilt), the Court addressed the "language of the question, rather than its object." </w:t>
            </w:r>
            <w:r>
              <w:rPr>
                <w:rFonts w:ascii="arial" w:eastAsia="arial" w:hAnsi="arial" w:cs="arial"/>
                <w:i/>
                <w:color w:val="000000"/>
                <w:sz w:val="20"/>
                <w:lang w:val="en-US" w:eastAsia="en-US" w:bidi="ar-SA"/>
              </w:rPr>
              <w:t>Id.</w:t>
            </w:r>
            <w:r>
              <w:rPr>
                <w:rFonts w:ascii="arial" w:eastAsia="arial" w:hAnsi="arial" w:cs="arial"/>
                <w:color w:val="000000"/>
                <w:sz w:val="20"/>
                <w:lang w:val="en-US" w:eastAsia="en-US" w:bidi="ar-SA"/>
              </w:rPr>
              <w:t xml:space="preserve"> at 10. It held that "the [trial] judge abused his discretion by suggesting to the panel that 'convict[ing]' [defendants] was the only option in the present case; this suggestive question poisoned the venire, thereby depriving [defendants] of a fair and impartial jury." </w:t>
            </w:r>
            <w:r>
              <w:rPr>
                <w:rFonts w:ascii="arial" w:eastAsia="arial" w:hAnsi="arial" w:cs="arial"/>
                <w:i/>
                <w:color w:val="000000"/>
                <w:sz w:val="20"/>
                <w:lang w:val="en-US" w:eastAsia="en-US" w:bidi="ar-SA"/>
              </w:rPr>
              <w:t>Id.</w:t>
            </w:r>
            <w:r>
              <w:rPr>
                <w:rFonts w:ascii="arial" w:eastAsia="arial" w:hAnsi="arial" w:cs="arial"/>
                <w:color w:val="000000"/>
                <w:sz w:val="20"/>
                <w:lang w:val="en-US" w:eastAsia="en-US" w:bidi="ar-SA"/>
              </w:rPr>
              <w:t xml:space="preserve"> at 20. The Court left for "another day" the issue "whether a voir dire inquiry related to the purported 'CSI effect' is appropriate at a theoretical level." </w:t>
            </w:r>
            <w:r>
              <w:rPr>
                <w:rFonts w:ascii="arial" w:eastAsia="arial" w:hAnsi="arial" w:cs="arial"/>
                <w:i/>
                <w:color w:val="000000"/>
                <w:sz w:val="20"/>
                <w:lang w:val="en-US" w:eastAsia="en-US" w:bidi="ar-SA"/>
              </w:rPr>
              <w:t>Id.</w:t>
            </w:r>
            <w:r>
              <w:rPr>
                <w:rFonts w:ascii="arial" w:eastAsia="arial" w:hAnsi="arial" w:cs="arial"/>
                <w:color w:val="000000"/>
                <w:sz w:val="20"/>
                <w:lang w:val="en-US" w:eastAsia="en-US" w:bidi="ar-SA"/>
              </w:rPr>
              <w:t xml:space="preserve"> at 9. </w:t>
            </w:r>
            <w:r>
              <w:rPr>
                <w:rFonts w:ascii="arial" w:eastAsia="arial" w:hAnsi="arial" w:cs="arial"/>
                <w:i/>
                <w:color w:val="000000"/>
                <w:sz w:val="20"/>
                <w:lang w:val="en-US" w:eastAsia="en-US" w:bidi="ar-SA"/>
              </w:rPr>
              <w:t xml:space="preserve">Cf. </w:t>
            </w:r>
            <w:hyperlink r:id="rId39" w:history="1">
              <w:r>
                <w:rPr>
                  <w:rFonts w:ascii="arial" w:eastAsia="arial" w:hAnsi="arial" w:cs="arial"/>
                  <w:i/>
                  <w:color w:val="0077CC"/>
                  <w:sz w:val="20"/>
                  <w:u w:val="single"/>
                  <w:lang w:val="en-US" w:eastAsia="en-US" w:bidi="ar-SA"/>
                </w:rPr>
                <w:t>Atkins v. State, 421 Md. 434, 26 A.3d 979 (2011)</w:t>
              </w:r>
            </w:hyperlink>
            <w:r>
              <w:rPr>
                <w:rFonts w:ascii="arial" w:eastAsia="arial" w:hAnsi="arial" w:cs="arial"/>
                <w:color w:val="000000"/>
                <w:sz w:val="20"/>
                <w:lang w:val="en-US" w:eastAsia="en-US" w:bidi="ar-SA"/>
              </w:rPr>
              <w:t xml:space="preserve"> (invalidating a CSI instruction).</w:t>
            </w:r>
          </w:p>
          <w:p>
            <w:pPr>
              <w:spacing w:after="120"/>
              <w:rPr>
                <w:lang w:val="en-US" w:eastAsia="en-US" w:bidi="ar-SA"/>
              </w:rPr>
            </w:pPr>
          </w:p>
        </w:tc>
      </w:tr>
    </w:tbl>
    <w:p>
      <w:pPr>
        <w:spacing w:before="60" w:line="260" w:lineRule="atLeast"/>
        <w:ind w:left="720"/>
        <w:jc w:val="both"/>
        <w:rPr>
          <w:lang w:val="en-US" w:eastAsia="en-US" w:bidi="ar-SA"/>
        </w:rPr>
      </w:pPr>
      <w:r>
        <w:rPr>
          <w:rFonts w:ascii="arial" w:eastAsia="arial" w:hAnsi="arial" w:cs="arial"/>
          <w:color w:val="000000"/>
          <w:sz w:val="20"/>
          <w:lang w:val="en-US" w:eastAsia="en-US" w:bidi="ar-SA"/>
        </w:rPr>
        <w:t>#MICPEL#</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Reference</w:t>
      </w:r>
    </w:p>
    <w:p>
      <w:pPr>
        <w:spacing w:line="60" w:lineRule="exact"/>
        <w:rPr>
          <w:lang w:val="en-US" w:eastAsia="en-US" w:bidi="ar-SA"/>
        </w:rPr>
      </w:pPr>
      <w:r>
        <w:pict>
          <v:line id="_x0000_s1043" style="position:absolute;z-index:251668480" from="0,2pt" to="512pt,2pt" strokecolor="#009ddb" strokeweight="2pt">
            <v:stroke linestyle="single"/>
            <w10:wrap type="topAndBottom"/>
          </v:line>
        </w:pict>
      </w:r>
    </w:p>
    <w:p>
      <w:pPr>
        <w:spacing w:line="120" w:lineRule="exact"/>
        <w:rPr>
          <w:lang w:val="en-US" w:eastAsia="en-US" w:bidi="ar-SA"/>
        </w:rPr>
      </w:pPr>
    </w:p>
    <w:p>
      <w:pPr>
        <w:spacing w:before="120" w:line="260" w:lineRule="atLeast"/>
        <w:rPr>
          <w:lang w:val="en-US" w:eastAsia="en-US" w:bidi="ar-SA"/>
        </w:rPr>
      </w:pPr>
      <w:r>
        <w:rPr>
          <w:rFonts w:ascii="arial" w:eastAsia="arial" w:hAnsi="arial" w:cs="arial"/>
          <w:color w:val="000000"/>
          <w:sz w:val="20"/>
          <w:lang w:val="en-US" w:eastAsia="en-US" w:bidi="ar-SA"/>
        </w:rPr>
        <w:t>MPJI-Cr 1:02.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Source:</w:t>
      </w:r>
      <w:r>
        <w:rPr>
          <w:rFonts w:ascii="arial" w:eastAsia="arial" w:hAnsi="arial" w:cs="arial"/>
          <w:color w:val="000000"/>
          <w:sz w:val="20"/>
          <w:lang w:val="en-US" w:eastAsia="en-US" w:bidi="ar-SA"/>
        </w:rPr>
        <w:t> MICPEL</w:t>
      </w:r>
    </w:p>
    <w:p>
      <w:pPr>
        <w:spacing w:before="240" w:line="220" w:lineRule="atLeast"/>
        <w:rPr>
          <w:lang w:val="en-US" w:eastAsia="en-US" w:bidi="ar-SA"/>
        </w:rPr>
      </w:pPr>
      <w:r>
        <w:rPr>
          <w:rFonts w:ascii="arial" w:eastAsia="arial" w:hAnsi="arial" w:cs="arial"/>
          <w:color w:val="000000"/>
          <w:sz w:val="16"/>
          <w:lang w:val="en-US" w:eastAsia="en-US" w:bidi="ar-SA"/>
        </w:rPr>
        <w:t>Maryland Criminal Pattern Jury Instructions</w:t>
      </w:r>
    </w:p>
    <w:p>
      <w:pPr>
        <w:spacing w:line="220" w:lineRule="atLeast"/>
        <w:rPr>
          <w:lang w:val="en-US" w:eastAsia="en-US" w:bidi="ar-SA"/>
        </w:rPr>
      </w:pPr>
      <w:r>
        <w:rPr>
          <w:rFonts w:ascii="arial" w:eastAsia="arial" w:hAnsi="arial" w:cs="arial"/>
          <w:color w:val="000000"/>
          <w:sz w:val="16"/>
          <w:lang w:val="en-US" w:eastAsia="en-US" w:bidi="ar-SA"/>
        </w:rPr>
        <w:t>Copyright 2018 by The Maryland State Bar Association, Inc.</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4" style="position:absolute;z-index:2516736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53"/>
          <w:headerReference w:type="default" r:id="rId154"/>
          <w:footerReference w:type="even" r:id="rId155"/>
          <w:footerReference w:type="default" r:id="rId156"/>
          <w:headerReference w:type="first" r:id="rId157"/>
          <w:footerReference w:type="first" r:id="rId158"/>
          <w:type w:val="nextPage"/>
          <w:pgSz w:w="12240" w:h="15840"/>
          <w:pgMar w:top="840" w:right="1000" w:bottom="840" w:left="1000" w:header="400" w:footer="400"/>
          <w:pgNumType w:fmt="decimal"/>
          <w:cols w:space="720"/>
          <w:titlePg/>
        </w:sectPr>
      </w:pPr>
    </w:p>
    <w:p>
      <w:pPr>
        <w:rPr>
          <w:lang w:val="en-US" w:eastAsia="en-US" w:bidi="ar-SA"/>
        </w:rPr>
      </w:pPr>
      <w:bookmarkStart w:id="5" w:name="Bookmark_6"/>
      <w:bookmarkEnd w:id="5"/>
    </w:p>
    <w:p>
      <w:pPr>
        <w:rPr>
          <w:lang w:val="en-US" w:eastAsia="en-US" w:bidi="ar-SA"/>
        </w:rPr>
      </w:pPr>
      <w:r>
        <w:pict>
          <v:shape id="_x0000_i1045" type="#_x0000_t75" alt="LexisNexis®" style="width:147.77pt;height:30pt">
            <v:imagedata r:id="rId4" o:title=""/>
          </v:shape>
        </w:pict>
      </w:r>
      <w:r>
        <w:rPr>
          <w:lang w:val="en-US" w:eastAsia="en-US" w:bidi="ar-SA"/>
        </w:rPr>
        <w:cr/>
      </w:r>
    </w:p>
    <w:p>
      <w:pPr>
        <w:spacing w:before="240" w:after="200" w:line="340" w:lineRule="atLeast"/>
        <w:jc w:val="center"/>
        <w:outlineLvl w:val="0"/>
        <w:rPr>
          <w:rFonts w:ascii="Arial" w:hAnsi="Arial" w:cs="Arial"/>
          <w:b/>
          <w:bCs/>
          <w:kern w:val="32"/>
          <w:sz w:val="32"/>
          <w:szCs w:val="32"/>
          <w:lang w:val="en-US" w:eastAsia="en-US" w:bidi="ar-SA"/>
        </w:rPr>
      </w:pPr>
      <w:hyperlink r:id="rId159" w:history="1">
        <w:r>
          <w:rPr>
            <w:rFonts w:ascii="arial" w:eastAsia="arial" w:hAnsi="arial" w:cs="arial"/>
            <w:b/>
            <w:bCs/>
            <w:i/>
            <w:color w:val="0077CC"/>
            <w:kern w:val="32"/>
            <w:sz w:val="28"/>
            <w:szCs w:val="32"/>
            <w:u w:val="single"/>
            <w:lang w:val="en-US" w:eastAsia="en-US" w:bidi="ar-SA"/>
          </w:rPr>
          <w:t>MPJI-Cr 2:05</w:t>
        </w:r>
      </w:hyperlink>
    </w:p>
    <w:p>
      <w:pPr>
        <w:spacing w:line="240" w:lineRule="atLeast"/>
        <w:jc w:val="both"/>
        <w:rPr>
          <w:lang w:val="en-US" w:eastAsia="en-US" w:bidi="ar-SA"/>
        </w:rPr>
      </w:pPr>
    </w:p>
    <w:p>
      <w:pPr>
        <w:spacing w:before="200" w:line="280" w:lineRule="atLeast"/>
        <w:rPr>
          <w:lang w:val="en-US" w:eastAsia="en-US" w:bidi="ar-SA"/>
        </w:rPr>
      </w:pPr>
      <w:r>
        <w:rPr>
          <w:rFonts w:ascii="arial" w:eastAsia="arial" w:hAnsi="arial" w:cs="arial"/>
          <w:b/>
          <w:i/>
          <w:color w:val="000000"/>
          <w:sz w:val="22"/>
          <w:lang w:val="en-US" w:eastAsia="en-US" w:bidi="ar-SA"/>
        </w:rPr>
        <w:t>Maryland Criminal Pattern Jury Instructions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CHAPTER 2 GENERAL INSTRUCTIONS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DELIBERATIONS BASED SOLELY ON EVIDENCE</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2:05Deliberations Based Solely on Evidence</w:t>
      </w:r>
    </w:p>
    <w:p>
      <w:pPr>
        <w:spacing w:line="60" w:lineRule="exact"/>
        <w:rPr>
          <w:lang w:val="en-US" w:eastAsia="en-US" w:bidi="ar-SA"/>
        </w:rPr>
      </w:pPr>
      <w:r>
        <w:pict>
          <v:line id="_x0000_s1046" style="position:absolute;z-index:25166336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color w:val="000000"/>
          <w:sz w:val="20"/>
          <w:lang w:val="en-US" w:eastAsia="en-US" w:bidi="ar-SA"/>
        </w:rPr>
        <w:t>During your deliberations, you must decide this case based only on the evidence that you and your fellow jurors heard together in the courtroom</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b/>
          <w:color w:val="000000"/>
          <w:sz w:val="20"/>
          <w:lang w:val="en-US" w:eastAsia="en-US" w:bidi="ar-SA"/>
        </w:rPr>
        <w:t>You must not do any outside research or investigation. Do not use any outside sources such as books, electronic devices, computers, or phones to do research about this case even if you believe the information would be helpful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b/>
          <w:color w:val="000000"/>
          <w:sz w:val="20"/>
          <w:lang w:val="en-US" w:eastAsia="en-US" w:bidi="ar-SA"/>
        </w:rPr>
        <w:t>While you are deliberating, you cannot have in the jury room any computers, cell phones, or other electronic devices and you must not communicate with anyone outside the jury room. If there are breaks in deliberations, I may allow you to communicate with your family or friends, but do not communicate about the case or your deliberations</w:t>
      </w:r>
      <w:r>
        <w:rPr>
          <w:rFonts w:ascii="arial" w:eastAsia="arial" w:hAnsi="arial" w:cs="arial"/>
          <w:color w:val="000000"/>
          <w:sz w:val="20"/>
          <w:lang w:val="en-US" w:eastAsia="en-US" w:bidi="ar-SA"/>
        </w:rPr>
        <w:t>.</w:t>
      </w:r>
    </w:p>
    <w:p>
      <w:pPr>
        <w:rPr>
          <w:lang w:val="en-US" w:eastAsia="en-US" w:bidi="ar-SA"/>
        </w:rPr>
      </w:pPr>
    </w:p>
    <w:tbl>
      <w:tblPr>
        <w:tblStyle w:val="TableNormal"/>
        <w:tblW w:w="0" w:type="auto"/>
        <w:tblInd w:w="0" w:type="dxa"/>
        <w:tblBorders>
          <w:top w:val="single" w:sz="8" w:space="0" w:color="BCBEC0"/>
          <w:left w:val="single" w:sz="8" w:space="0" w:color="BCBEC0"/>
          <w:bottom w:val="single" w:sz="8" w:space="0" w:color="BCBEC0"/>
          <w:right w:val="single" w:sz="8" w:space="0" w:color="BCBEC0"/>
          <w:insideH w:val="single" w:sz="8" w:space="0" w:color="BCBEC0"/>
          <w:insideV w:val="single" w:sz="8" w:space="0" w:color="BCBEC0"/>
        </w:tblBorders>
        <w:tblLayout w:type="fixed"/>
        <w:tblCellMar>
          <w:left w:w="108" w:type="dxa"/>
          <w:right w:w="108" w:type="dxa"/>
        </w:tblCellMar>
      </w:tblPr>
      <w:tblGrid>
        <w:gridCol w:w="10240"/>
      </w:tblGrid>
      <w:tr>
        <w:tblPrEx>
          <w:tblW w:w="0" w:type="auto"/>
          <w:tblInd w:w="0" w:type="dxa"/>
          <w:tblBorders>
            <w:top w:val="single" w:sz="8" w:space="0" w:color="BCBEC0"/>
            <w:left w:val="single" w:sz="8" w:space="0" w:color="BCBEC0"/>
            <w:bottom w:val="single" w:sz="8" w:space="0" w:color="BCBEC0"/>
            <w:right w:val="single" w:sz="8" w:space="0" w:color="BCBEC0"/>
            <w:insideH w:val="single" w:sz="8" w:space="0" w:color="BCBEC0"/>
            <w:insideV w:val="single" w:sz="8" w:space="0" w:color="BCBEC0"/>
          </w:tblBorders>
          <w:tblLayout w:type="fixed"/>
          <w:tblCellMar>
            <w:left w:w="108" w:type="dxa"/>
            <w:right w:w="108" w:type="dxa"/>
          </w:tblCellMar>
        </w:tblPrEx>
        <w:tc>
          <w:tcPr>
            <w:tcW w:w="10240" w:type="dxa"/>
            <w:vAlign w:val="center"/>
          </w:tcPr>
          <w:p>
            <w:pPr>
              <w:spacing w:before="240" w:line="260" w:lineRule="atLeast"/>
              <w:ind w:left="60" w:right="360"/>
              <w:rPr>
                <w:lang w:val="en-US" w:eastAsia="en-US" w:bidi="ar-SA"/>
              </w:rPr>
            </w:pPr>
            <w:r>
              <w:rPr>
                <w:rFonts w:ascii="arial" w:eastAsia="arial" w:hAnsi="arial" w:cs="arial"/>
                <w:b/>
                <w:color w:val="000000"/>
                <w:sz w:val="20"/>
                <w:lang w:val="en-US" w:eastAsia="en-US" w:bidi="ar-SA"/>
              </w:rPr>
              <w:t> </w:t>
            </w:r>
          </w:p>
          <w:p>
            <w:pPr>
              <w:spacing w:before="200" w:line="260" w:lineRule="atLeast"/>
              <w:ind w:left="60" w:right="360"/>
              <w:jc w:val="both"/>
              <w:rPr>
                <w:lang w:val="en-US" w:eastAsia="en-US" w:bidi="ar-SA"/>
              </w:rPr>
            </w:pPr>
            <w:r>
              <w:rPr>
                <w:rFonts w:ascii="arial" w:eastAsia="arial" w:hAnsi="arial" w:cs="arial"/>
                <w:color w:val="000000"/>
                <w:sz w:val="20"/>
                <w:lang w:val="en-US" w:eastAsia="en-US" w:bidi="ar-SA"/>
              </w:rPr>
              <w:t>COMMENT</w:t>
            </w:r>
          </w:p>
          <w:p>
            <w:pPr>
              <w:spacing w:before="240" w:line="260" w:lineRule="atLeast"/>
              <w:ind w:left="60" w:right="360"/>
              <w:jc w:val="both"/>
              <w:rPr>
                <w:lang w:val="en-US" w:eastAsia="en-US" w:bidi="ar-SA"/>
              </w:rPr>
            </w:pPr>
            <w:r>
              <w:rPr>
                <w:rFonts w:ascii="arial" w:eastAsia="arial" w:hAnsi="arial" w:cs="arial"/>
                <w:i/>
                <w:color w:val="000000"/>
                <w:sz w:val="20"/>
                <w:lang w:val="en-US" w:eastAsia="en-US" w:bidi="ar-SA"/>
              </w:rPr>
              <w:t>See</w:t>
            </w:r>
            <w:r>
              <w:rPr>
                <w:rFonts w:ascii="arial" w:eastAsia="arial" w:hAnsi="arial" w:cs="arial"/>
                <w:color w:val="000000"/>
                <w:sz w:val="20"/>
                <w:lang w:val="en-US" w:eastAsia="en-US" w:bidi="ar-SA"/>
              </w:rPr>
              <w:t xml:space="preserve"> Comments to MPJI-Cr 1:00 and MPJI-Cr 1:03. In </w:t>
            </w:r>
            <w:hyperlink r:id="rId160" w:history="1">
              <w:r>
                <w:rPr>
                  <w:rFonts w:ascii="arial" w:eastAsia="arial" w:hAnsi="arial" w:cs="arial"/>
                  <w:i/>
                  <w:color w:val="0077CC"/>
                  <w:sz w:val="20"/>
                  <w:u w:val="single"/>
                  <w:lang w:val="en-US" w:eastAsia="en-US" w:bidi="ar-SA"/>
                </w:rPr>
                <w:t>Wardlaw v. State, 185 Md. App. 440, 971 A.2d 331 (2009),</w:t>
              </w:r>
            </w:hyperlink>
            <w:r>
              <w:rPr>
                <w:rFonts w:ascii="arial" w:eastAsia="arial" w:hAnsi="arial" w:cs="arial"/>
                <w:color w:val="000000"/>
                <w:sz w:val="20"/>
                <w:lang w:val="en-US" w:eastAsia="en-US" w:bidi="ar-SA"/>
              </w:rPr>
              <w:t xml:space="preserve"> the Court of Special Appeals held that the trial court should have granted a mistrial because a deliberating juror conducted internet research on the credibility of a State's witness and provided the results of that research to the entire jury. The Court relied on Maryland decisions holding that the constitutionally guaranteed right to a fair trial by an impartial jury requires that jurors decide cases solely upon the evidence admitted at trial. </w:t>
            </w:r>
            <w:r>
              <w:rPr>
                <w:rFonts w:ascii="arial" w:eastAsia="arial" w:hAnsi="arial" w:cs="arial"/>
                <w:i/>
                <w:color w:val="000000"/>
                <w:sz w:val="20"/>
                <w:lang w:val="en-US" w:eastAsia="en-US" w:bidi="ar-SA"/>
              </w:rPr>
              <w:t xml:space="preserve">See, e.g., </w:t>
            </w:r>
            <w:hyperlink r:id="rId161" w:history="1">
              <w:r>
                <w:rPr>
                  <w:rFonts w:ascii="arial" w:eastAsia="arial" w:hAnsi="arial" w:cs="arial"/>
                  <w:i/>
                  <w:color w:val="0077CC"/>
                  <w:sz w:val="20"/>
                  <w:u w:val="single"/>
                  <w:lang w:val="en-US" w:eastAsia="en-US" w:bidi="ar-SA"/>
                </w:rPr>
                <w:t>Jenkins v. State, 375 Md. 284, 289, 825 A.2d 1008, 1011 (2003);</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 xml:space="preserve">cf. </w:t>
            </w:r>
            <w:hyperlink r:id="rId162" w:history="1">
              <w:r>
                <w:rPr>
                  <w:rFonts w:ascii="arial" w:eastAsia="arial" w:hAnsi="arial" w:cs="arial"/>
                  <w:i/>
                  <w:color w:val="0077CC"/>
                  <w:sz w:val="20"/>
                  <w:u w:val="single"/>
                  <w:lang w:val="en-US" w:eastAsia="en-US" w:bidi="ar-SA"/>
                </w:rPr>
                <w:t>Eades v. State, 75 Md. App. 411, 541 A.2d 1001 (1988)</w:t>
              </w:r>
            </w:hyperlink>
            <w:r>
              <w:rPr>
                <w:rFonts w:ascii="arial" w:eastAsia="arial" w:hAnsi="arial" w:cs="arial"/>
                <w:color w:val="000000"/>
                <w:sz w:val="20"/>
                <w:lang w:val="en-US" w:eastAsia="en-US" w:bidi="ar-SA"/>
              </w:rPr>
              <w:t xml:space="preserve"> (after voir dire of juror, trial court properly denied motion for new trial where juror had asked her lawyer- husband about the basis of an evidentiary ruling that did not relate to the evidence itself).</w:t>
            </w:r>
          </w:p>
          <w:p>
            <w:pPr>
              <w:spacing w:after="120"/>
              <w:rPr>
                <w:lang w:val="en-US" w:eastAsia="en-US" w:bidi="ar-SA"/>
              </w:rPr>
            </w:pPr>
          </w:p>
        </w:tc>
      </w:tr>
    </w:tbl>
    <w:p>
      <w:pPr>
        <w:spacing w:before="60" w:line="260" w:lineRule="atLeast"/>
        <w:ind w:left="720"/>
        <w:jc w:val="both"/>
        <w:rPr>
          <w:lang w:val="en-US" w:eastAsia="en-US" w:bidi="ar-SA"/>
        </w:rPr>
      </w:pPr>
      <w:r>
        <w:rPr>
          <w:rFonts w:ascii="arial" w:eastAsia="arial" w:hAnsi="arial" w:cs="arial"/>
          <w:color w:val="000000"/>
          <w:sz w:val="20"/>
          <w:lang w:val="en-US" w:eastAsia="en-US" w:bidi="ar-SA"/>
        </w:rPr>
        <w:t>#MICPEL#</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Reference</w:t>
      </w:r>
    </w:p>
    <w:p>
      <w:pPr>
        <w:spacing w:line="60" w:lineRule="exact"/>
        <w:rPr>
          <w:lang w:val="en-US" w:eastAsia="en-US" w:bidi="ar-SA"/>
        </w:rPr>
      </w:pPr>
      <w:r>
        <w:pict>
          <v:line id="_x0000_s1047" style="position:absolute;z-index:251669504" from="0,2pt" to="512pt,2pt" strokecolor="#009ddb" strokeweight="2pt">
            <v:stroke linestyle="single"/>
            <w10:wrap type="topAndBottom"/>
          </v:line>
        </w:pict>
      </w:r>
    </w:p>
    <w:p>
      <w:pPr>
        <w:spacing w:line="120" w:lineRule="exact"/>
        <w:rPr>
          <w:lang w:val="en-US" w:eastAsia="en-US" w:bidi="ar-SA"/>
        </w:rPr>
      </w:pPr>
    </w:p>
    <w:p>
      <w:pPr>
        <w:spacing w:before="120" w:line="260" w:lineRule="atLeast"/>
        <w:rPr>
          <w:lang w:val="en-US" w:eastAsia="en-US" w:bidi="ar-SA"/>
        </w:rPr>
      </w:pPr>
      <w:r>
        <w:rPr>
          <w:rFonts w:ascii="arial" w:eastAsia="arial" w:hAnsi="arial" w:cs="arial"/>
          <w:color w:val="000000"/>
          <w:sz w:val="20"/>
          <w:lang w:val="en-US" w:eastAsia="en-US" w:bidi="ar-SA"/>
        </w:rPr>
        <w:t>MPJI-Cr 1:00, MPJI-Cr 1:03.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Source:</w:t>
      </w:r>
      <w:r>
        <w:rPr>
          <w:rFonts w:ascii="arial" w:eastAsia="arial" w:hAnsi="arial" w:cs="arial"/>
          <w:color w:val="000000"/>
          <w:sz w:val="20"/>
          <w:lang w:val="en-US" w:eastAsia="en-US" w:bidi="ar-SA"/>
        </w:rPr>
        <w:t> MICPEL</w:t>
      </w:r>
    </w:p>
    <w:p>
      <w:pPr>
        <w:spacing w:before="240" w:line="220" w:lineRule="atLeast"/>
        <w:rPr>
          <w:lang w:val="en-US" w:eastAsia="en-US" w:bidi="ar-SA"/>
        </w:rPr>
      </w:pPr>
      <w:r>
        <w:rPr>
          <w:rFonts w:ascii="arial" w:eastAsia="arial" w:hAnsi="arial" w:cs="arial"/>
          <w:color w:val="000000"/>
          <w:sz w:val="16"/>
          <w:lang w:val="en-US" w:eastAsia="en-US" w:bidi="ar-SA"/>
        </w:rPr>
        <w:t>Maryland Criminal Pattern Jury Instructions</w:t>
      </w:r>
    </w:p>
    <w:p>
      <w:pPr>
        <w:spacing w:line="220" w:lineRule="atLeast"/>
        <w:rPr>
          <w:lang w:val="en-US" w:eastAsia="en-US" w:bidi="ar-SA"/>
        </w:rPr>
      </w:pPr>
      <w:r>
        <w:rPr>
          <w:rFonts w:ascii="arial" w:eastAsia="arial" w:hAnsi="arial" w:cs="arial"/>
          <w:color w:val="000000"/>
          <w:sz w:val="16"/>
          <w:lang w:val="en-US" w:eastAsia="en-US" w:bidi="ar-SA"/>
        </w:rPr>
        <w:t>Copyright 2018 by The Maryland State Bar Association, Inc.</w:t>
      </w:r>
    </w:p>
    <w:p>
      <w:pPr>
        <w:rPr>
          <w:lang w:val="en-US" w:eastAsia="en-US" w:bidi="ar-SA"/>
        </w:rPr>
      </w:pPr>
    </w:p>
    <w:p>
      <w:pPr>
        <w:ind w:left="200"/>
        <w:rPr>
          <w:lang w:val="en-US" w:eastAsia="en-US" w:bidi="ar-SA"/>
        </w:rPr>
      </w:pPr>
      <w:r>
        <w:rPr>
          <w:lang w:val="en-US" w:eastAsia="en-US" w:bidi="ar-SA"/>
        </w:rPr>
        <w:br/>
      </w:r>
      <w:r>
        <w:pict>
          <v:line id="_x0000_s1048" style="position:absolute;z-index:251674624" from="0,10pt" to="512pt,10pt" strokecolor="black" strokeweight="1pt">
            <v:stroke linestyle="single"/>
          </v:line>
        </w:pict>
      </w:r>
      <w:r>
        <w:rPr>
          <w:b/>
          <w:color w:val="767676"/>
          <w:sz w:val="16"/>
          <w:lang w:val="en-US" w:eastAsia="en-US" w:bidi="ar-SA"/>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240" w:type="dxa"/>
      <w:jc w:val="center"/>
      <w:tblLayout w:type="fixed"/>
      <w:tblCellMar>
        <w:left w:w="108" w:type="dxa"/>
        <w:right w:w="108" w:type="dxa"/>
      </w:tblCellMar>
    </w:tblPr>
    <w:tblGrid>
      <w:gridCol w:w="10240"/>
    </w:tblGrid>
    <w:tr>
      <w:tblPrEx>
        <w:tblW w:w="10240" w:type="dxa"/>
        <w:jc w:val="center"/>
        <w:tblLayout w:type="fixed"/>
        <w:tblCellMar>
          <w:left w:w="108" w:type="dxa"/>
          <w:right w:w="108" w:type="dxa"/>
        </w:tblCellMar>
      </w:tblPrEx>
      <w:trPr>
        <w:trHeight w:val="15"/>
        <w:jc w:val="center"/>
      </w:trPr>
      <w:tc>
        <w:tcPr>
          <w:tcW w:w="10240" w:type="dxa"/>
          <w:shd w:val="solid" w:color="000000" w:fill="000000"/>
        </w:tcPr>
        <w:p>
          <w:pPr>
            <w:keepNext w:val="0"/>
            <w:spacing w:after="0" w:line="40" w:lineRule="exact"/>
            <w:ind w:left="0" w:right="0" w:firstLine="0"/>
            <w:jc w:val="both"/>
          </w:pPr>
        </w:p>
      </w:tc>
    </w:tr>
  </w:tbl>
  <w:p>
    <w:pPr>
      <w:keepNext w:val="0"/>
      <w:spacing w:after="0" w:line="40" w:lineRule="exact"/>
      <w:ind w:left="0" w:right="0" w:firstLine="0"/>
      <w:jc w:val="both"/>
    </w:pPr>
  </w:p>
  <w:tbl>
    <w:tblPr>
      <w:tblStyle w:val="TableNormal"/>
      <w:tblW w:w="10240" w:type="dxa"/>
      <w:jc w:val="center"/>
      <w:tblLayout w:type="fixed"/>
      <w:tblCellMar>
        <w:left w:w="108" w:type="dxa"/>
        <w:right w:w="108" w:type="dxa"/>
      </w:tblCellMar>
    </w:tblPr>
    <w:tblGrid>
      <w:gridCol w:w="10240"/>
    </w:tblGrid>
    <w:tr>
      <w:tblPrEx>
        <w:tblW w:w="10240" w:type="dxa"/>
        <w:jc w:val="center"/>
        <w:tblLayout w:type="fixed"/>
        <w:tblCellMar>
          <w:left w:w="108" w:type="dxa"/>
          <w:right w:w="108" w:type="dxa"/>
        </w:tblCellMar>
      </w:tblPrEx>
      <w:trPr>
        <w:trHeight w:val="480"/>
        <w:jc w:val="center"/>
      </w:trPr>
      <w:tc>
        <w:tcPr>
          <w:tcW w:w="10240" w:type="dxa"/>
          <w:vAlign w:val="center"/>
        </w:tcPr>
        <w:p>
          <w:pPr>
            <w:keepNext w:val="0"/>
            <w:spacing w:after="0" w:line="260" w:lineRule="atLeast"/>
            <w:ind w:left="0" w:right="0" w:firstLine="0"/>
            <w:jc w:val="cente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49" type="#_x0000_t75" style="width:68.97pt;height:15.92pt">
                <v:imagedata r:id="rId1" o:title=""/>
              </v:shape>
            </w:pict>
          </w:r>
          <w:r>
            <w:rPr>
              <w:rFonts w:ascii="Arial" w:eastAsia="Arial" w:hAnsi="Arial" w:cs="Arial"/>
              <w:b w:val="0"/>
              <w:i w:val="0"/>
              <w:strike w:val="0"/>
              <w:noProof w:val="0"/>
              <w:color w:val="000000"/>
              <w:position w:val="10"/>
              <w:sz w:val="18"/>
              <w:u w:val="none"/>
              <w:vertAlign w:val="baseline"/>
            </w:rPr>
            <w:t xml:space="preserve">| </w:t>
          </w:r>
          <w:hyperlink r:id="rId2" w:history="1">
            <w:r>
              <w:rPr>
                <w:rFonts w:ascii="Arial" w:eastAsia="Arial" w:hAnsi="Arial" w:cs="Arial"/>
                <w:b w:val="0"/>
                <w:i w:val="0"/>
                <w:strike w:val="0"/>
                <w:noProof w:val="0"/>
                <w:color w:val="0077CC"/>
                <w:position w:val="10"/>
                <w:sz w:val="18"/>
                <w:u w:val="single"/>
                <w:vertAlign w:val="baseline"/>
              </w:rPr>
              <w:t>About LexisNexis</w:t>
            </w:r>
          </w:hyperlink>
          <w:r>
            <w:rPr>
              <w:rFonts w:ascii="Arial" w:eastAsia="Arial" w:hAnsi="Arial" w:cs="Arial"/>
              <w:b w:val="0"/>
              <w:i w:val="0"/>
              <w:strike w:val="0"/>
              <w:noProof w:val="0"/>
              <w:color w:val="000000"/>
              <w:position w:val="10"/>
              <w:sz w:val="18"/>
              <w:u w:val="none"/>
              <w:vertAlign w:val="baseline"/>
            </w:rPr>
            <w:t xml:space="preserve"> | </w:t>
          </w:r>
          <w:hyperlink r:id="rId3" w:history="1">
            <w:r>
              <w:rPr>
                <w:rFonts w:ascii="Arial" w:eastAsia="Arial" w:hAnsi="Arial" w:cs="Arial"/>
                <w:b w:val="0"/>
                <w:i w:val="0"/>
                <w:strike w:val="0"/>
                <w:noProof w:val="0"/>
                <w:color w:val="0077CC"/>
                <w:position w:val="10"/>
                <w:sz w:val="18"/>
                <w:u w:val="single"/>
                <w:vertAlign w:val="baseline"/>
              </w:rPr>
              <w:t>Privacy Policy</w:t>
            </w:r>
          </w:hyperlink>
          <w:r>
            <w:rPr>
              <w:rFonts w:ascii="Arial" w:eastAsia="Arial" w:hAnsi="Arial" w:cs="Arial"/>
              <w:b w:val="0"/>
              <w:i w:val="0"/>
              <w:strike w:val="0"/>
              <w:noProof w:val="0"/>
              <w:color w:val="000000"/>
              <w:position w:val="10"/>
              <w:sz w:val="18"/>
              <w:u w:val="none"/>
              <w:vertAlign w:val="baseline"/>
            </w:rPr>
            <w:t xml:space="preserve"> | </w:t>
          </w:r>
          <w:hyperlink r:id="rId4" w:history="1">
            <w:r>
              <w:rPr>
                <w:rFonts w:ascii="Arial" w:eastAsia="Arial" w:hAnsi="Arial" w:cs="Arial"/>
                <w:b w:val="0"/>
                <w:i w:val="0"/>
                <w:strike w:val="0"/>
                <w:noProof w:val="0"/>
                <w:color w:val="0077CC"/>
                <w:position w:val="10"/>
                <w:sz w:val="18"/>
                <w:u w:val="single"/>
                <w:vertAlign w:val="baseline"/>
              </w:rPr>
              <w:t>Terms &amp; Conditions</w:t>
            </w:r>
          </w:hyperlink>
          <w:r>
            <w:rPr>
              <w:rFonts w:ascii="Arial" w:eastAsia="Arial" w:hAnsi="Arial" w:cs="Arial"/>
              <w:b w:val="0"/>
              <w:i w:val="0"/>
              <w:strike w:val="0"/>
              <w:noProof w:val="0"/>
              <w:color w:val="000000"/>
              <w:position w:val="10"/>
              <w:sz w:val="18"/>
              <w:u w:val="none"/>
              <w:vertAlign w:val="baseline"/>
            </w:rPr>
            <w:t xml:space="preserve"> | </w:t>
          </w:r>
          <w:hyperlink r:id="rId5" w:history="1">
            <w:r>
              <w:rPr>
                <w:rFonts w:ascii="Arial" w:eastAsia="Arial" w:hAnsi="Arial" w:cs="Arial"/>
                <w:b w:val="0"/>
                <w:i w:val="0"/>
                <w:strike w:val="0"/>
                <w:noProof w:val="0"/>
                <w:color w:val="0077CC"/>
                <w:position w:val="10"/>
                <w:sz w:val="18"/>
                <w:u w:val="single"/>
                <w:vertAlign w:val="baseline"/>
              </w:rPr>
              <w:t>Copyright © 2018 LexisNexis</w:t>
            </w:r>
          </w:hyperlink>
        </w:p>
      </w:tc>
    </w:tr>
    <w:tr>
      <w:tblPrEx>
        <w:tblW w:w="10240" w:type="dxa"/>
        <w:jc w:val="center"/>
        <w:tblLayout w:type="fixed"/>
        <w:tblCellMar>
          <w:left w:w="108" w:type="dxa"/>
          <w:right w:w="108" w:type="dxa"/>
        </w:tblCellMar>
      </w:tblPrEx>
      <w:trPr>
        <w:trHeight w:val="620"/>
        <w:jc w:val="center"/>
      </w:trPr>
      <w:tc>
        <w:tcPr>
          <w:tcW w:w="10240" w:type="dxa"/>
          <w:vAlign w:val="top"/>
        </w:tcPr>
        <w:p>
          <w:pPr>
            <w:keepNext w:val="0"/>
            <w:spacing w:after="0" w:line="260" w:lineRule="atLeast"/>
            <w:ind w:left="0" w:right="0" w:firstLine="0"/>
            <w:jc w:val="center"/>
          </w:pPr>
          <w:r>
            <w:rPr>
              <w:rFonts w:ascii="Arial" w:eastAsia="Arial" w:hAnsi="Arial" w:cs="Arial"/>
              <w:b w:val="0"/>
              <w:i w:val="0"/>
              <w:strike w:val="0"/>
              <w:noProof w:val="0"/>
              <w:color w:val="000000"/>
              <w:position w:val="10"/>
              <w:sz w:val="18"/>
              <w:u w:val="none"/>
              <w:vertAlign w:val="baseline"/>
            </w:rPr>
            <w:t>Michael Fiorenza</w:t>
          </w: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Michael Fiorenza</w:t>
          </w:r>
        </w:p>
      </w:tc>
      <w:tc>
        <w:tcPr>
          <w:tcW w:w="2600" w:type="dxa"/>
          <w:tcMar>
            <w:top w:w="200" w:type="dxa"/>
          </w:tcMar>
          <w:vAlign w:val="center"/>
        </w:tc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Michael Fiorenza</w: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Michael Fiorenza</w:t>
          </w:r>
        </w:p>
      </w:tc>
      <w:tc>
        <w:tcPr>
          <w:tcW w:w="2600" w:type="dxa"/>
          <w:tcMar>
            <w:top w:w="200" w:type="dxa"/>
          </w:tcMar>
          <w:vAlign w:val="center"/>
        </w:tc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Michael Fiorenza</w: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Michael Fiorenza</w:t>
          </w:r>
        </w:p>
      </w:tc>
      <w:tc>
        <w:tcPr>
          <w:tcW w:w="2600" w:type="dxa"/>
          <w:tcMar>
            <w:top w:w="200" w:type="dxa"/>
          </w:tcMar>
          <w:vAlign w:val="center"/>
        </w:tc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Michael Fiorenza</w:t>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Michael Fiorenza</w:t>
          </w:r>
        </w:p>
      </w:tc>
      <w:tc>
        <w:tcPr>
          <w:tcW w:w="2600" w:type="dxa"/>
          <w:tcMar>
            <w:top w:w="200" w:type="dxa"/>
          </w:tcMar>
          <w:vAlign w:val="center"/>
        </w:tc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Michael Fiorenza</w:t>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Michael Fiorenza</w:t>
          </w:r>
        </w:p>
      </w:tc>
      <w:tc>
        <w:tcPr>
          <w:tcW w:w="2600" w:type="dxa"/>
          <w:tcMar>
            <w:top w:w="200" w:type="dxa"/>
          </w:tcMar>
          <w:vAlign w:val="center"/>
        </w:tc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Michael Fiorenza</w:t>
    </w: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Michael Fiorenza</w:t>
          </w:r>
        </w:p>
      </w:tc>
      <w:tc>
        <w:tcPr>
          <w:tcW w:w="2600" w:type="dxa"/>
          <w:tcMar>
            <w:top w:w="200" w:type="dxa"/>
          </w:tcMar>
          <w:vAlign w:val="center"/>
        </w:tc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Michael Fiorenza</w: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MPJI-Cr 2:00</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MPJI-Cr 2:01</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MPJI-Cr 2:02</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MPJI-Cr 2:03</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MPJI-Cr 2:04</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MPJI-Cr 2:05</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id=urn:contentItem:5T0Y-CDN0-01KN-B00C-00000-00&amp;idtype=PID&amp;context=1000516" TargetMode="External" /><Relationship Id="rId100" Type="http://schemas.openxmlformats.org/officeDocument/2006/relationships/hyperlink" Target="https://advance.lexis.com/api/document?collection=cases&amp;id=urn:contentItem:3RX4-3R00-003G-21XC-00000-00&amp;context=" TargetMode="External" /><Relationship Id="rId101" Type="http://schemas.openxmlformats.org/officeDocument/2006/relationships/hyperlink" Target="https://advance.lexis.com/api/document?collection=cases&amp;id=urn:contentItem:3RX4-8TR0-003G-24PN-00000-00&amp;context=" TargetMode="External" /><Relationship Id="rId102" Type="http://schemas.openxmlformats.org/officeDocument/2006/relationships/hyperlink" Target="https://advance.lexis.com/api/document?collection=cases&amp;id=urn:contentItem:3RX4-8TT0-003G-24PT-00000-00&amp;context=" TargetMode="External" /><Relationship Id="rId103" Type="http://schemas.openxmlformats.org/officeDocument/2006/relationships/hyperlink" Target="https://advance.lexis.com/api/document?collection=cases&amp;id=urn:contentItem:48XV-RRN0-0039-43HW-00000-00&amp;context=" TargetMode="External" /><Relationship Id="rId104" Type="http://schemas.openxmlformats.org/officeDocument/2006/relationships/header" Target="header13.xml" /><Relationship Id="rId105" Type="http://schemas.openxmlformats.org/officeDocument/2006/relationships/header" Target="header14.xml" /><Relationship Id="rId106" Type="http://schemas.openxmlformats.org/officeDocument/2006/relationships/footer" Target="footer13.xml" /><Relationship Id="rId107" Type="http://schemas.openxmlformats.org/officeDocument/2006/relationships/footer" Target="footer14.xml" /><Relationship Id="rId108" Type="http://schemas.openxmlformats.org/officeDocument/2006/relationships/header" Target="header15.xml" /><Relationship Id="rId109" Type="http://schemas.openxmlformats.org/officeDocument/2006/relationships/footer" Target="footer15.xml" /><Relationship Id="rId11" Type="http://schemas.openxmlformats.org/officeDocument/2006/relationships/header" Target="header1.xml" /><Relationship Id="rId110" Type="http://schemas.openxmlformats.org/officeDocument/2006/relationships/hyperlink" Target="https://advance.lexis.com/api/document?collection=jury-instructions&amp;id=urn:contentItem:5T0Y-CDN0-01KN-B009-00000-00&amp;context=" TargetMode="External" /><Relationship Id="rId111" Type="http://schemas.openxmlformats.org/officeDocument/2006/relationships/hyperlink" Target="https://advance.lexis.com/api/document?collection=cases&amp;id=urn:contentItem:3RX4-C6P0-003G-200G-00000-00&amp;context=" TargetMode="External" /><Relationship Id="rId112" Type="http://schemas.openxmlformats.org/officeDocument/2006/relationships/hyperlink" Target="https://advance.lexis.com/api/document?collection=cases&amp;id=urn:contentItem:3RX4-30K0-003G-20F9-00000-00&amp;context=" TargetMode="External" /><Relationship Id="rId113" Type="http://schemas.openxmlformats.org/officeDocument/2006/relationships/hyperlink" Target="https://advance.lexis.com/api/document?collection=cases&amp;id=urn:contentItem:3S65-KRR0-003B-R0G0-00000-00&amp;context=" TargetMode="External" /><Relationship Id="rId114" Type="http://schemas.openxmlformats.org/officeDocument/2006/relationships/hyperlink" Target="https://advance.lexis.com/api/document?collection=cases&amp;id=urn:contentItem:3WKW-XW40-004B-Y01F-00000-00&amp;context=" TargetMode="External" /><Relationship Id="rId115" Type="http://schemas.openxmlformats.org/officeDocument/2006/relationships/hyperlink" Target="https://advance.lexis.com/api/document?collection=cases&amp;id=urn:contentItem:51F3-YF11-652M-6000-00000-00&amp;context=" TargetMode="External" /><Relationship Id="rId116" Type="http://schemas.openxmlformats.org/officeDocument/2006/relationships/hyperlink" Target="https://advance.lexis.com/api/document?collection=cases&amp;id=urn:contentItem:3RX4-3VP0-003G-225R-00000-00&amp;context=" TargetMode="External" /><Relationship Id="rId117" Type="http://schemas.openxmlformats.org/officeDocument/2006/relationships/hyperlink" Target="https://advance.lexis.com/api/document?collection=cases&amp;id=urn:contentItem:3RX4-9VW0-003G-21Y1-00000-00&amp;context=" TargetMode="External" /><Relationship Id="rId118" Type="http://schemas.openxmlformats.org/officeDocument/2006/relationships/hyperlink" Target="https://advance.lexis.com/api/document?collection=analytical-materials&amp;id=urn:contentItem:5TM2-0G30-00CR-129S-00000-00&amp;context=" TargetMode="External" /><Relationship Id="rId119" Type="http://schemas.openxmlformats.org/officeDocument/2006/relationships/hyperlink" Target="https://advance.lexis.com/api/document?collection=cases&amp;id=urn:contentItem:3RX4-3860-003G-2106-00000-00&amp;context=" TargetMode="External" /><Relationship Id="rId12" Type="http://schemas.openxmlformats.org/officeDocument/2006/relationships/header" Target="header2.xml" /><Relationship Id="rId120" Type="http://schemas.openxmlformats.org/officeDocument/2006/relationships/hyperlink" Target="https://advance.lexis.com/api/document?collection=cases&amp;id=urn:contentItem:3RX4-56S0-003G-2557-00000-00&amp;context=" TargetMode="External" /><Relationship Id="rId121" Type="http://schemas.openxmlformats.org/officeDocument/2006/relationships/hyperlink" Target="https://advance.lexis.com/api/document?collection=cases&amp;id=urn:contentItem:3RX4-9FR0-003G-2100-00000-00&amp;context=" TargetMode="External" /><Relationship Id="rId122" Type="http://schemas.openxmlformats.org/officeDocument/2006/relationships/hyperlink" Target="https://advance.lexis.com/api/document?collection=cases&amp;id=urn:contentItem:3RX4-39R0-003G-2136-00000-00&amp;context=" TargetMode="External" /><Relationship Id="rId123" Type="http://schemas.openxmlformats.org/officeDocument/2006/relationships/header" Target="header16.xml" /><Relationship Id="rId124" Type="http://schemas.openxmlformats.org/officeDocument/2006/relationships/header" Target="header17.xml" /><Relationship Id="rId125" Type="http://schemas.openxmlformats.org/officeDocument/2006/relationships/footer" Target="footer16.xml" /><Relationship Id="rId126" Type="http://schemas.openxmlformats.org/officeDocument/2006/relationships/footer" Target="footer17.xml" /><Relationship Id="rId127" Type="http://schemas.openxmlformats.org/officeDocument/2006/relationships/header" Target="header18.xml" /><Relationship Id="rId128" Type="http://schemas.openxmlformats.org/officeDocument/2006/relationships/footer" Target="footer18.xml" /><Relationship Id="rId129" Type="http://schemas.openxmlformats.org/officeDocument/2006/relationships/hyperlink" Target="https://advance.lexis.com/api/document?collection=jury-instructions&amp;id=urn:contentItem:5T0Y-CDN0-01KN-B00B-00000-00&amp;context=" TargetMode="External" /><Relationship Id="rId13" Type="http://schemas.openxmlformats.org/officeDocument/2006/relationships/footer" Target="footer1.xml" /><Relationship Id="rId130" Type="http://schemas.openxmlformats.org/officeDocument/2006/relationships/hyperlink" Target="https://advance.lexis.com/api/document?collection=cases&amp;id=urn:contentItem:3XVN-DG30-00KR-F2P0-00000-00&amp;context=" TargetMode="External" /><Relationship Id="rId131" Type="http://schemas.openxmlformats.org/officeDocument/2006/relationships/hyperlink" Target="https://advance.lexis.com/api/document?collection=cases&amp;id=urn:contentItem:3RX4-51R0-003G-24NX-00000-00&amp;context=" TargetMode="External" /><Relationship Id="rId132" Type="http://schemas.openxmlformats.org/officeDocument/2006/relationships/hyperlink" Target="https://advance.lexis.com/api/document?collection=cases&amp;id=urn:contentItem:3RX4-9190-003G-255G-00000-00&amp;context=" TargetMode="External" /><Relationship Id="rId133" Type="http://schemas.openxmlformats.org/officeDocument/2006/relationships/hyperlink" Target="https://advance.lexis.com/api/document?collection=cases&amp;id=urn:contentItem:3RX4-3670-003G-20VD-00000-00&amp;context=" TargetMode="External" /><Relationship Id="rId134" Type="http://schemas.openxmlformats.org/officeDocument/2006/relationships/hyperlink" Target="https://advance.lexis.com/api/document?collection=cases&amp;id=urn:contentItem:3S65-KSH0-003B-R12N-00000-00&amp;context=" TargetMode="External" /><Relationship Id="rId135" Type="http://schemas.openxmlformats.org/officeDocument/2006/relationships/hyperlink" Target="https://advance.lexis.com/api/document?collection=cases&amp;id=urn:contentItem:3S4X-3BD0-003B-S308-00000-00&amp;context=" TargetMode="External" /><Relationship Id="rId136" Type="http://schemas.openxmlformats.org/officeDocument/2006/relationships/hyperlink" Target="https://advance.lexis.com/api/document?collection=cases&amp;id=urn:contentItem:3RX4-CF30-003G-20HD-00000-00&amp;context=" TargetMode="External" /><Relationship Id="rId137" Type="http://schemas.openxmlformats.org/officeDocument/2006/relationships/hyperlink" Target="https://advance.lexis.com/api/document?collection=cases&amp;id=urn:contentItem:3RX4-83S0-003G-231C-00000-00&amp;context=" TargetMode="External" /><Relationship Id="rId138" Type="http://schemas.openxmlformats.org/officeDocument/2006/relationships/hyperlink" Target="https://advance.lexis.com/api/document?collection=cases&amp;id=urn:contentItem:3S12-2C40-003D-Y16X-00000-00&amp;context=" TargetMode="External" /><Relationship Id="rId139" Type="http://schemas.openxmlformats.org/officeDocument/2006/relationships/hyperlink" Target="https://advance.lexis.com/api/document?collection=cases&amp;id=urn:contentItem:3RX4-CJB0-003G-20VK-00000-00&amp;context=" TargetMode="External" /><Relationship Id="rId14" Type="http://schemas.openxmlformats.org/officeDocument/2006/relationships/footer" Target="footer2.xml" /><Relationship Id="rId140" Type="http://schemas.openxmlformats.org/officeDocument/2006/relationships/hyperlink" Target="https://advance.lexis.com/api/document?collection=cases&amp;id=urn:contentItem:3RX4-9H70-003G-213K-00000-00&amp;context=" TargetMode="External" /><Relationship Id="rId141" Type="http://schemas.openxmlformats.org/officeDocument/2006/relationships/hyperlink" Target="https://advance.lexis.com/api/document?collection=cases&amp;id=urn:contentItem:4KJ6-RSK0-0039-4284-00000-00&amp;context=" TargetMode="External" /><Relationship Id="rId142" Type="http://schemas.openxmlformats.org/officeDocument/2006/relationships/hyperlink" Target="https://advance.lexis.com/api/document?collection=cases&amp;id=urn:contentItem:3Y5D-9H60-0039-4153-00000-00&amp;context=" TargetMode="External" /><Relationship Id="rId143" Type="http://schemas.openxmlformats.org/officeDocument/2006/relationships/hyperlink" Target="https://advance.lexis.com/api/document?collection=cases&amp;id=urn:contentItem:3S12-2RB0-003D-Y2V1-00000-00&amp;context=" TargetMode="External" /><Relationship Id="rId144" Type="http://schemas.openxmlformats.org/officeDocument/2006/relationships/hyperlink" Target="https://advance.lexis.com/api/document?collection=cases&amp;id=urn:contentItem:3S12-3J60-003D-Y139-00000-00&amp;context=" TargetMode="External" /><Relationship Id="rId145" Type="http://schemas.openxmlformats.org/officeDocument/2006/relationships/hyperlink" Target="https://advance.lexis.com/api/document?collection=cases&amp;id=urn:contentItem:3RX4-5490-003G-24XB-00000-00&amp;context=" TargetMode="External" /><Relationship Id="rId146" Type="http://schemas.openxmlformats.org/officeDocument/2006/relationships/hyperlink" Target="https://advance.lexis.com/api/document?collection=cases&amp;id=urn:contentItem:45TC-P8N0-0039-425P-00000-00&amp;context=" TargetMode="External" /><Relationship Id="rId147" Type="http://schemas.openxmlformats.org/officeDocument/2006/relationships/hyperlink" Target="https://advance.lexis.com/api/document?collection=cases&amp;id=urn:contentItem:46N2-FS40-0039-425H-00000-00&amp;context=" TargetMode="External" /><Relationship Id="rId148" Type="http://schemas.openxmlformats.org/officeDocument/2006/relationships/hyperlink" Target="https://advance.lexis.com/api/document?collection=cases&amp;id=urn:contentItem:4H8G-FM60-0039-44JV-00000-00&amp;context=" TargetMode="External" /><Relationship Id="rId149" Type="http://schemas.openxmlformats.org/officeDocument/2006/relationships/hyperlink" Target="https://advance.lexis.com/api/document?collection=cases&amp;id=urn:contentItem:7XX5-BMS0-YB0R-M000-00000-00&amp;context=" TargetMode="External" /><Relationship Id="rId15" Type="http://schemas.openxmlformats.org/officeDocument/2006/relationships/header" Target="header3.xml" /><Relationship Id="rId150" Type="http://schemas.openxmlformats.org/officeDocument/2006/relationships/hyperlink" Target="https://advance.lexis.com/api/document?collection=cases&amp;id=urn:contentItem:521G-HNN1-652M-600D-00000-00&amp;context=" TargetMode="External" /><Relationship Id="rId151" Type="http://schemas.openxmlformats.org/officeDocument/2006/relationships/hyperlink" Target="https://advance.lexis.com/api/document?collection=cases&amp;id=urn:contentItem:5BK0-4HS1-F04G-S0SJ-00000-00&amp;context=" TargetMode="External" /><Relationship Id="rId152" Type="http://schemas.openxmlformats.org/officeDocument/2006/relationships/hyperlink" Target="https://advance.lexis.com/api/document?collection=cases&amp;id=urn:contentItem:7YRD-XY81-2RHN-X000-00000-00&amp;context=" TargetMode="External" /><Relationship Id="rId153" Type="http://schemas.openxmlformats.org/officeDocument/2006/relationships/header" Target="header19.xml" /><Relationship Id="rId154" Type="http://schemas.openxmlformats.org/officeDocument/2006/relationships/header" Target="header20.xml" /><Relationship Id="rId155" Type="http://schemas.openxmlformats.org/officeDocument/2006/relationships/footer" Target="footer19.xml" /><Relationship Id="rId156" Type="http://schemas.openxmlformats.org/officeDocument/2006/relationships/footer" Target="footer20.xml" /><Relationship Id="rId157" Type="http://schemas.openxmlformats.org/officeDocument/2006/relationships/header" Target="header21.xml" /><Relationship Id="rId158" Type="http://schemas.openxmlformats.org/officeDocument/2006/relationships/footer" Target="footer21.xml" /><Relationship Id="rId159" Type="http://schemas.openxmlformats.org/officeDocument/2006/relationships/hyperlink" Target="https://advance.lexis.com/api/document?collection=jury-instructions&amp;id=urn:contentItem:5T0Y-CDN0-01KN-B00C-00000-00&amp;context=" TargetMode="External" /><Relationship Id="rId16" Type="http://schemas.openxmlformats.org/officeDocument/2006/relationships/footer" Target="footer3.xml" /><Relationship Id="rId160" Type="http://schemas.openxmlformats.org/officeDocument/2006/relationships/hyperlink" Target="https://advance.lexis.com/api/document?collection=cases&amp;id=urn:contentItem:7VNX-8PD1-2R6J-22B6-00000-00&amp;context=" TargetMode="External" /><Relationship Id="rId161" Type="http://schemas.openxmlformats.org/officeDocument/2006/relationships/hyperlink" Target="https://advance.lexis.com/api/document?collection=cases&amp;id=urn:contentItem:48TW-51T0-0039-40D2-00000-00&amp;context=" TargetMode="External" /><Relationship Id="rId162" Type="http://schemas.openxmlformats.org/officeDocument/2006/relationships/hyperlink" Target="https://advance.lexis.com/api/document?collection=cases&amp;id=urn:contentItem:3RX4-9HM0-003G-214D-00000-00&amp;context=" TargetMode="External" /><Relationship Id="rId163" Type="http://schemas.openxmlformats.org/officeDocument/2006/relationships/styles" Target="styles.xml" /><Relationship Id="rId17" Type="http://schemas.openxmlformats.org/officeDocument/2006/relationships/header" Target="header4.xml" /><Relationship Id="rId18" Type="http://schemas.openxmlformats.org/officeDocument/2006/relationships/header" Target="header5.xml" /><Relationship Id="rId19" Type="http://schemas.openxmlformats.org/officeDocument/2006/relationships/footer" Target="footer4.xml" /><Relationship Id="rId2" Type="http://schemas.openxmlformats.org/officeDocument/2006/relationships/webSettings" Target="webSettings.xml" /><Relationship Id="rId20" Type="http://schemas.openxmlformats.org/officeDocument/2006/relationships/footer" Target="footer5.xml" /><Relationship Id="rId21" Type="http://schemas.openxmlformats.org/officeDocument/2006/relationships/header" Target="header6.xml" /><Relationship Id="rId22" Type="http://schemas.openxmlformats.org/officeDocument/2006/relationships/footer" Target="footer6.xml" /><Relationship Id="rId23" Type="http://schemas.openxmlformats.org/officeDocument/2006/relationships/hyperlink" Target="https://advance.lexis.com/api/document?collection=jury-instructions&amp;id=urn:contentItem:5T0Y-CDN0-01KN-B006-00000-00&amp;context=" TargetMode="External" /><Relationship Id="rId24" Type="http://schemas.openxmlformats.org/officeDocument/2006/relationships/hyperlink" Target="https://advance.lexis.com/api/document?collection=cases&amp;id=urn:contentItem:3RX4-3K70-003G-21MV-00000-00&amp;context=" TargetMode="External" /><Relationship Id="rId25" Type="http://schemas.openxmlformats.org/officeDocument/2006/relationships/hyperlink" Target="https://advance.lexis.com/api/document?collection=cases&amp;id=urn:contentItem:3RX4-3X90-003G-228T-00000-00&amp;context=" TargetMode="External" /><Relationship Id="rId26" Type="http://schemas.openxmlformats.org/officeDocument/2006/relationships/hyperlink" Target="https://advance.lexis.com/api/document?collection=cases&amp;id=urn:contentItem:4TP9-GBC0-TX4N-G10B-00000-00&amp;context=" TargetMode="External" /><Relationship Id="rId27" Type="http://schemas.openxmlformats.org/officeDocument/2006/relationships/hyperlink" Target="https://advance.lexis.com/api/document?collection=cases&amp;id=urn:contentItem:3RX4-BJ60-003G-23MD-00000-00&amp;context=" TargetMode="External" /><Relationship Id="rId28" Type="http://schemas.openxmlformats.org/officeDocument/2006/relationships/hyperlink" Target="https://advance.lexis.com/api/document?collection=cases&amp;id=urn:contentItem:3RX4-36N0-003G-20W4-00000-00&amp;context=" TargetMode="External" /><Relationship Id="rId29" Type="http://schemas.openxmlformats.org/officeDocument/2006/relationships/hyperlink" Target="https://advance.lexis.com/api/document?collection=cases&amp;id=urn:contentItem:3RX4-3TD0-003G-2235-00000-00&amp;context=" TargetMode="External" /><Relationship Id="rId3" Type="http://schemas.openxmlformats.org/officeDocument/2006/relationships/fontTable" Target="fontTable.xml" /><Relationship Id="rId30" Type="http://schemas.openxmlformats.org/officeDocument/2006/relationships/hyperlink" Target="https://advance.lexis.com/api/document?collection=cases&amp;id=urn:contentItem:3RX4-4MG0-003G-23V9-00000-00&amp;context=" TargetMode="External" /><Relationship Id="rId31" Type="http://schemas.openxmlformats.org/officeDocument/2006/relationships/hyperlink" Target="https://advance.lexis.com/api/document?collection=cases&amp;id=urn:contentItem:3RX4-4R80-003G-241M-00000-00&amp;context=" TargetMode="External" /><Relationship Id="rId32" Type="http://schemas.openxmlformats.org/officeDocument/2006/relationships/hyperlink" Target="https://advance.lexis.com/api/document?collection=cases&amp;id=urn:contentItem:3RX4-9VB0-003G-21WS-00000-00&amp;context=" TargetMode="External" /><Relationship Id="rId33" Type="http://schemas.openxmlformats.org/officeDocument/2006/relationships/hyperlink" Target="https://advance.lexis.com/api/document?collection=cases&amp;id=urn:contentItem:3RX4-96M0-003G-20BX-00000-00&amp;context=" TargetMode="External" /><Relationship Id="rId34" Type="http://schemas.openxmlformats.org/officeDocument/2006/relationships/hyperlink" Target="https://advance.lexis.com/api/document?collection=cases&amp;id=urn:contentItem:3RX4-3C20-003G-215W-00000-00&amp;context=" TargetMode="External" /><Relationship Id="rId35" Type="http://schemas.openxmlformats.org/officeDocument/2006/relationships/hyperlink" Target="https://advance.lexis.com/api/document?collection=cases&amp;id=urn:contentItem:3RX4-B0P0-003G-2286-00000-00&amp;context=" TargetMode="External" /><Relationship Id="rId36" Type="http://schemas.openxmlformats.org/officeDocument/2006/relationships/hyperlink" Target="https://advance.lexis.com/api/document?collection=cases&amp;id=urn:contentItem:3RX4-9TH0-003G-21TM-00000-00&amp;context=" TargetMode="External" /><Relationship Id="rId37" Type="http://schemas.openxmlformats.org/officeDocument/2006/relationships/hyperlink" Target="https://advance.lexis.com/api/document?collection=cases&amp;id=urn:contentItem:3RX4-9570-003G-207J-00000-00&amp;context=" TargetMode="External" /><Relationship Id="rId38" Type="http://schemas.openxmlformats.org/officeDocument/2006/relationships/hyperlink" Target="https://advance.lexis.com/api/document?collection=cases&amp;id=urn:contentItem:3RX4-3CN0-003G-2171-00000-00&amp;context=" TargetMode="External" /><Relationship Id="rId39" Type="http://schemas.openxmlformats.org/officeDocument/2006/relationships/hyperlink" Target="https://advance.lexis.com/api/document?collection=cases&amp;id=urn:contentItem:83FX-B5W1-652M-6030-00000-00&amp;context=" TargetMode="External" /><Relationship Id="rId4" Type="http://schemas.openxmlformats.org/officeDocument/2006/relationships/image" Target="media/image1.png" /><Relationship Id="rId40" Type="http://schemas.openxmlformats.org/officeDocument/2006/relationships/header" Target="header7.xml" /><Relationship Id="rId41" Type="http://schemas.openxmlformats.org/officeDocument/2006/relationships/header" Target="header8.xml" /><Relationship Id="rId42" Type="http://schemas.openxmlformats.org/officeDocument/2006/relationships/footer" Target="footer7.xml" /><Relationship Id="rId43" Type="http://schemas.openxmlformats.org/officeDocument/2006/relationships/footer" Target="footer8.xml" /><Relationship Id="rId44" Type="http://schemas.openxmlformats.org/officeDocument/2006/relationships/header" Target="header9.xml" /><Relationship Id="rId45" Type="http://schemas.openxmlformats.org/officeDocument/2006/relationships/footer" Target="footer9.xml" /><Relationship Id="rId46" Type="http://schemas.openxmlformats.org/officeDocument/2006/relationships/hyperlink" Target="https://advance.lexis.com/api/document?collection=jury-instructions&amp;id=urn:contentItem:5T0Y-CDN0-01KN-B007-00000-00&amp;context=" TargetMode="External" /><Relationship Id="rId47" Type="http://schemas.openxmlformats.org/officeDocument/2006/relationships/hyperlink" Target="https://advance.lexis.com/api/document?collection=cases&amp;id=urn:contentItem:3RX4-3WR0-003G-227K-00000-00&amp;context=" TargetMode="External" /><Relationship Id="rId48" Type="http://schemas.openxmlformats.org/officeDocument/2006/relationships/hyperlink" Target="https://advance.lexis.com/api/document?collection=cases&amp;id=urn:contentItem:3S4X-F280-003B-43M2-00000-00&amp;context=" TargetMode="External" /><Relationship Id="rId49" Type="http://schemas.openxmlformats.org/officeDocument/2006/relationships/hyperlink" Target="https://advance.lexis.com/api/document?collection=cases&amp;id=urn:contentItem:7YFJ-27F1-2RHN-X002-00000-00&amp;context=" TargetMode="External" /><Relationship Id="rId5" Type="http://schemas.openxmlformats.org/officeDocument/2006/relationships/hyperlink" Target="https://advance.lexis.com/api/document?id=urn:contentItem:5T0Y-CDN0-01KN-B006-00000-00&amp;idtype=PID&amp;context=1000516" TargetMode="External" /><Relationship Id="rId50" Type="http://schemas.openxmlformats.org/officeDocument/2006/relationships/hyperlink" Target="https://advance.lexis.com/api/document?collection=cases&amp;id=urn:contentItem:3RX4-30Y0-003G-20FW-00000-00&amp;context=" TargetMode="External" /><Relationship Id="rId51" Type="http://schemas.openxmlformats.org/officeDocument/2006/relationships/hyperlink" Target="https://advance.lexis.com/api/document?collection=cases&amp;id=urn:contentItem:3RX4-32B0-003G-20JT-00000-00&amp;context=" TargetMode="External" /><Relationship Id="rId52" Type="http://schemas.openxmlformats.org/officeDocument/2006/relationships/hyperlink" Target="https://advance.lexis.com/api/document?collection=cases&amp;id=urn:contentItem:3RX4-6BB0-003G-22YB-00000-00&amp;context=" TargetMode="External" /><Relationship Id="rId53" Type="http://schemas.openxmlformats.org/officeDocument/2006/relationships/hyperlink" Target="https://advance.lexis.com/api/document?collection=cases&amp;id=urn:contentItem:3S4X-DN70-003B-H1XP-00000-00&amp;context=" TargetMode="External" /><Relationship Id="rId54" Type="http://schemas.openxmlformats.org/officeDocument/2006/relationships/hyperlink" Target="https://advance.lexis.com/api/document?collection=cases&amp;id=urn:contentItem:3RX4-58W0-003G-204G-00000-00&amp;context=" TargetMode="External" /><Relationship Id="rId55" Type="http://schemas.openxmlformats.org/officeDocument/2006/relationships/hyperlink" Target="https://advance.lexis.com/api/document?collection=cases&amp;id=urn:contentItem:3RX4-47N0-003G-2316-00000-00&amp;context=" TargetMode="External" /><Relationship Id="rId56" Type="http://schemas.openxmlformats.org/officeDocument/2006/relationships/hyperlink" Target="https://advance.lexis.com/api/document?collection=cases&amp;id=urn:contentItem:4KST-VC70-0039-40YM-00000-00&amp;context=" TargetMode="External" /><Relationship Id="rId57" Type="http://schemas.openxmlformats.org/officeDocument/2006/relationships/hyperlink" Target="https://advance.lexis.com/api/document?collection=cases&amp;id=urn:contentItem:3RX4-3C80-003G-2168-00000-00&amp;context=" TargetMode="External" /><Relationship Id="rId58" Type="http://schemas.openxmlformats.org/officeDocument/2006/relationships/hyperlink" Target="https://advance.lexis.com/api/document?collection=cases&amp;id=urn:contentItem:4S1C-C2H0-TX4N-G0HG-00000-00&amp;context=" TargetMode="External" /><Relationship Id="rId59" Type="http://schemas.openxmlformats.org/officeDocument/2006/relationships/hyperlink" Target="https://advance.lexis.com/api/document?collection=cases&amp;id=urn:contentItem:475C-GPD0-0039-44JF-00000-00&amp;context=" TargetMode="External" /><Relationship Id="rId6" Type="http://schemas.openxmlformats.org/officeDocument/2006/relationships/hyperlink" Target="https://advance.lexis.com/api/document?id=urn:contentItem:5T0Y-CDN0-01KN-B007-00000-00&amp;idtype=PID&amp;context=1000516" TargetMode="External" /><Relationship Id="rId60" Type="http://schemas.openxmlformats.org/officeDocument/2006/relationships/hyperlink" Target="https://advance.lexis.com/api/document?collection=cases&amp;id=urn:contentItem:3RX4-9F40-003G-20XM-00000-00&amp;context=" TargetMode="External" /><Relationship Id="rId61" Type="http://schemas.openxmlformats.org/officeDocument/2006/relationships/hyperlink" Target="https://advance.lexis.com/api/document?collection=cases&amp;id=urn:contentItem:3RX4-3M80-003G-21PX-00000-00&amp;context=" TargetMode="External" /><Relationship Id="rId62" Type="http://schemas.openxmlformats.org/officeDocument/2006/relationships/hyperlink" Target="https://advance.lexis.com/api/document?collection=cases&amp;id=urn:contentItem:3RX4-9SC0-003G-21PV-00000-00&amp;context=" TargetMode="External" /><Relationship Id="rId63" Type="http://schemas.openxmlformats.org/officeDocument/2006/relationships/hyperlink" Target="https://advance.lexis.com/api/document?collection=cases&amp;id=urn:contentItem:3RX4-47M0-003G-2315-00000-00&amp;context=" TargetMode="External" /><Relationship Id="rId64" Type="http://schemas.openxmlformats.org/officeDocument/2006/relationships/hyperlink" Target="https://advance.lexis.com/api/document?collection=cases&amp;id=urn:contentItem:4JPY-X630-0039-434D-00000-00&amp;context=" TargetMode="External" /><Relationship Id="rId65" Type="http://schemas.openxmlformats.org/officeDocument/2006/relationships/hyperlink" Target="https://advance.lexis.com/api/document?collection=cases&amp;id=urn:contentItem:4TMJ-T970-TX4N-G1M7-00000-00&amp;context=" TargetMode="External" /><Relationship Id="rId66" Type="http://schemas.openxmlformats.org/officeDocument/2006/relationships/hyperlink" Target="https://advance.lexis.com/api/document?collection=cases&amp;id=urn:contentItem:52PW-R4R1-652M-6020-00000-00&amp;context=" TargetMode="External" /><Relationship Id="rId67" Type="http://schemas.openxmlformats.org/officeDocument/2006/relationships/hyperlink" Target="https://advance.lexis.com/api/document?collection=cases&amp;id=urn:contentItem:3RX4-38T0-003G-211G-00000-00&amp;context=" TargetMode="External" /><Relationship Id="rId68" Type="http://schemas.openxmlformats.org/officeDocument/2006/relationships/hyperlink" Target="https://advance.lexis.com/api/document?collection=cases&amp;id=urn:contentItem:3RX4-90C0-003G-253D-00000-00&amp;context=" TargetMode="External" /><Relationship Id="rId69" Type="http://schemas.openxmlformats.org/officeDocument/2006/relationships/hyperlink" Target="https://advance.lexis.com/api/document?collection=cases&amp;id=urn:contentItem:49GV-JTP0-0039-4327-00000-00&amp;context=" TargetMode="External" /><Relationship Id="rId7" Type="http://schemas.openxmlformats.org/officeDocument/2006/relationships/hyperlink" Target="https://advance.lexis.com/api/document?id=urn:contentItem:5T0Y-CDN0-01KN-B008-00000-00&amp;idtype=PID&amp;context=1000516" TargetMode="External" /><Relationship Id="rId70" Type="http://schemas.openxmlformats.org/officeDocument/2006/relationships/header" Target="header10.xml" /><Relationship Id="rId71" Type="http://schemas.openxmlformats.org/officeDocument/2006/relationships/header" Target="header11.xml" /><Relationship Id="rId72" Type="http://schemas.openxmlformats.org/officeDocument/2006/relationships/footer" Target="footer10.xml" /><Relationship Id="rId73" Type="http://schemas.openxmlformats.org/officeDocument/2006/relationships/footer" Target="footer11.xml" /><Relationship Id="rId74" Type="http://schemas.openxmlformats.org/officeDocument/2006/relationships/header" Target="header12.xml" /><Relationship Id="rId75" Type="http://schemas.openxmlformats.org/officeDocument/2006/relationships/footer" Target="footer12.xml" /><Relationship Id="rId76" Type="http://schemas.openxmlformats.org/officeDocument/2006/relationships/hyperlink" Target="https://advance.lexis.com/api/document?collection=jury-instructions&amp;id=urn:contentItem:5T0Y-CDN0-01KN-B008-00000-00&amp;context=" TargetMode="External" /><Relationship Id="rId77" Type="http://schemas.openxmlformats.org/officeDocument/2006/relationships/hyperlink" Target="https://advance.lexis.com/api/document?collection=cases&amp;id=urn:contentItem:56NS-VXR1-F04G-S0TK-00000-00&amp;context=" TargetMode="External" /><Relationship Id="rId78" Type="http://schemas.openxmlformats.org/officeDocument/2006/relationships/hyperlink" Target="https://advance.lexis.com/api/document?collection=cases&amp;id=urn:contentItem:54DG-25R1-F04G-T00H-00000-00&amp;context=" TargetMode="External" /><Relationship Id="rId79" Type="http://schemas.openxmlformats.org/officeDocument/2006/relationships/hyperlink" Target="https://advance.lexis.com/api/document?collection=cases&amp;id=urn:contentItem:3RX4-3GC0-003G-21DT-00000-00&amp;context=" TargetMode="External" /><Relationship Id="rId8" Type="http://schemas.openxmlformats.org/officeDocument/2006/relationships/hyperlink" Target="https://advance.lexis.com/api/document?id=urn:contentItem:5T0Y-CDN0-01KN-B009-00000-00&amp;idtype=PID&amp;context=1000516" TargetMode="External" /><Relationship Id="rId80" Type="http://schemas.openxmlformats.org/officeDocument/2006/relationships/hyperlink" Target="https://advance.lexis.com/api/document?collection=cases&amp;id=urn:contentItem:3RX4-3850-003G-2103-00000-00&amp;context=" TargetMode="External" /><Relationship Id="rId81" Type="http://schemas.openxmlformats.org/officeDocument/2006/relationships/hyperlink" Target="https://advance.lexis.com/api/document?collection=cases&amp;id=urn:contentItem:3RX4-4H10-003G-23JY-00000-00&amp;context=" TargetMode="External" /><Relationship Id="rId82" Type="http://schemas.openxmlformats.org/officeDocument/2006/relationships/hyperlink" Target="https://advance.lexis.com/api/document?collection=cases&amp;id=urn:contentItem:3RX4-4T30-003G-2451-00000-00&amp;context=" TargetMode="External" /><Relationship Id="rId83" Type="http://schemas.openxmlformats.org/officeDocument/2006/relationships/hyperlink" Target="https://advance.lexis.com/api/document?collection=cases&amp;id=urn:contentItem:3S12-3BS0-003D-Y06S-00000-00&amp;context=" TargetMode="External" /><Relationship Id="rId84" Type="http://schemas.openxmlformats.org/officeDocument/2006/relationships/hyperlink" Target="https://advance.lexis.com/api/document?collection=cases&amp;id=urn:contentItem:3RX4-B620-003G-22RJ-00000-00&amp;context=" TargetMode="External" /><Relationship Id="rId85" Type="http://schemas.openxmlformats.org/officeDocument/2006/relationships/hyperlink" Target="https://advance.lexis.com/api/document?collection=cases&amp;id=urn:contentItem:3S4X-9X10-003B-S2X3-00000-00&amp;context=" TargetMode="External" /><Relationship Id="rId86" Type="http://schemas.openxmlformats.org/officeDocument/2006/relationships/hyperlink" Target="https://advance.lexis.com/api/document?collection=cases&amp;id=urn:contentItem:3S4X-8TJ0-003B-S1WG-00000-00&amp;context=" TargetMode="External" /><Relationship Id="rId87" Type="http://schemas.openxmlformats.org/officeDocument/2006/relationships/hyperlink" Target="https://advance.lexis.com/api/document?collection=cases&amp;id=urn:contentItem:3S4X-9D60-003B-S1PK-00000-00&amp;context=" TargetMode="External" /><Relationship Id="rId88" Type="http://schemas.openxmlformats.org/officeDocument/2006/relationships/hyperlink" Target="https://advance.lexis.com/api/document?collection=cases&amp;id=urn:contentItem:3S4X-BRT0-003B-S25H-00000-00&amp;context=" TargetMode="External" /><Relationship Id="rId89" Type="http://schemas.openxmlformats.org/officeDocument/2006/relationships/hyperlink" Target="https://advance.lexis.com/api/document?collection=cases&amp;id=urn:contentItem:3RX4-C1M0-003G-24T5-00000-00&amp;context=" TargetMode="External" /><Relationship Id="rId9" Type="http://schemas.openxmlformats.org/officeDocument/2006/relationships/hyperlink" Target="https://advance.lexis.com/api/document?id=urn:contentItem:5T0Y-CDN0-01KN-B00B-00000-00&amp;idtype=PID&amp;context=1000516" TargetMode="External" /><Relationship Id="rId90" Type="http://schemas.openxmlformats.org/officeDocument/2006/relationships/hyperlink" Target="https://advance.lexis.com/api/document?collection=cases&amp;id=urn:contentItem:3RX4-5G60-003G-20M2-00000-00&amp;context=" TargetMode="External" /><Relationship Id="rId91" Type="http://schemas.openxmlformats.org/officeDocument/2006/relationships/hyperlink" Target="https://advance.lexis.com/api/document?collection=cases&amp;id=urn:contentItem:3RX4-BS20-003G-244W-00000-00&amp;context=" TargetMode="External" /><Relationship Id="rId92" Type="http://schemas.openxmlformats.org/officeDocument/2006/relationships/hyperlink" Target="https://advance.lexis.com/api/document?collection=cases&amp;id=urn:contentItem:3S4X-8100-003B-S11K-00000-00&amp;context=" TargetMode="External" /><Relationship Id="rId93" Type="http://schemas.openxmlformats.org/officeDocument/2006/relationships/hyperlink" Target="https://advance.lexis.com/api/document?collection=cases&amp;id=urn:contentItem:3S4X-F240-003B-S2XS-00000-00&amp;context=" TargetMode="External" /><Relationship Id="rId94" Type="http://schemas.openxmlformats.org/officeDocument/2006/relationships/hyperlink" Target="https://advance.lexis.com/api/document?collection=cases&amp;id=urn:contentItem:3RX4-4GH0-003G-23HW-00000-00&amp;context=" TargetMode="External" /><Relationship Id="rId95" Type="http://schemas.openxmlformats.org/officeDocument/2006/relationships/hyperlink" Target="https://advance.lexis.com/api/document?collection=cases&amp;id=urn:contentItem:3RX4-9VC0-003G-21WT-00000-00&amp;context=" TargetMode="External" /><Relationship Id="rId96" Type="http://schemas.openxmlformats.org/officeDocument/2006/relationships/hyperlink" Target="https://advance.lexis.com/api/document?collection=cases&amp;id=urn:contentItem:3RJN-3T30-0039-40XK-00000-00&amp;context=" TargetMode="External" /><Relationship Id="rId97" Type="http://schemas.openxmlformats.org/officeDocument/2006/relationships/hyperlink" Target="https://advance.lexis.com/api/document?collection=cases&amp;id=urn:contentItem:3RX4-9NM0-003G-21G5-00000-00&amp;context=" TargetMode="External" /><Relationship Id="rId98" Type="http://schemas.openxmlformats.org/officeDocument/2006/relationships/hyperlink" Target="https://advance.lexis.com/api/document?collection=cases&amp;id=urn:contentItem:3RX4-3S60-003G-220V-00000-00&amp;context=" TargetMode="External" /><Relationship Id="rId99" Type="http://schemas.openxmlformats.org/officeDocument/2006/relationships/hyperlink" Target="https://advance.lexis.com/api/document?collection=cases&amp;id=urn:contentItem:3RX4-9WJ0-003G-220X-00000-00&amp;context=" TargetMode="External" /></Relationships>
</file>

<file path=word/_rels/footer2.xml.rels>&#65279;<?xml version="1.0" encoding="utf-8" standalone="yes"?><Relationships xmlns="http://schemas.openxmlformats.org/package/2006/relationships"><Relationship Id="rId1" Type="http://schemas.openxmlformats.org/officeDocument/2006/relationships/image" Target="media/image2.jpeg" /><Relationship Id="rId2" Type="http://schemas.openxmlformats.org/officeDocument/2006/relationships/hyperlink" Target="http://www.lexisnexis.com/about-us/" TargetMode="External" /><Relationship Id="rId3" Type="http://schemas.openxmlformats.org/officeDocument/2006/relationships/hyperlink" Target="http://www.lexisnexis.com/en-us/terms/privacy-policy.page" TargetMode="External" /><Relationship Id="rId4" Type="http://schemas.openxmlformats.org/officeDocument/2006/relationships/hyperlink" Target="http://www.lexisnexis.com/terms/general.aspx" TargetMode="External" /><Relationship Id="rId5" Type="http://schemas.openxmlformats.org/officeDocument/2006/relationships/hyperlink" Target="http://www.lexisnexis.com/terms/copyright.aspx" TargetMode="External" /></Relationships>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MPJI-Cr 2:05</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77923358</vt:lpwstr>
  </property>
  <property fmtid="{D5CDD505-2E9C-101B-9397-08002B2CF9AE}" pid="3" name="LADocCount">
    <vt:i4>7</vt:i4>
  </property>
  <property fmtid="{D5CDD505-2E9C-101B-9397-08002B2CF9AE}" pid="4" name="UserPermID">
    <vt:lpwstr>urn:user:PA182399192</vt:lpwstr>
  </property>
</Properties>
</file>