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header308.xml" ContentType="application/vnd.openxmlformats-officedocument.wordprocessingml.header+xml"/>
  <Override PartName="/word/footer307.xml" ContentType="application/vnd.openxmlformats-officedocument.wordprocessingml.foot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header311.xml" ContentType="application/vnd.openxmlformats-officedocument.wordprocessingml.header+xml"/>
  <Override PartName="/word/footer310.xml" ContentType="application/vnd.openxmlformats-officedocument.wordprocessingml.foot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header314.xml" ContentType="application/vnd.openxmlformats-officedocument.wordprocessingml.header+xml"/>
  <Override PartName="/word/footer313.xml" ContentType="application/vnd.openxmlformats-officedocument.wordprocessingml.foot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header317.xml" ContentType="application/vnd.openxmlformats-officedocument.wordprocessingml.header+xml"/>
  <Override PartName="/word/footer316.xml" ContentType="application/vnd.openxmlformats-officedocument.wordprocessingml.foot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header320.xml" ContentType="application/vnd.openxmlformats-officedocument.wordprocessingml.header+xml"/>
  <Override PartName="/word/footer319.xml" ContentType="application/vnd.openxmlformats-officedocument.wordprocessingml.foot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header323.xml" ContentType="application/vnd.openxmlformats-officedocument.wordprocessingml.header+xml"/>
  <Override PartName="/word/footer322.xml" ContentType="application/vnd.openxmlformats-officedocument.wordprocessingml.foot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header326.xml" ContentType="application/vnd.openxmlformats-officedocument.wordprocessingml.header+xml"/>
  <Override PartName="/word/footer325.xml" ContentType="application/vnd.openxmlformats-officedocument.wordprocessingml.foot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header329.xml" ContentType="application/vnd.openxmlformats-officedocument.wordprocessingml.header+xml"/>
  <Override PartName="/word/footer328.xml" ContentType="application/vnd.openxmlformats-officedocument.wordprocessingml.foot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header332.xml" ContentType="application/vnd.openxmlformats-officedocument.wordprocessingml.header+xml"/>
  <Override PartName="/word/footer331.xml" ContentType="application/vnd.openxmlformats-officedocument.wordprocessingml.foot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header335.xml" ContentType="application/vnd.openxmlformats-officedocument.wordprocessingml.header+xml"/>
  <Override PartName="/word/footer334.xml" ContentType="application/vnd.openxmlformats-officedocument.wordprocessingml.foot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header338.xml" ContentType="application/vnd.openxmlformats-officedocument.wordprocessingml.header+xml"/>
  <Override PartName="/word/footer337.xml" ContentType="application/vnd.openxmlformats-officedocument.wordprocessingml.foot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header341.xml" ContentType="application/vnd.openxmlformats-officedocument.wordprocessingml.header+xml"/>
  <Override PartName="/word/footer340.xml" ContentType="application/vnd.openxmlformats-officedocument.wordprocessingml.foot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header344.xml" ContentType="application/vnd.openxmlformats-officedocument.wordprocessingml.header+xml"/>
  <Override PartName="/word/footer343.xml" ContentType="application/vnd.openxmlformats-officedocument.wordprocessingml.foot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header347.xml" ContentType="application/vnd.openxmlformats-officedocument.wordprocessingml.header+xml"/>
  <Override PartName="/word/footer346.xml" ContentType="application/vnd.openxmlformats-officedocument.wordprocessingml.foot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header350.xml" ContentType="application/vnd.openxmlformats-officedocument.wordprocessingml.header+xml"/>
  <Override PartName="/word/footer349.xml" ContentType="application/vnd.openxmlformats-officedocument.wordprocessingml.foot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header353.xml" ContentType="application/vnd.openxmlformats-officedocument.wordprocessingml.header+xml"/>
  <Override PartName="/word/footer352.xml" ContentType="application/vnd.openxmlformats-officedocument.wordprocessingml.foot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header356.xml" ContentType="application/vnd.openxmlformats-officedocument.wordprocessingml.header+xml"/>
  <Override PartName="/word/footer355.xml" ContentType="application/vnd.openxmlformats-officedocument.wordprocessingml.foot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header359.xml" ContentType="application/vnd.openxmlformats-officedocument.wordprocessingml.header+xml"/>
  <Override PartName="/word/footer358.xml" ContentType="application/vnd.openxmlformats-officedocument.wordprocessingml.foot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header362.xml" ContentType="application/vnd.openxmlformats-officedocument.wordprocessingml.header+xml"/>
  <Override PartName="/word/footer361.xml" ContentType="application/vnd.openxmlformats-officedocument.wordprocessingml.foot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header365.xml" ContentType="application/vnd.openxmlformats-officedocument.wordprocessingml.header+xml"/>
  <Override PartName="/word/footer364.xml" ContentType="application/vnd.openxmlformats-officedocument.wordprocessingml.foot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header368.xml" ContentType="application/vnd.openxmlformats-officedocument.wordprocessingml.header+xml"/>
  <Override PartName="/word/footer367.xml" ContentType="application/vnd.openxmlformats-officedocument.wordprocessingml.foot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header371.xml" ContentType="application/vnd.openxmlformats-officedocument.wordprocessingml.header+xml"/>
  <Override PartName="/word/footer370.xml" ContentType="application/vnd.openxmlformats-officedocument.wordprocessingml.foot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header374.xml" ContentType="application/vnd.openxmlformats-officedocument.wordprocessingml.header+xml"/>
  <Override PartName="/word/footer373.xml" ContentType="application/vnd.openxmlformats-officedocument.wordprocessingml.foot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header377.xml" ContentType="application/vnd.openxmlformats-officedocument.wordprocessingml.header+xml"/>
  <Override PartName="/word/footer376.xml" ContentType="application/vnd.openxmlformats-officedocument.wordprocessingml.foot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header380.xml" ContentType="application/vnd.openxmlformats-officedocument.wordprocessingml.header+xml"/>
  <Override PartName="/word/footer379.xml" ContentType="application/vnd.openxmlformats-officedocument.wordprocessingml.foot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header383.xml" ContentType="application/vnd.openxmlformats-officedocument.wordprocessingml.header+xml"/>
  <Override PartName="/word/footer382.xml" ContentType="application/vnd.openxmlformats-officedocument.wordprocessingml.foot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header386.xml" ContentType="application/vnd.openxmlformats-officedocument.wordprocessingml.header+xml"/>
  <Override PartName="/word/footer385.xml" ContentType="application/vnd.openxmlformats-officedocument.wordprocessingml.foot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header389.xml" ContentType="application/vnd.openxmlformats-officedocument.wordprocessingml.header+xml"/>
  <Override PartName="/word/footer388.xml" ContentType="application/vnd.openxmlformats-officedocument.wordprocessingml.foot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header392.xml" ContentType="application/vnd.openxmlformats-officedocument.wordprocessingml.header+xml"/>
  <Override PartName="/word/footer391.xml" ContentType="application/vnd.openxmlformats-officedocument.wordprocessingml.foot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header395.xml" ContentType="application/vnd.openxmlformats-officedocument.wordprocessingml.header+xml"/>
  <Override PartName="/word/footer394.xml" ContentType="application/vnd.openxmlformats-officedocument.wordprocessingml.foot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header398.xml" ContentType="application/vnd.openxmlformats-officedocument.wordprocessingml.header+xml"/>
  <Override PartName="/word/footer397.xml" ContentType="application/vnd.openxmlformats-officedocument.wordprocessingml.foot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header401.xml" ContentType="application/vnd.openxmlformats-officedocument.wordprocessingml.header+xml"/>
  <Override PartName="/word/footer400.xml" ContentType="application/vnd.openxmlformats-officedocument.wordprocessingml.foot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header404.xml" ContentType="application/vnd.openxmlformats-officedocument.wordprocessingml.header+xml"/>
  <Override PartName="/word/footer403.xml" ContentType="application/vnd.openxmlformats-officedocument.wordprocessingml.foot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header407.xml" ContentType="application/vnd.openxmlformats-officedocument.wordprocessingml.header+xml"/>
  <Override PartName="/word/footer406.xml" ContentType="application/vnd.openxmlformats-officedocument.wordprocessingml.foot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header410.xml" ContentType="application/vnd.openxmlformats-officedocument.wordprocessingml.header+xml"/>
  <Override PartName="/word/footer409.xml" ContentType="application/vnd.openxmlformats-officedocument.wordprocessingml.foot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header413.xml" ContentType="application/vnd.openxmlformats-officedocument.wordprocessingml.header+xml"/>
  <Override PartName="/word/footer412.xml" ContentType="application/vnd.openxmlformats-officedocument.wordprocessingml.foot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header416.xml" ContentType="application/vnd.openxmlformats-officedocument.wordprocessingml.header+xml"/>
  <Override PartName="/word/footer415.xml" ContentType="application/vnd.openxmlformats-officedocument.wordprocessingml.foot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header419.xml" ContentType="application/vnd.openxmlformats-officedocument.wordprocessingml.header+xml"/>
  <Override PartName="/word/footer418.xml" ContentType="application/vnd.openxmlformats-officedocument.wordprocessingml.foot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header422.xml" ContentType="application/vnd.openxmlformats-officedocument.wordprocessingml.header+xml"/>
  <Override PartName="/word/footer421.xml" ContentType="application/vnd.openxmlformats-officedocument.wordprocessingml.foot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60A9" w:rsidRDefault="0085136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47.75pt;height:30pt">
            <v:imagedata r:id="rId6" o:title=""/>
          </v:shape>
        </w:pict>
      </w:r>
    </w:p>
    <w:p w:rsidR="004D60A9" w:rsidRDefault="00851367">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D60A9" w:rsidRDefault="00851367">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10:47:00 PM EST</w:t>
      </w:r>
    </w:p>
    <w:p w:rsidR="004D60A9" w:rsidRDefault="00851367">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77923580</w:t>
      </w:r>
    </w:p>
    <w:p w:rsidR="004D60A9" w:rsidRDefault="00851367">
      <w:pPr>
        <w:spacing w:before="360" w:line="360" w:lineRule="atLeast"/>
        <w:jc w:val="both"/>
      </w:pPr>
      <w:r>
        <w:rPr>
          <w:rFonts w:ascii="Arial" w:eastAsia="Arial" w:hAnsi="Arial" w:cs="Arial"/>
          <w:b/>
          <w:color w:val="000000"/>
        </w:rPr>
        <w:t>Documents (10)</w:t>
      </w:r>
    </w:p>
    <w:p w:rsidR="004D60A9" w:rsidRDefault="00851367">
      <w:pPr>
        <w:spacing w:before="200" w:line="300" w:lineRule="atLeast"/>
        <w:ind w:left="440" w:hanging="290"/>
      </w:pPr>
      <w:r>
        <w:rPr>
          <w:rFonts w:ascii="Arial" w:eastAsia="Arial" w:hAnsi="Arial" w:cs="Arial"/>
          <w:sz w:val="20"/>
        </w:rPr>
        <w:t>1.</w:t>
      </w:r>
      <w:hyperlink r:id="rId7" w:history="1">
        <w:r>
          <w:rPr>
            <w:rFonts w:ascii="Arial" w:eastAsia="Arial" w:hAnsi="Arial" w:cs="Arial"/>
            <w:color w:val="000000"/>
            <w:sz w:val="20"/>
            <w:u w:val="single"/>
          </w:rPr>
          <w:t xml:space="preserve"> </w:t>
        </w:r>
      </w:hyperlink>
      <w:hyperlink r:id="rId8" w:history="1">
        <w:r>
          <w:rPr>
            <w:rFonts w:ascii="Arial" w:eastAsia="Arial" w:hAnsi="Arial" w:cs="Arial"/>
            <w:i/>
            <w:color w:val="0077CC"/>
            <w:sz w:val="20"/>
            <w:u w:val="single"/>
          </w:rPr>
          <w:t>Arson--Dwelling</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2.</w:t>
      </w:r>
      <w:hyperlink r:id="rId9" w:history="1">
        <w:r>
          <w:rPr>
            <w:rFonts w:ascii="Arial" w:eastAsia="Arial" w:hAnsi="Arial" w:cs="Arial"/>
            <w:color w:val="000000"/>
            <w:sz w:val="20"/>
            <w:u w:val="single"/>
          </w:rPr>
          <w:t xml:space="preserve"> </w:t>
        </w:r>
      </w:hyperlink>
      <w:hyperlink r:id="rId10" w:history="1">
        <w:r>
          <w:rPr>
            <w:rFonts w:ascii="Arial" w:eastAsia="Arial" w:hAnsi="Arial" w:cs="Arial"/>
            <w:i/>
            <w:color w:val="0077CC"/>
            <w:sz w:val="20"/>
            <w:u w:val="single"/>
          </w:rPr>
          <w:t>Arson--Occupied Structure</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3.</w:t>
      </w:r>
      <w:hyperlink r:id="rId11" w:history="1">
        <w:r>
          <w:rPr>
            <w:rFonts w:ascii="Arial" w:eastAsia="Arial" w:hAnsi="Arial" w:cs="Arial"/>
            <w:color w:val="000000"/>
            <w:sz w:val="20"/>
            <w:u w:val="single"/>
          </w:rPr>
          <w:t xml:space="preserve"> </w:t>
        </w:r>
      </w:hyperlink>
      <w:hyperlink r:id="rId12" w:history="1">
        <w:r>
          <w:rPr>
            <w:rFonts w:ascii="Arial" w:eastAsia="Arial" w:hAnsi="Arial" w:cs="Arial"/>
            <w:i/>
            <w:color w:val="0077CC"/>
            <w:sz w:val="20"/>
            <w:u w:val="single"/>
          </w:rPr>
          <w:t>Arson--Vehicle Or Other Structure</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4.</w:t>
      </w:r>
      <w:hyperlink r:id="rId13" w:history="1">
        <w:r>
          <w:rPr>
            <w:rFonts w:ascii="Arial" w:eastAsia="Arial" w:hAnsi="Arial" w:cs="Arial"/>
            <w:color w:val="000000"/>
            <w:sz w:val="20"/>
            <w:u w:val="single"/>
          </w:rPr>
          <w:t xml:space="preserve"> </w:t>
        </w:r>
      </w:hyperlink>
      <w:hyperlink r:id="rId14" w:history="1">
        <w:r>
          <w:rPr>
            <w:rFonts w:ascii="Arial" w:eastAsia="Arial" w:hAnsi="Arial" w:cs="Arial"/>
            <w:i/>
            <w:color w:val="0077CC"/>
            <w:sz w:val="20"/>
            <w:u w:val="single"/>
          </w:rPr>
          <w:t>Arson--Malicious Burning of Personal Property</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w:t>
      </w:r>
      <w:r>
        <w:rPr>
          <w:rFonts w:ascii="Arial" w:eastAsia="Arial" w:hAnsi="Arial" w:cs="Arial"/>
          <w:color w:val="000000"/>
          <w:sz w:val="20"/>
        </w:rPr>
        <w:t>e-</w:t>
      </w:r>
    </w:p>
    <w:p w:rsidR="004D60A9" w:rsidRDefault="00851367">
      <w:pPr>
        <w:spacing w:line="300" w:lineRule="atLeast"/>
        <w:ind w:left="440" w:hanging="290"/>
      </w:pPr>
      <w:r>
        <w:rPr>
          <w:rFonts w:ascii="Arial" w:eastAsia="Arial" w:hAnsi="Arial" w:cs="Arial"/>
          <w:sz w:val="20"/>
        </w:rPr>
        <w:t>5.</w:t>
      </w:r>
      <w:hyperlink r:id="rId15" w:history="1">
        <w:r>
          <w:rPr>
            <w:rFonts w:ascii="Arial" w:eastAsia="Arial" w:hAnsi="Arial" w:cs="Arial"/>
            <w:color w:val="000000"/>
            <w:sz w:val="20"/>
            <w:u w:val="single"/>
          </w:rPr>
          <w:t xml:space="preserve"> </w:t>
        </w:r>
      </w:hyperlink>
      <w:hyperlink r:id="rId16" w:history="1">
        <w:r>
          <w:rPr>
            <w:rFonts w:ascii="Arial" w:eastAsia="Arial" w:hAnsi="Arial" w:cs="Arial"/>
            <w:i/>
            <w:color w:val="0077CC"/>
            <w:sz w:val="20"/>
            <w:u w:val="single"/>
          </w:rPr>
          <w:t>Arson--Burning to Defraud</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6.</w:t>
      </w:r>
      <w:hyperlink r:id="rId17" w:history="1">
        <w:r>
          <w:rPr>
            <w:rFonts w:ascii="Arial" w:eastAsia="Arial" w:hAnsi="Arial" w:cs="Arial"/>
            <w:color w:val="000000"/>
            <w:sz w:val="20"/>
            <w:u w:val="single"/>
          </w:rPr>
          <w:t xml:space="preserve"> </w:t>
        </w:r>
      </w:hyperlink>
      <w:hyperlink r:id="rId18" w:history="1">
        <w:r>
          <w:rPr>
            <w:rFonts w:ascii="Arial" w:eastAsia="Arial" w:hAnsi="Arial" w:cs="Arial"/>
            <w:i/>
            <w:color w:val="0077CC"/>
            <w:sz w:val="20"/>
            <w:u w:val="single"/>
          </w:rPr>
          <w:t>Second Degree Assault</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7.</w:t>
      </w:r>
      <w:hyperlink r:id="rId19" w:history="1">
        <w:r>
          <w:rPr>
            <w:rFonts w:ascii="Arial" w:eastAsia="Arial" w:hAnsi="Arial" w:cs="Arial"/>
            <w:color w:val="000000"/>
            <w:sz w:val="20"/>
            <w:u w:val="single"/>
          </w:rPr>
          <w:t xml:space="preserve"> </w:t>
        </w:r>
      </w:hyperlink>
      <w:hyperlink r:id="rId20" w:history="1">
        <w:r>
          <w:rPr>
            <w:rFonts w:ascii="Arial" w:eastAsia="Arial" w:hAnsi="Arial" w:cs="Arial"/>
            <w:i/>
            <w:color w:val="0077CC"/>
            <w:sz w:val="20"/>
            <w:u w:val="single"/>
          </w:rPr>
          <w:t>First Degree Assault</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8.</w:t>
      </w:r>
      <w:hyperlink r:id="rId21" w:history="1">
        <w:r>
          <w:rPr>
            <w:rFonts w:ascii="Arial" w:eastAsia="Arial" w:hAnsi="Arial" w:cs="Arial"/>
            <w:color w:val="000000"/>
            <w:sz w:val="20"/>
            <w:u w:val="single"/>
          </w:rPr>
          <w:t xml:space="preserve"> </w:t>
        </w:r>
      </w:hyperlink>
      <w:hyperlink r:id="rId22" w:history="1">
        <w:r>
          <w:rPr>
            <w:rFonts w:ascii="Arial" w:eastAsia="Arial" w:hAnsi="Arial" w:cs="Arial"/>
            <w:i/>
            <w:color w:val="0077CC"/>
            <w:sz w:val="20"/>
            <w:u w:val="single"/>
          </w:rPr>
          <w:t>Attempt</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9.</w:t>
      </w:r>
      <w:hyperlink r:id="rId23" w:history="1">
        <w:r>
          <w:rPr>
            <w:rFonts w:ascii="Arial" w:eastAsia="Arial" w:hAnsi="Arial" w:cs="Arial"/>
            <w:color w:val="000000"/>
            <w:sz w:val="20"/>
            <w:u w:val="single"/>
          </w:rPr>
          <w:t xml:space="preserve"> </w:t>
        </w:r>
      </w:hyperlink>
      <w:hyperlink r:id="rId24" w:history="1">
        <w:r>
          <w:rPr>
            <w:rFonts w:ascii="Arial" w:eastAsia="Arial" w:hAnsi="Arial" w:cs="Arial"/>
            <w:i/>
            <w:color w:val="0077CC"/>
            <w:sz w:val="20"/>
            <w:u w:val="single"/>
          </w:rPr>
          <w:t>Bad Check--Insufficient Funds</w:t>
        </w:r>
      </w:hyperlink>
    </w:p>
    <w:p w:rsidR="004D60A9" w:rsidRDefault="00851367">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D60A9" w:rsidRDefault="00851367">
      <w:pPr>
        <w:spacing w:line="300" w:lineRule="atLeast"/>
        <w:ind w:left="440" w:hanging="290"/>
      </w:pPr>
      <w:r>
        <w:rPr>
          <w:rFonts w:ascii="Arial" w:eastAsia="Arial" w:hAnsi="Arial" w:cs="Arial"/>
          <w:sz w:val="20"/>
        </w:rPr>
        <w:t>10.</w:t>
      </w:r>
      <w:hyperlink r:id="rId25" w:history="1">
        <w:r>
          <w:rPr>
            <w:rFonts w:ascii="Arial" w:eastAsia="Arial" w:hAnsi="Arial" w:cs="Arial"/>
            <w:color w:val="000000"/>
            <w:sz w:val="20"/>
            <w:u w:val="single"/>
          </w:rPr>
          <w:t xml:space="preserve"> </w:t>
        </w:r>
      </w:hyperlink>
      <w:hyperlink r:id="rId26" w:history="1">
        <w:r>
          <w:rPr>
            <w:rFonts w:ascii="Arial" w:eastAsia="Arial" w:hAnsi="Arial" w:cs="Arial"/>
            <w:i/>
            <w:color w:val="0077CC"/>
            <w:sz w:val="20"/>
            <w:u w:val="single"/>
          </w:rPr>
          <w:t>Assault on a Law Enforcement Officer</w:t>
        </w:r>
      </w:hyperlink>
    </w:p>
    <w:p w:rsidR="004D60A9" w:rsidRDefault="00851367">
      <w:pPr>
        <w:spacing w:before="80" w:line="240" w:lineRule="atLeast"/>
        <w:ind w:left="290"/>
        <w:rPr>
          <w:rFonts w:ascii="Arial" w:eastAsia="Arial" w:hAnsi="Arial" w:cs="Arial"/>
          <w:color w:val="000000"/>
          <w:sz w:val="20"/>
        </w:r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pPr>
        <w:spacing w:before="80" w:line="240" w:lineRule="atLeast"/>
        <w:ind w:left="290"/>
      </w:pPr>
    </w:p>
    <w:p w:rsidR="004729FB" w:rsidRDefault="004729FB" w:rsidP="004729FB">
      <w:pPr>
        <w:spacing w:before="80" w:line="240" w:lineRule="atLeast"/>
        <w:sectPr w:rsidR="004729FB">
          <w:headerReference w:type="even" r:id="rId27"/>
          <w:headerReference w:type="default" r:id="rId28"/>
          <w:footerReference w:type="even" r:id="rId29"/>
          <w:footerReference w:type="default" r:id="rId30"/>
          <w:headerReference w:type="first" r:id="rId31"/>
          <w:footerReference w:type="first" r:id="rId32"/>
          <w:pgSz w:w="12240" w:h="15840"/>
          <w:pgMar w:top="840" w:right="1080" w:bottom="840" w:left="1080" w:header="0" w:footer="0" w:gutter="0"/>
          <w:cols w:space="720"/>
        </w:sectPr>
      </w:pPr>
    </w:p>
    <w:p w:rsidR="004D60A9" w:rsidRDefault="004D60A9">
      <w:pPr>
        <w:sectPr w:rsidR="004D60A9">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gutter="0"/>
          <w:cols w:space="720"/>
          <w:titlePg/>
        </w:sectPr>
      </w:pPr>
    </w:p>
    <w:p w:rsidR="004D60A9" w:rsidRDefault="004D60A9">
      <w:bookmarkStart w:id="0" w:name="Bookmark_1"/>
      <w:bookmarkEnd w:id="0"/>
    </w:p>
    <w:p w:rsidR="004D60A9" w:rsidRDefault="00851367">
      <w:r>
        <w:pict>
          <v:shape id="_x0000_i1027"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39" w:history="1">
        <w:r>
          <w:rPr>
            <w:rFonts w:ascii="Arial" w:eastAsia="Arial" w:hAnsi="Arial" w:cs="Arial"/>
            <w:b/>
            <w:bCs/>
            <w:i/>
            <w:color w:val="0077CC"/>
            <w:kern w:val="32"/>
            <w:sz w:val="28"/>
            <w:szCs w:val="32"/>
            <w:u w:val="single"/>
          </w:rPr>
          <w:t>MPJI-Cr 4:00</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ARSON--DWELLING</w:t>
      </w:r>
    </w:p>
    <w:p w:rsidR="004D60A9" w:rsidRDefault="00851367">
      <w:pPr>
        <w:keepNext/>
        <w:spacing w:before="240" w:line="340" w:lineRule="atLeast"/>
      </w:pPr>
      <w:r>
        <w:br/>
      </w:r>
      <w:r>
        <w:rPr>
          <w:rFonts w:ascii="Arial" w:eastAsia="Arial" w:hAnsi="Arial" w:cs="Arial"/>
          <w:b/>
          <w:color w:val="000000"/>
          <w:sz w:val="28"/>
        </w:rPr>
        <w:t>4:00Ar</w:t>
      </w:r>
      <w:r>
        <w:rPr>
          <w:rFonts w:ascii="Arial" w:eastAsia="Arial" w:hAnsi="Arial" w:cs="Arial"/>
          <w:b/>
          <w:color w:val="000000"/>
          <w:sz w:val="28"/>
        </w:rPr>
        <w:t>son--Dwelling</w:t>
      </w:r>
    </w:p>
    <w:p w:rsidR="004D60A9" w:rsidRDefault="00851367">
      <w:pPr>
        <w:spacing w:line="60" w:lineRule="exact"/>
      </w:pPr>
      <w:r>
        <w:pict>
          <v:line id="_x0000_s1027" style="position:absolute;z-index:251658240"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arson. Arson is the willful and malicious setting fire to or burning of a dwelling. In order to convict the defendant of arson, the State must prove</w:t>
      </w:r>
      <w:r>
        <w:rPr>
          <w:rFonts w:ascii="Arial" w:eastAsia="Arial" w:hAnsi="Arial" w:cs="Arial"/>
          <w:color w:val="000000"/>
          <w:sz w:val="20"/>
        </w:rPr>
        <w:t>:</w:t>
      </w:r>
    </w:p>
    <w:p w:rsidR="004D60A9" w:rsidRDefault="00851367">
      <w:pPr>
        <w:spacing w:before="200" w:line="260" w:lineRule="atLeast"/>
        <w:ind w:left="800"/>
        <w:jc w:val="both"/>
      </w:pPr>
      <w:r>
        <w:rPr>
          <w:rFonts w:ascii="Arial" w:eastAsia="Arial" w:hAnsi="Arial" w:cs="Arial"/>
          <w:b/>
          <w:color w:val="000000"/>
          <w:sz w:val="20"/>
        </w:rPr>
        <w:t>(1) that the defendant set fire to or burned a</w:t>
      </w:r>
      <w:r>
        <w:rPr>
          <w:rFonts w:ascii="Arial" w:eastAsia="Arial" w:hAnsi="Arial" w:cs="Arial"/>
          <w:b/>
          <w:color w:val="000000"/>
          <w:sz w:val="20"/>
        </w:rPr>
        <w:t>t least part of a dwelling; and</w:t>
      </w:r>
    </w:p>
    <w:p w:rsidR="004D60A9" w:rsidRDefault="00851367">
      <w:pPr>
        <w:spacing w:before="200" w:line="260" w:lineRule="atLeast"/>
        <w:ind w:left="800"/>
        <w:jc w:val="both"/>
      </w:pPr>
      <w:r>
        <w:rPr>
          <w:rFonts w:ascii="Arial" w:eastAsia="Arial" w:hAnsi="Arial" w:cs="Arial"/>
          <w:b/>
          <w:color w:val="000000"/>
          <w:sz w:val="20"/>
        </w:rPr>
        <w:t>(2) that the setting fire to or burning of the dwelling was willful and malicious</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A dwelling is a structure in which some part has been adapted for overnight accommodation of an individual, regardless of whether anyone is p</w:t>
      </w:r>
      <w:r>
        <w:rPr>
          <w:rFonts w:ascii="Arial" w:eastAsia="Arial" w:hAnsi="Arial" w:cs="Arial"/>
          <w:b/>
          <w:color w:val="000000"/>
          <w:sz w:val="20"/>
        </w:rPr>
        <w:t>resent at the time the fire is set to the dwelling. It is a not a defense to arson that the defendant owns the property, in whole or part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 xml:space="preserve">Burning is the actual combustion or charring by fire. The slightest burning of any part of the dwelling is </w:t>
      </w:r>
      <w:r>
        <w:rPr>
          <w:rFonts w:ascii="Arial" w:eastAsia="Arial" w:hAnsi="Arial" w:cs="Arial"/>
          <w:b/>
          <w:color w:val="000000"/>
          <w:sz w:val="20"/>
        </w:rPr>
        <w:t>sufficient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Willfully means a person acted intentionally, knowingly, and purposely</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Maliciously means a person acted with the intent to harm others or their property</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4:06 (Burglary--First Degree).</w:t>
            </w:r>
          </w:p>
          <w:p w:rsidR="004D60A9" w:rsidRDefault="00851367">
            <w:pPr>
              <w:spacing w:before="240" w:line="260" w:lineRule="atLeast"/>
              <w:ind w:left="60" w:right="360"/>
              <w:jc w:val="both"/>
            </w:pPr>
            <w:r>
              <w:rPr>
                <w:rFonts w:ascii="Arial" w:eastAsia="Arial" w:hAnsi="Arial" w:cs="Arial"/>
                <w:color w:val="000000"/>
                <w:sz w:val="20"/>
              </w:rPr>
              <w:t>In 1993, the Maryland General Assembly enacted a new comprehensive arson statute. Ch. 228, 1993 Md. Laws § 3 (codified at MD. CODE ANN., ART. 27, §§ 5-11 (1996 Repl. Vol.)). The statute includes common law</w:t>
            </w:r>
            <w:r>
              <w:rPr>
                <w:rFonts w:ascii="Arial" w:eastAsia="Arial" w:hAnsi="Arial" w:cs="Arial"/>
                <w:color w:val="000000"/>
                <w:sz w:val="20"/>
              </w:rPr>
              <w:t xml:space="preserve"> arson, which is the malicious burning of the dwelling house of another. </w:t>
            </w:r>
            <w:r>
              <w:rPr>
                <w:rFonts w:ascii="Arial" w:eastAsia="Arial" w:hAnsi="Arial" w:cs="Arial"/>
                <w:i/>
                <w:color w:val="000000"/>
                <w:sz w:val="20"/>
              </w:rPr>
              <w:t>See generally</w:t>
            </w:r>
            <w:r>
              <w:rPr>
                <w:rFonts w:ascii="Arial" w:eastAsia="Arial" w:hAnsi="Arial" w:cs="Arial"/>
                <w:color w:val="000000"/>
                <w:sz w:val="20"/>
              </w:rPr>
              <w:t xml:space="preserve"> ROLLIN M. PERKINS &amp; RONALD N. BOYCE, CRIMINAL LAW 273-88 (3d ed. 1982). The statute expands arson beyond the common law, both in terms of the prohibited conduct and the </w:t>
            </w:r>
            <w:r>
              <w:rPr>
                <w:rFonts w:ascii="Arial" w:eastAsia="Arial" w:hAnsi="Arial" w:cs="Arial"/>
                <w:color w:val="000000"/>
                <w:sz w:val="20"/>
              </w:rPr>
              <w:t xml:space="preserve">structures that are subject to the prohibited conduct. </w:t>
            </w:r>
            <w:r>
              <w:rPr>
                <w:rFonts w:ascii="Arial" w:eastAsia="Arial" w:hAnsi="Arial" w:cs="Arial"/>
                <w:i/>
                <w:color w:val="000000"/>
                <w:sz w:val="20"/>
              </w:rPr>
              <w:t xml:space="preserve">See, e.g., </w:t>
            </w:r>
            <w:hyperlink r:id="rId40" w:history="1">
              <w:r>
                <w:rPr>
                  <w:rFonts w:ascii="Arial" w:eastAsia="Arial" w:hAnsi="Arial" w:cs="Arial"/>
                  <w:i/>
                  <w:color w:val="0077CC"/>
                  <w:sz w:val="20"/>
                  <w:u w:val="single"/>
                </w:rPr>
                <w:t>Holbrook v. State, 364 Md. 354, 367-69, 772 A.2d 1240, 1247-4</w:t>
              </w:r>
              <w:r>
                <w:rPr>
                  <w:rFonts w:ascii="Arial" w:eastAsia="Arial" w:hAnsi="Arial" w:cs="Arial"/>
                  <w:i/>
                  <w:color w:val="0077CC"/>
                  <w:sz w:val="20"/>
                  <w:u w:val="single"/>
                </w:rPr>
                <w:t>8 (2001)</w:t>
              </w:r>
            </w:hyperlink>
            <w:r>
              <w:rPr>
                <w:rFonts w:ascii="Arial" w:eastAsia="Arial" w:hAnsi="Arial" w:cs="Arial"/>
                <w:color w:val="000000"/>
                <w:sz w:val="20"/>
              </w:rPr>
              <w:t xml:space="preserve"> (comparing common law and statutory arson).</w:t>
            </w:r>
          </w:p>
          <w:p w:rsidR="004D60A9" w:rsidRDefault="00851367">
            <w:pPr>
              <w:spacing w:before="200" w:line="260" w:lineRule="atLeast"/>
              <w:ind w:left="60" w:right="360"/>
              <w:jc w:val="both"/>
            </w:pPr>
            <w:r>
              <w:rPr>
                <w:rFonts w:ascii="Arial" w:eastAsia="Arial" w:hAnsi="Arial" w:cs="Arial"/>
                <w:color w:val="000000"/>
                <w:sz w:val="20"/>
              </w:rPr>
              <w:t>In 2002, the Maryland General Assembly repealed ART. 27 and recodified its arson statute, without substantive change, at CRIM. LAW I § 6-102 (2002).</w:t>
            </w:r>
          </w:p>
          <w:p w:rsidR="004D60A9" w:rsidRDefault="00851367">
            <w:pPr>
              <w:spacing w:before="240" w:line="260" w:lineRule="atLeast"/>
              <w:ind w:left="60" w:right="360"/>
              <w:jc w:val="both"/>
            </w:pPr>
            <w:r>
              <w:rPr>
                <w:rFonts w:ascii="Arial" w:eastAsia="Arial" w:hAnsi="Arial" w:cs="Arial"/>
                <w:color w:val="000000"/>
                <w:sz w:val="20"/>
              </w:rPr>
              <w:t xml:space="preserve">Arson includes the willful and malicious setting fire </w:t>
            </w:r>
            <w:r>
              <w:rPr>
                <w:rFonts w:ascii="Arial" w:eastAsia="Arial" w:hAnsi="Arial" w:cs="Arial"/>
                <w:color w:val="000000"/>
                <w:sz w:val="20"/>
              </w:rPr>
              <w:t xml:space="preserve">to or burning of any dwelling house. CRIM. LAW I § 6-102(a). "Dwelling" means a structure any part of which has been adapted for overnight accommodation of an </w:t>
            </w:r>
            <w:r>
              <w:rPr>
                <w:rFonts w:ascii="Arial" w:eastAsia="Arial" w:hAnsi="Arial" w:cs="Arial"/>
                <w:color w:val="000000"/>
                <w:sz w:val="20"/>
              </w:rPr>
              <w:lastRenderedPageBreak/>
              <w:t>individual, regardless of whether an individual is actually present. [It] includes a kitchen, sho</w:t>
            </w:r>
            <w:r>
              <w:rPr>
                <w:rFonts w:ascii="Arial" w:eastAsia="Arial" w:hAnsi="Arial" w:cs="Arial"/>
                <w:color w:val="000000"/>
                <w:sz w:val="20"/>
              </w:rPr>
              <w:t xml:space="preserve">p, barn, stable, or outbuilding that is a parcel to, belongs to, or adjoins the dwelling. </w:t>
            </w:r>
            <w:r>
              <w:rPr>
                <w:rFonts w:ascii="Arial" w:eastAsia="Arial" w:hAnsi="Arial" w:cs="Arial"/>
                <w:i/>
                <w:color w:val="000000"/>
                <w:sz w:val="20"/>
              </w:rPr>
              <w:t>Id.</w:t>
            </w:r>
            <w:r>
              <w:rPr>
                <w:rFonts w:ascii="Arial" w:eastAsia="Arial" w:hAnsi="Arial" w:cs="Arial"/>
                <w:color w:val="000000"/>
                <w:sz w:val="20"/>
              </w:rPr>
              <w:t xml:space="preserve"> § 6-101(b); </w:t>
            </w:r>
            <w:r>
              <w:rPr>
                <w:rFonts w:ascii="Arial" w:eastAsia="Arial" w:hAnsi="Arial" w:cs="Arial"/>
                <w:i/>
                <w:color w:val="000000"/>
                <w:sz w:val="20"/>
              </w:rPr>
              <w:t xml:space="preserve">see, e.g., </w:t>
            </w:r>
            <w:hyperlink r:id="rId41" w:history="1">
              <w:r>
                <w:rPr>
                  <w:rFonts w:ascii="Arial" w:eastAsia="Arial" w:hAnsi="Arial" w:cs="Arial"/>
                  <w:i/>
                  <w:color w:val="0077CC"/>
                  <w:sz w:val="20"/>
                  <w:u w:val="single"/>
                </w:rPr>
                <w:t>Fischer v.</w:t>
              </w:r>
              <w:r>
                <w:rPr>
                  <w:rFonts w:ascii="Arial" w:eastAsia="Arial" w:hAnsi="Arial" w:cs="Arial"/>
                  <w:i/>
                  <w:color w:val="0077CC"/>
                  <w:sz w:val="20"/>
                  <w:u w:val="single"/>
                </w:rPr>
                <w:t xml:space="preserve"> State, 117 Md. App. 443, 700 A.2d 829 (1997)</w:t>
              </w:r>
            </w:hyperlink>
            <w:r>
              <w:rPr>
                <w:rFonts w:ascii="Arial" w:eastAsia="Arial" w:hAnsi="Arial" w:cs="Arial"/>
                <w:color w:val="000000"/>
                <w:sz w:val="20"/>
              </w:rPr>
              <w:t xml:space="preserve"> (holding that unoccupied and locked house that still had water and electricity was adapted for overnight accommodation),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348 Md. 333, 703 A.2d 1264 (1998).</w:t>
            </w:r>
            <w:r>
              <w:rPr>
                <w:rFonts w:ascii="Arial" w:eastAsia="Arial" w:hAnsi="Arial" w:cs="Arial"/>
                <w:color w:val="000000"/>
                <w:sz w:val="20"/>
              </w:rPr>
              <w:t xml:space="preserve"> "Willfully" means acting intentionally, </w:t>
            </w:r>
            <w:r>
              <w:rPr>
                <w:rFonts w:ascii="Arial" w:eastAsia="Arial" w:hAnsi="Arial" w:cs="Arial"/>
                <w:color w:val="000000"/>
                <w:sz w:val="20"/>
              </w:rPr>
              <w:t xml:space="preserve">knowingly, and purposely. CRIM. LAW I § 6-101(e). "Maliciously" means acting with intent to harm a person or property. </w:t>
            </w:r>
            <w:r>
              <w:rPr>
                <w:rFonts w:ascii="Arial" w:eastAsia="Arial" w:hAnsi="Arial" w:cs="Arial"/>
                <w:i/>
                <w:color w:val="000000"/>
                <w:sz w:val="20"/>
              </w:rPr>
              <w:t>Id.</w:t>
            </w:r>
            <w:r>
              <w:rPr>
                <w:rFonts w:ascii="Arial" w:eastAsia="Arial" w:hAnsi="Arial" w:cs="Arial"/>
                <w:color w:val="000000"/>
                <w:sz w:val="20"/>
              </w:rPr>
              <w:t xml:space="preserve"> § 6-101(c); </w:t>
            </w:r>
            <w:r>
              <w:rPr>
                <w:rFonts w:ascii="Arial" w:eastAsia="Arial" w:hAnsi="Arial" w:cs="Arial"/>
                <w:i/>
                <w:color w:val="000000"/>
                <w:sz w:val="20"/>
              </w:rPr>
              <w:t xml:space="preserve">see </w:t>
            </w:r>
            <w:hyperlink r:id="rId42" w:history="1">
              <w:r>
                <w:rPr>
                  <w:rFonts w:ascii="Arial" w:eastAsia="Arial" w:hAnsi="Arial" w:cs="Arial"/>
                  <w:i/>
                  <w:color w:val="0077CC"/>
                  <w:sz w:val="20"/>
                  <w:u w:val="single"/>
                </w:rPr>
                <w:t>Shell v. State, 307 Md. 46, 65-68, 512 A.2d 358, 367-69 (1986),</w:t>
              </w:r>
            </w:hyperlink>
            <w:r>
              <w:rPr>
                <w:rFonts w:ascii="Arial" w:eastAsia="Arial" w:hAnsi="Arial" w:cs="Arial"/>
                <w:color w:val="000000"/>
                <w:sz w:val="20"/>
              </w:rPr>
              <w:t xml:space="preserve"> </w:t>
            </w:r>
            <w:r>
              <w:rPr>
                <w:rFonts w:ascii="Arial" w:eastAsia="Arial" w:hAnsi="Arial" w:cs="Arial"/>
                <w:i/>
                <w:color w:val="000000"/>
                <w:sz w:val="20"/>
              </w:rPr>
              <w:t xml:space="preserve">abrogated on other grounds by </w:t>
            </w:r>
            <w:hyperlink r:id="rId43" w:history="1">
              <w:r>
                <w:rPr>
                  <w:rFonts w:ascii="Arial" w:eastAsia="Arial" w:hAnsi="Arial" w:cs="Arial"/>
                  <w:i/>
                  <w:color w:val="0077CC"/>
                  <w:sz w:val="20"/>
                  <w:u w:val="single"/>
                </w:rPr>
                <w:t>Price v. State, 405 M</w:t>
              </w:r>
              <w:r>
                <w:rPr>
                  <w:rFonts w:ascii="Arial" w:eastAsia="Arial" w:hAnsi="Arial" w:cs="Arial"/>
                  <w:i/>
                  <w:color w:val="0077CC"/>
                  <w:sz w:val="20"/>
                  <w:u w:val="single"/>
                </w:rPr>
                <w:t>d. 10, 949 A.2d 619 (2008);</w:t>
              </w:r>
            </w:hyperlink>
            <w:r>
              <w:rPr>
                <w:rFonts w:ascii="Arial" w:eastAsia="Arial" w:hAnsi="Arial" w:cs="Arial"/>
                <w:color w:val="000000"/>
                <w:sz w:val="20"/>
              </w:rPr>
              <w:t xml:space="preserve"> </w:t>
            </w:r>
            <w:hyperlink r:id="rId44" w:history="1">
              <w:r>
                <w:rPr>
                  <w:rFonts w:ascii="Arial" w:eastAsia="Arial" w:hAnsi="Arial" w:cs="Arial"/>
                  <w:i/>
                  <w:color w:val="0077CC"/>
                  <w:sz w:val="20"/>
                  <w:u w:val="single"/>
                </w:rPr>
                <w:t>Brown v. State, 285 Md. 469, 474-75, 403 A.2d 788, 791-92 (1979).</w:t>
              </w:r>
            </w:hyperlink>
          </w:p>
          <w:p w:rsidR="004D60A9" w:rsidRDefault="00851367">
            <w:pPr>
              <w:spacing w:before="240" w:line="260" w:lineRule="atLeast"/>
              <w:ind w:left="60" w:right="360"/>
              <w:jc w:val="both"/>
            </w:pPr>
            <w:r>
              <w:rPr>
                <w:rFonts w:ascii="Arial" w:eastAsia="Arial" w:hAnsi="Arial" w:cs="Arial"/>
                <w:color w:val="000000"/>
                <w:sz w:val="20"/>
              </w:rPr>
              <w:t xml:space="preserve">Burning is the actual combustion by fire, which requires some charring and not mere scorching, blackening by smoke, or discoloration by heat. PERKINS &amp; BOYCE, </w:t>
            </w:r>
            <w:r>
              <w:rPr>
                <w:rFonts w:ascii="Arial" w:eastAsia="Arial" w:hAnsi="Arial" w:cs="Arial"/>
                <w:i/>
                <w:color w:val="000000"/>
                <w:sz w:val="20"/>
              </w:rPr>
              <w:t>supra</w:t>
            </w:r>
            <w:r>
              <w:rPr>
                <w:rFonts w:ascii="Arial" w:eastAsia="Arial" w:hAnsi="Arial" w:cs="Arial"/>
                <w:color w:val="000000"/>
                <w:sz w:val="20"/>
              </w:rPr>
              <w:t xml:space="preserve">, at 278. The slightest burning of any part of the dwelling house is sufficient. </w:t>
            </w:r>
            <w:hyperlink r:id="rId45" w:history="1">
              <w:r>
                <w:rPr>
                  <w:rFonts w:ascii="Arial" w:eastAsia="Arial" w:hAnsi="Arial" w:cs="Arial"/>
                  <w:i/>
                  <w:color w:val="0077CC"/>
                  <w:sz w:val="20"/>
                  <w:u w:val="single"/>
                </w:rPr>
                <w:t>Hines v. State, 34 Md. App. 612, 617-18, 368 A.2d 509, 512 (1977);</w:t>
              </w:r>
            </w:hyperlink>
            <w:r>
              <w:rPr>
                <w:rFonts w:ascii="Arial" w:eastAsia="Arial" w:hAnsi="Arial" w:cs="Arial"/>
                <w:color w:val="000000"/>
                <w:sz w:val="20"/>
              </w:rPr>
              <w:t xml:space="preserve"> </w:t>
            </w:r>
            <w:hyperlink r:id="rId46" w:history="1">
              <w:r>
                <w:rPr>
                  <w:rFonts w:ascii="Arial" w:eastAsia="Arial" w:hAnsi="Arial" w:cs="Arial"/>
                  <w:i/>
                  <w:color w:val="0077CC"/>
                  <w:sz w:val="20"/>
                  <w:u w:val="single"/>
                </w:rPr>
                <w:t>Fulford v. State, 8 Md. App. 270, 274, 259 A.2d 551, 553 (1969)</w:t>
              </w:r>
            </w:hyperlink>
            <w:r>
              <w:rPr>
                <w:rFonts w:ascii="Arial" w:eastAsia="Arial" w:hAnsi="Arial" w:cs="Arial"/>
                <w:color w:val="000000"/>
                <w:sz w:val="20"/>
              </w:rPr>
              <w:t xml:space="preserve"> (paint burned off a metal window frame),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257 Md. 733 (1970).</w:t>
            </w:r>
            <w:r>
              <w:rPr>
                <w:rFonts w:ascii="Arial" w:eastAsia="Arial" w:hAnsi="Arial" w:cs="Arial"/>
                <w:color w:val="000000"/>
                <w:sz w:val="20"/>
              </w:rPr>
              <w:t xml:space="preserve"> Combustion by fire does not include explosion alone but doe</w:t>
            </w:r>
            <w:r>
              <w:rPr>
                <w:rFonts w:ascii="Arial" w:eastAsia="Arial" w:hAnsi="Arial" w:cs="Arial"/>
                <w:color w:val="000000"/>
                <w:sz w:val="20"/>
              </w:rPr>
              <w:t xml:space="preserve">s include explosion followed by fire. The term "sets fire to" is a slightly broader term than "burns." </w:t>
            </w:r>
            <w:hyperlink r:id="rId47" w:history="1">
              <w:r>
                <w:rPr>
                  <w:rFonts w:ascii="Arial" w:eastAsia="Arial" w:hAnsi="Arial" w:cs="Arial"/>
                  <w:i/>
                  <w:color w:val="0077CC"/>
                  <w:sz w:val="20"/>
                  <w:u w:val="single"/>
                </w:rPr>
                <w:t>Borza v. State, 25 Md. A</w:t>
              </w:r>
              <w:r>
                <w:rPr>
                  <w:rFonts w:ascii="Arial" w:eastAsia="Arial" w:hAnsi="Arial" w:cs="Arial"/>
                  <w:i/>
                  <w:color w:val="0077CC"/>
                  <w:sz w:val="20"/>
                  <w:u w:val="single"/>
                </w:rPr>
                <w:t>pp. 391, 396-98, 335 A.2d 142, 146-47</w:t>
              </w:r>
            </w:hyperlink>
            <w:r>
              <w:rPr>
                <w:rFonts w:ascii="Arial" w:eastAsia="Arial" w:hAnsi="Arial" w:cs="Arial"/>
                <w:color w:val="000000"/>
                <w:sz w:val="20"/>
              </w:rPr>
              <w:t xml:space="preserve"> (finding, in the context of burning to defraud, that the fact that the damage to the property resulted from smoke, heat, and water, rather than from combustion, was not controlling),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275 Md. 746 (1975).</w:t>
            </w:r>
            <w:r>
              <w:rPr>
                <w:rFonts w:ascii="Arial" w:eastAsia="Arial" w:hAnsi="Arial" w:cs="Arial"/>
                <w:color w:val="000000"/>
                <w:sz w:val="20"/>
              </w:rPr>
              <w:t xml:space="preserve"> S</w:t>
            </w:r>
            <w:r>
              <w:rPr>
                <w:rFonts w:ascii="Arial" w:eastAsia="Arial" w:hAnsi="Arial" w:cs="Arial"/>
                <w:color w:val="000000"/>
                <w:sz w:val="20"/>
              </w:rPr>
              <w:t xml:space="preserve">tatutory arson deletes the common law requirement that the dwelling house be that of another. </w:t>
            </w:r>
            <w:hyperlink r:id="rId48" w:history="1">
              <w:r>
                <w:rPr>
                  <w:rFonts w:ascii="Arial" w:eastAsia="Arial" w:hAnsi="Arial" w:cs="Arial"/>
                  <w:i/>
                  <w:color w:val="0077CC"/>
                  <w:sz w:val="20"/>
                  <w:u w:val="single"/>
                </w:rPr>
                <w:t>Brown, 285 Md. at 473, 403 A.2d a</w:t>
              </w:r>
              <w:r>
                <w:rPr>
                  <w:rFonts w:ascii="Arial" w:eastAsia="Arial" w:hAnsi="Arial" w:cs="Arial"/>
                  <w:i/>
                  <w:color w:val="0077CC"/>
                  <w:sz w:val="20"/>
                  <w:u w:val="single"/>
                </w:rPr>
                <w:t>t 791;</w:t>
              </w:r>
            </w:hyperlink>
            <w:r>
              <w:rPr>
                <w:rFonts w:ascii="Arial" w:eastAsia="Arial" w:hAnsi="Arial" w:cs="Arial"/>
                <w:color w:val="000000"/>
                <w:sz w:val="20"/>
              </w:rPr>
              <w:t xml:space="preserve"> </w:t>
            </w:r>
            <w:hyperlink r:id="rId49" w:history="1">
              <w:r>
                <w:rPr>
                  <w:rFonts w:ascii="Arial" w:eastAsia="Arial" w:hAnsi="Arial" w:cs="Arial"/>
                  <w:i/>
                  <w:color w:val="0077CC"/>
                  <w:sz w:val="20"/>
                  <w:u w:val="single"/>
                </w:rPr>
                <w:t>Wimpling v. State, 171 Md. 362, 372, 189 A. 248, 253 (1937).</w:t>
              </w:r>
            </w:hyperlink>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28" style="position:absolute;z-index:251668480"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4:06.</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29" style="position:absolute;left:0;text-align:left;z-index:251678720;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gutter="0"/>
          <w:cols w:space="720"/>
          <w:titlePg/>
        </w:sectPr>
      </w:pPr>
    </w:p>
    <w:p w:rsidR="004D60A9" w:rsidRDefault="004D60A9">
      <w:bookmarkStart w:id="1" w:name="Bookmark_2"/>
      <w:bookmarkEnd w:id="1"/>
    </w:p>
    <w:p w:rsidR="004D60A9" w:rsidRDefault="00851367">
      <w:r>
        <w:pict>
          <v:shape id="_x0000_i1028"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56" w:history="1">
        <w:r>
          <w:rPr>
            <w:rFonts w:ascii="Arial" w:eastAsia="Arial" w:hAnsi="Arial" w:cs="Arial"/>
            <w:b/>
            <w:bCs/>
            <w:i/>
            <w:color w:val="0077CC"/>
            <w:kern w:val="32"/>
            <w:sz w:val="28"/>
            <w:szCs w:val="32"/>
            <w:u w:val="single"/>
          </w:rPr>
          <w:t>MPJI-Cr 4:00.1</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ARSON--OCCUPIED STRUCTURE</w:t>
      </w:r>
    </w:p>
    <w:p w:rsidR="004D60A9" w:rsidRDefault="00851367">
      <w:pPr>
        <w:keepNext/>
        <w:spacing w:before="240" w:line="340" w:lineRule="atLeast"/>
      </w:pPr>
      <w:r>
        <w:br/>
      </w:r>
      <w:r>
        <w:rPr>
          <w:rFonts w:ascii="Arial" w:eastAsia="Arial" w:hAnsi="Arial" w:cs="Arial"/>
          <w:b/>
          <w:color w:val="000000"/>
          <w:sz w:val="28"/>
        </w:rPr>
        <w:t>4:00.1Arson--Occupied Structure</w:t>
      </w:r>
    </w:p>
    <w:p w:rsidR="004D60A9" w:rsidRDefault="00851367">
      <w:pPr>
        <w:spacing w:line="60" w:lineRule="exact"/>
      </w:pPr>
      <w:r>
        <w:pict>
          <v:line id="_x0000_s1031" style="position:absolute;z-index:251659264"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arson. Arson is the willful and malicious setting fire to or burning of an occupied structure. In order to convict the defendant of arson, the State mu</w:t>
      </w:r>
      <w:r>
        <w:rPr>
          <w:rFonts w:ascii="Arial" w:eastAsia="Arial" w:hAnsi="Arial" w:cs="Arial"/>
          <w:b/>
          <w:color w:val="000000"/>
          <w:sz w:val="20"/>
        </w:rPr>
        <w:t>st prove</w:t>
      </w:r>
      <w:r>
        <w:rPr>
          <w:rFonts w:ascii="Arial" w:eastAsia="Arial" w:hAnsi="Arial" w:cs="Arial"/>
          <w:color w:val="000000"/>
          <w:sz w:val="20"/>
        </w:rPr>
        <w:t>:</w:t>
      </w:r>
    </w:p>
    <w:p w:rsidR="004D60A9" w:rsidRDefault="00851367">
      <w:pPr>
        <w:spacing w:before="200" w:line="260" w:lineRule="atLeast"/>
        <w:ind w:left="800"/>
        <w:jc w:val="both"/>
      </w:pPr>
      <w:r>
        <w:rPr>
          <w:rFonts w:ascii="Arial" w:eastAsia="Arial" w:hAnsi="Arial" w:cs="Arial"/>
          <w:b/>
          <w:color w:val="000000"/>
          <w:sz w:val="20"/>
        </w:rPr>
        <w:t>(1) that the defendant set fire to or burned at least part of an occupied structure; and</w:t>
      </w:r>
    </w:p>
    <w:p w:rsidR="004D60A9" w:rsidRDefault="00851367">
      <w:pPr>
        <w:spacing w:before="200" w:line="260" w:lineRule="atLeast"/>
        <w:ind w:left="800"/>
        <w:jc w:val="both"/>
      </w:pPr>
      <w:r>
        <w:rPr>
          <w:rFonts w:ascii="Arial" w:eastAsia="Arial" w:hAnsi="Arial" w:cs="Arial"/>
          <w:b/>
          <w:color w:val="000000"/>
          <w:sz w:val="20"/>
        </w:rPr>
        <w:t>(2) that the setting fire to or burning of the occupied structure was willful and malicious</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An occupied structure is a structure, other than a dwelling, whe</w:t>
      </w:r>
      <w:r>
        <w:rPr>
          <w:rFonts w:ascii="Arial" w:eastAsia="Arial" w:hAnsi="Arial" w:cs="Arial"/>
          <w:b/>
          <w:color w:val="000000"/>
          <w:sz w:val="20"/>
        </w:rPr>
        <w:t>re another individual, who is not a participant, is present at the time the fire is set or the structure is burned. It is not a defense to arson that the defendant owns the property, in whole or part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Burning is the actual combustion or charring by fire. T</w:t>
      </w:r>
      <w:r>
        <w:rPr>
          <w:rFonts w:ascii="Arial" w:eastAsia="Arial" w:hAnsi="Arial" w:cs="Arial"/>
          <w:b/>
          <w:color w:val="000000"/>
          <w:sz w:val="20"/>
        </w:rPr>
        <w:t>he slightest burning of any part of the occupied structure is sufficient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Willfully means a person acted intentionally, knowingly, and purposely</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Maliciously means a person acted with the intent to harm others or their property</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4:00 (Arson--Dwelling).</w:t>
            </w:r>
          </w:p>
          <w:p w:rsidR="004D60A9" w:rsidRDefault="00851367">
            <w:pPr>
              <w:spacing w:before="200" w:line="260" w:lineRule="atLeast"/>
              <w:ind w:left="60" w:right="360"/>
              <w:jc w:val="both"/>
            </w:pPr>
            <w:r>
              <w:rPr>
                <w:rFonts w:ascii="Arial" w:eastAsia="Arial" w:hAnsi="Arial" w:cs="Arial"/>
                <w:color w:val="000000"/>
                <w:sz w:val="20"/>
              </w:rPr>
              <w:t xml:space="preserve">Arson includes the willful and malicious setting fire to or burning of any occupied structure. </w:t>
            </w:r>
            <w:r>
              <w:rPr>
                <w:rFonts w:ascii="Arial" w:eastAsia="Arial" w:hAnsi="Arial" w:cs="Arial"/>
                <w:i/>
                <w:color w:val="000000"/>
                <w:sz w:val="20"/>
              </w:rPr>
              <w:t>See</w:t>
            </w:r>
            <w:r>
              <w:rPr>
                <w:rFonts w:ascii="Arial" w:eastAsia="Arial" w:hAnsi="Arial" w:cs="Arial"/>
                <w:color w:val="000000"/>
                <w:sz w:val="20"/>
              </w:rPr>
              <w:t xml:space="preserve"> CRIM. LAW I § 6-102. Occupied structure means "a structure in or on which an individual who is not a participant </w:t>
            </w:r>
            <w:r>
              <w:rPr>
                <w:rFonts w:ascii="Arial" w:eastAsia="Arial" w:hAnsi="Arial" w:cs="Arial"/>
                <w:color w:val="000000"/>
                <w:sz w:val="20"/>
              </w:rPr>
              <w:t xml:space="preserve">is present." </w:t>
            </w:r>
            <w:r>
              <w:rPr>
                <w:rFonts w:ascii="Arial" w:eastAsia="Arial" w:hAnsi="Arial" w:cs="Arial"/>
                <w:i/>
                <w:color w:val="000000"/>
                <w:sz w:val="20"/>
              </w:rPr>
              <w:t>Id.</w:t>
            </w:r>
            <w:r>
              <w:rPr>
                <w:rFonts w:ascii="Arial" w:eastAsia="Arial" w:hAnsi="Arial" w:cs="Arial"/>
                <w:color w:val="000000"/>
                <w:sz w:val="20"/>
              </w:rPr>
              <w:t xml:space="preserve"> § 6-102(a)(2).</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32" style="position:absolute;z-index:251669504"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4:00.</w:t>
      </w:r>
    </w:p>
    <w:p w:rsidR="004D60A9" w:rsidRDefault="00851367">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33" style="position:absolute;left:0;text-align:left;z-index:251679744;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gutter="0"/>
          <w:cols w:space="720"/>
          <w:titlePg/>
        </w:sectPr>
      </w:pPr>
    </w:p>
    <w:p w:rsidR="004D60A9" w:rsidRDefault="004D60A9">
      <w:bookmarkStart w:id="2" w:name="Bookmark_3"/>
      <w:bookmarkEnd w:id="2"/>
    </w:p>
    <w:p w:rsidR="004D60A9" w:rsidRDefault="00851367">
      <w:r>
        <w:pict>
          <v:shape id="_x0000_i1029"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63" w:history="1">
        <w:r>
          <w:rPr>
            <w:rFonts w:ascii="Arial" w:eastAsia="Arial" w:hAnsi="Arial" w:cs="Arial"/>
            <w:b/>
            <w:bCs/>
            <w:i/>
            <w:color w:val="0077CC"/>
            <w:kern w:val="32"/>
            <w:sz w:val="28"/>
            <w:szCs w:val="32"/>
            <w:u w:val="single"/>
          </w:rPr>
          <w:t>MPJI-Cr 4:00.2</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ARSON--VEHICLE OR OTH</w:t>
      </w:r>
      <w:r>
        <w:rPr>
          <w:rFonts w:ascii="Arial" w:eastAsia="Arial" w:hAnsi="Arial" w:cs="Arial"/>
          <w:b/>
          <w:i/>
          <w:color w:val="000000"/>
          <w:sz w:val="22"/>
        </w:rPr>
        <w:t>ER STRUCTURE</w:t>
      </w:r>
    </w:p>
    <w:p w:rsidR="004D60A9" w:rsidRDefault="00851367">
      <w:pPr>
        <w:keepNext/>
        <w:spacing w:before="240" w:line="340" w:lineRule="atLeast"/>
      </w:pPr>
      <w:r>
        <w:br/>
      </w:r>
      <w:r>
        <w:rPr>
          <w:rFonts w:ascii="Arial" w:eastAsia="Arial" w:hAnsi="Arial" w:cs="Arial"/>
          <w:b/>
          <w:color w:val="000000"/>
          <w:sz w:val="28"/>
        </w:rPr>
        <w:t>4:00.2Arson--Vehicle Or Other Structure</w:t>
      </w:r>
    </w:p>
    <w:p w:rsidR="004D60A9" w:rsidRDefault="00851367">
      <w:pPr>
        <w:spacing w:line="60" w:lineRule="exact"/>
      </w:pPr>
      <w:r>
        <w:pict>
          <v:line id="_x0000_s1035" style="position:absolute;z-index:251660288"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arson. Arson is the willful and malicious setting fire to or burning of a [building] [vehicle] [watercraft] [(</w:t>
      </w:r>
      <w:r>
        <w:rPr>
          <w:rFonts w:ascii="Arial" w:eastAsia="Arial" w:hAnsi="Arial" w:cs="Arial"/>
          <w:b/>
          <w:color w:val="000000"/>
          <w:sz w:val="20"/>
          <w:u w:val="single"/>
        </w:rPr>
        <w:t>describe other structure</w:t>
      </w:r>
      <w:r>
        <w:rPr>
          <w:rFonts w:ascii="Arial" w:eastAsia="Arial" w:hAnsi="Arial" w:cs="Arial"/>
          <w:b/>
          <w:color w:val="000000"/>
          <w:sz w:val="20"/>
        </w:rPr>
        <w:t xml:space="preserve">)]. In order to </w:t>
      </w:r>
      <w:r>
        <w:rPr>
          <w:rFonts w:ascii="Arial" w:eastAsia="Arial" w:hAnsi="Arial" w:cs="Arial"/>
          <w:b/>
          <w:color w:val="000000"/>
          <w:sz w:val="20"/>
        </w:rPr>
        <w:t>convict the defendant of arson,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that the defendant set fire to or burned at least part of a [building] [vehicle] [watercraft] [(</w:t>
      </w:r>
      <w:r>
        <w:rPr>
          <w:rFonts w:ascii="Arial" w:eastAsia="Arial" w:hAnsi="Arial" w:cs="Arial"/>
          <w:b/>
          <w:color w:val="000000"/>
          <w:sz w:val="20"/>
          <w:u w:val="single"/>
        </w:rPr>
        <w:t>describe other structure</w:t>
      </w:r>
      <w:r>
        <w:rPr>
          <w:rFonts w:ascii="Arial" w:eastAsia="Arial" w:hAnsi="Arial" w:cs="Arial"/>
          <w:b/>
          <w:color w:val="000000"/>
          <w:sz w:val="20"/>
        </w:rPr>
        <w:t>)]; and</w:t>
      </w:r>
    </w:p>
    <w:p w:rsidR="004D60A9" w:rsidRDefault="00851367">
      <w:pPr>
        <w:spacing w:before="200" w:line="260" w:lineRule="atLeast"/>
        <w:ind w:left="400"/>
        <w:jc w:val="both"/>
      </w:pPr>
      <w:r>
        <w:rPr>
          <w:rFonts w:ascii="Arial" w:eastAsia="Arial" w:hAnsi="Arial" w:cs="Arial"/>
          <w:b/>
          <w:color w:val="000000"/>
          <w:sz w:val="20"/>
        </w:rPr>
        <w:t>(2) that the setting fire to or burning of the [building] [vehicle] [w</w:t>
      </w:r>
      <w:r>
        <w:rPr>
          <w:rFonts w:ascii="Arial" w:eastAsia="Arial" w:hAnsi="Arial" w:cs="Arial"/>
          <w:b/>
          <w:color w:val="000000"/>
          <w:sz w:val="20"/>
        </w:rPr>
        <w:t>atercraft] [(</w:t>
      </w:r>
      <w:r>
        <w:rPr>
          <w:rFonts w:ascii="Arial" w:eastAsia="Arial" w:hAnsi="Arial" w:cs="Arial"/>
          <w:b/>
          <w:color w:val="000000"/>
          <w:sz w:val="20"/>
          <w:u w:val="single"/>
        </w:rPr>
        <w:t>describe other structure</w:t>
      </w:r>
      <w:r>
        <w:rPr>
          <w:rFonts w:ascii="Arial" w:eastAsia="Arial" w:hAnsi="Arial" w:cs="Arial"/>
          <w:b/>
          <w:color w:val="000000"/>
          <w:sz w:val="20"/>
        </w:rPr>
        <w:t>)] was willful and malicious</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Burning is the actual combustion or charring by fire. The slightest burning of any part of the [building] [vehicle] [watercraft] [(</w:t>
      </w:r>
      <w:r>
        <w:rPr>
          <w:rFonts w:ascii="Arial" w:eastAsia="Arial" w:hAnsi="Arial" w:cs="Arial"/>
          <w:b/>
          <w:color w:val="000000"/>
          <w:sz w:val="20"/>
          <w:u w:val="single"/>
        </w:rPr>
        <w:t>describe other structure</w:t>
      </w:r>
      <w:r>
        <w:rPr>
          <w:rFonts w:ascii="Arial" w:eastAsia="Arial" w:hAnsi="Arial" w:cs="Arial"/>
          <w:b/>
          <w:color w:val="000000"/>
          <w:sz w:val="20"/>
        </w:rPr>
        <w:t>)] is sufficient. It is a not a de</w:t>
      </w:r>
      <w:r>
        <w:rPr>
          <w:rFonts w:ascii="Arial" w:eastAsia="Arial" w:hAnsi="Arial" w:cs="Arial"/>
          <w:b/>
          <w:color w:val="000000"/>
          <w:sz w:val="20"/>
        </w:rPr>
        <w:t>fense to arson that the defendant owns the property, in whole or part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Willfully means a person acted intentionally, knowingly, and purposely</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Maliciously means a person acted with the intent to harm others or their property</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4:00 (Arson--Dwelling).</w:t>
            </w:r>
          </w:p>
          <w:p w:rsidR="004D60A9" w:rsidRDefault="00851367">
            <w:pPr>
              <w:spacing w:before="200" w:line="260" w:lineRule="atLeast"/>
              <w:ind w:left="60" w:right="360"/>
              <w:jc w:val="both"/>
            </w:pPr>
            <w:r>
              <w:rPr>
                <w:rFonts w:ascii="Arial" w:eastAsia="Arial" w:hAnsi="Arial" w:cs="Arial"/>
                <w:color w:val="000000"/>
                <w:sz w:val="20"/>
              </w:rPr>
              <w:t>The legislature expanded the scope of the arson statute to include the willful and malicious setting fire to or burning of any structure. CRIM. LAW I § 6-103 (2002). Structure is defined as follows:</w:t>
            </w:r>
          </w:p>
          <w:p w:rsidR="004D60A9" w:rsidRDefault="00851367">
            <w:pPr>
              <w:spacing w:before="60" w:line="260" w:lineRule="atLeast"/>
              <w:ind w:left="460" w:right="360"/>
              <w:jc w:val="both"/>
            </w:pPr>
            <w:r>
              <w:rPr>
                <w:rFonts w:ascii="Arial" w:eastAsia="Arial" w:hAnsi="Arial" w:cs="Arial"/>
                <w:color w:val="000000"/>
                <w:sz w:val="20"/>
              </w:rPr>
              <w:t>(1) "Structur</w:t>
            </w:r>
            <w:r>
              <w:rPr>
                <w:rFonts w:ascii="Arial" w:eastAsia="Arial" w:hAnsi="Arial" w:cs="Arial"/>
                <w:color w:val="000000"/>
                <w:sz w:val="20"/>
              </w:rPr>
              <w:t>e" means a building or other construction, a vehicle, or watercraft.</w:t>
            </w:r>
          </w:p>
          <w:p w:rsidR="004D60A9" w:rsidRDefault="00851367">
            <w:pPr>
              <w:spacing w:before="60" w:line="260" w:lineRule="atLeast"/>
              <w:ind w:left="460" w:right="360"/>
              <w:jc w:val="both"/>
            </w:pPr>
            <w:r>
              <w:rPr>
                <w:rFonts w:ascii="Arial" w:eastAsia="Arial" w:hAnsi="Arial" w:cs="Arial"/>
                <w:color w:val="000000"/>
                <w:sz w:val="20"/>
              </w:rPr>
              <w:t>(2) "Structure" includes a:</w:t>
            </w:r>
          </w:p>
          <w:p w:rsidR="004D60A9" w:rsidRDefault="00851367">
            <w:pPr>
              <w:spacing w:before="60" w:line="260" w:lineRule="atLeast"/>
              <w:ind w:left="860" w:right="360"/>
              <w:jc w:val="both"/>
            </w:pPr>
            <w:r>
              <w:rPr>
                <w:rFonts w:ascii="Arial" w:eastAsia="Arial" w:hAnsi="Arial" w:cs="Arial"/>
                <w:color w:val="000000"/>
                <w:sz w:val="20"/>
              </w:rPr>
              <w:t>(i) barn, stable, pier, wharf, and any facility attached to a pier or wharf;</w:t>
            </w:r>
          </w:p>
          <w:p w:rsidR="004D60A9" w:rsidRDefault="00851367">
            <w:pPr>
              <w:spacing w:before="60" w:line="260" w:lineRule="atLeast"/>
              <w:ind w:left="860" w:right="360"/>
              <w:jc w:val="both"/>
            </w:pPr>
            <w:r>
              <w:rPr>
                <w:rFonts w:ascii="Arial" w:eastAsia="Arial" w:hAnsi="Arial" w:cs="Arial"/>
                <w:color w:val="000000"/>
                <w:sz w:val="20"/>
              </w:rPr>
              <w:t>(ii) tent, public building, or public bridge; and</w:t>
            </w:r>
          </w:p>
          <w:p w:rsidR="004D60A9" w:rsidRDefault="00851367">
            <w:pPr>
              <w:spacing w:before="60" w:line="260" w:lineRule="atLeast"/>
              <w:ind w:left="860" w:right="360"/>
              <w:jc w:val="both"/>
            </w:pPr>
            <w:r>
              <w:rPr>
                <w:rFonts w:ascii="Arial" w:eastAsia="Arial" w:hAnsi="Arial" w:cs="Arial"/>
                <w:color w:val="000000"/>
                <w:sz w:val="20"/>
              </w:rPr>
              <w:t>(iii) railroad car.</w:t>
            </w:r>
          </w:p>
          <w:p w:rsidR="004D60A9" w:rsidRDefault="00851367">
            <w:pPr>
              <w:spacing w:before="24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 6-101(</w:t>
            </w:r>
            <w:r>
              <w:rPr>
                <w:rFonts w:ascii="Arial" w:eastAsia="Arial" w:hAnsi="Arial" w:cs="Arial"/>
                <w:color w:val="000000"/>
                <w:sz w:val="20"/>
              </w:rPr>
              <w:t xml:space="preserve">d); </w:t>
            </w:r>
            <w:r>
              <w:rPr>
                <w:rFonts w:ascii="Arial" w:eastAsia="Arial" w:hAnsi="Arial" w:cs="Arial"/>
                <w:i/>
                <w:color w:val="000000"/>
                <w:sz w:val="20"/>
              </w:rPr>
              <w:t xml:space="preserve">see, e.g., </w:t>
            </w:r>
            <w:hyperlink r:id="rId64" w:history="1">
              <w:r>
                <w:rPr>
                  <w:rFonts w:ascii="Arial" w:eastAsia="Arial" w:hAnsi="Arial" w:cs="Arial"/>
                  <w:i/>
                  <w:color w:val="0077CC"/>
                  <w:sz w:val="20"/>
                  <w:u w:val="single"/>
                </w:rPr>
                <w:t>Brown v. State, 39 Md. App. 497, 499-503, 388 A.2d 130, 133-35 (1978)</w:t>
              </w:r>
            </w:hyperlink>
            <w:r>
              <w:rPr>
                <w:rFonts w:ascii="Arial" w:eastAsia="Arial" w:hAnsi="Arial" w:cs="Arial"/>
                <w:color w:val="000000"/>
                <w:sz w:val="20"/>
              </w:rPr>
              <w:t xml:space="preserve"> (unused and vadalized raceway clubhouse, c</w:t>
            </w:r>
            <w:r>
              <w:rPr>
                <w:rFonts w:ascii="Arial" w:eastAsia="Arial" w:hAnsi="Arial" w:cs="Arial"/>
                <w:color w:val="000000"/>
                <w:sz w:val="20"/>
              </w:rPr>
              <w:t xml:space="preserve">onsisting of steel-framed walls and a roof, with the windows and utilities removed), </w:t>
            </w:r>
            <w:r>
              <w:rPr>
                <w:rFonts w:ascii="Arial" w:eastAsia="Arial" w:hAnsi="Arial" w:cs="Arial"/>
                <w:i/>
                <w:color w:val="000000"/>
                <w:sz w:val="20"/>
              </w:rPr>
              <w:t>rev'd on other grounds</w:t>
            </w:r>
            <w:r>
              <w:rPr>
                <w:rFonts w:ascii="Arial" w:eastAsia="Arial" w:hAnsi="Arial" w:cs="Arial"/>
                <w:color w:val="000000"/>
                <w:sz w:val="20"/>
              </w:rPr>
              <w:t xml:space="preserve">, </w:t>
            </w:r>
            <w:hyperlink r:id="rId65" w:history="1">
              <w:r>
                <w:rPr>
                  <w:rFonts w:ascii="Arial" w:eastAsia="Arial" w:hAnsi="Arial" w:cs="Arial"/>
                  <w:i/>
                  <w:color w:val="0077CC"/>
                  <w:sz w:val="20"/>
                  <w:u w:val="single"/>
                </w:rPr>
                <w:t>285 Md. 469, 403 A.2d 788 (1979).</w:t>
              </w:r>
            </w:hyperlink>
            <w:r>
              <w:rPr>
                <w:rFonts w:ascii="Arial" w:eastAsia="Arial" w:hAnsi="Arial" w:cs="Arial"/>
                <w:color w:val="000000"/>
                <w:sz w:val="20"/>
              </w:rPr>
              <w:t xml:space="preserve"> The scope of a storehouse, within the </w:t>
            </w:r>
            <w:r>
              <w:rPr>
                <w:rFonts w:ascii="Arial" w:eastAsia="Arial" w:hAnsi="Arial" w:cs="Arial"/>
                <w:color w:val="000000"/>
                <w:sz w:val="20"/>
              </w:rPr>
              <w:lastRenderedPageBreak/>
              <w:t>meaning of burglary, and the scope of structure, within t</w:t>
            </w:r>
            <w:r>
              <w:rPr>
                <w:rFonts w:ascii="Arial" w:eastAsia="Arial" w:hAnsi="Arial" w:cs="Arial"/>
                <w:color w:val="000000"/>
                <w:sz w:val="20"/>
              </w:rPr>
              <w:t>he meaning of arson, are similar but not identical. For example, in arson, a structure includes a vehicle, tent, or public bridge, see CRIM. LAW I § 6-101(d), but in burglary, storehouse does not include a vehicle, tent, or public bridge, see § 6-201(h).</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36" style="position:absolute;z-index:251670528"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4:00.</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37" style="position:absolute;left:0;text-align:left;z-index:251680768;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gutter="0"/>
          <w:cols w:space="720"/>
          <w:titlePg/>
        </w:sectPr>
      </w:pPr>
    </w:p>
    <w:p w:rsidR="004D60A9" w:rsidRDefault="004D60A9">
      <w:bookmarkStart w:id="3" w:name="Bookmark_4"/>
      <w:bookmarkEnd w:id="3"/>
    </w:p>
    <w:p w:rsidR="004D60A9" w:rsidRDefault="00851367">
      <w:r>
        <w:pict>
          <v:shape id="_x0000_i1030"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72" w:history="1">
        <w:r>
          <w:rPr>
            <w:rFonts w:ascii="Arial" w:eastAsia="Arial" w:hAnsi="Arial" w:cs="Arial"/>
            <w:b/>
            <w:bCs/>
            <w:i/>
            <w:color w:val="0077CC"/>
            <w:kern w:val="32"/>
            <w:sz w:val="28"/>
            <w:szCs w:val="32"/>
            <w:u w:val="single"/>
          </w:rPr>
          <w:t>MPJI-Cr 4:00.3</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ARSON--MALICIOUS BURN</w:t>
      </w:r>
      <w:r>
        <w:rPr>
          <w:rFonts w:ascii="Arial" w:eastAsia="Arial" w:hAnsi="Arial" w:cs="Arial"/>
          <w:b/>
          <w:i/>
          <w:color w:val="000000"/>
          <w:sz w:val="22"/>
        </w:rPr>
        <w:t>ING OF PERSONAL PROPERTY</w:t>
      </w:r>
    </w:p>
    <w:p w:rsidR="004D60A9" w:rsidRDefault="00851367">
      <w:pPr>
        <w:keepNext/>
        <w:spacing w:before="240" w:line="340" w:lineRule="atLeast"/>
      </w:pPr>
      <w:r>
        <w:br/>
      </w:r>
      <w:r>
        <w:rPr>
          <w:rFonts w:ascii="Arial" w:eastAsia="Arial" w:hAnsi="Arial" w:cs="Arial"/>
          <w:b/>
          <w:color w:val="000000"/>
          <w:sz w:val="28"/>
        </w:rPr>
        <w:t>4:00.3Arson--Malicious Burning of Personal Property</w:t>
      </w:r>
    </w:p>
    <w:p w:rsidR="004D60A9" w:rsidRDefault="00851367">
      <w:pPr>
        <w:spacing w:line="60" w:lineRule="exact"/>
      </w:pPr>
      <w:r>
        <w:pict>
          <v:line id="_x0000_s1039" style="position:absolute;z-index:251661312"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malicious burning of personal property belonging to another. Malicious burning is the willful and malicious setting fire to or burni</w:t>
      </w:r>
      <w:r>
        <w:rPr>
          <w:rFonts w:ascii="Arial" w:eastAsia="Arial" w:hAnsi="Arial" w:cs="Arial"/>
          <w:b/>
          <w:color w:val="000000"/>
          <w:sz w:val="20"/>
        </w:rPr>
        <w:t>ng of the personal property of another [when the extent of the damage to the property was at least $ 1,000]. In order to convict the defendant of malicious burning,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(1) that the defendant set fire to or burned personal </w:t>
      </w:r>
      <w:r>
        <w:rPr>
          <w:rFonts w:ascii="Arial" w:eastAsia="Arial" w:hAnsi="Arial" w:cs="Arial"/>
          <w:b/>
          <w:color w:val="000000"/>
          <w:sz w:val="20"/>
        </w:rPr>
        <w:t>property</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(2) that the personal property, in whole or part, belonged to another; [and]</w:t>
      </w:r>
    </w:p>
    <w:p w:rsidR="004D60A9" w:rsidRDefault="00851367">
      <w:pPr>
        <w:spacing w:before="200" w:line="260" w:lineRule="atLeast"/>
        <w:ind w:left="400"/>
        <w:jc w:val="both"/>
      </w:pPr>
      <w:r>
        <w:rPr>
          <w:rFonts w:ascii="Arial" w:eastAsia="Arial" w:hAnsi="Arial" w:cs="Arial"/>
          <w:b/>
          <w:color w:val="000000"/>
          <w:sz w:val="20"/>
        </w:rPr>
        <w:t>(3) that the burning of the goods was willful and malicious[; and] [.]</w:t>
      </w:r>
    </w:p>
    <w:p w:rsidR="004D60A9" w:rsidRDefault="00851367">
      <w:pPr>
        <w:spacing w:before="200" w:line="260" w:lineRule="atLeast"/>
        <w:ind w:left="400"/>
        <w:jc w:val="both"/>
      </w:pPr>
      <w:r>
        <w:rPr>
          <w:rFonts w:ascii="Arial" w:eastAsia="Arial" w:hAnsi="Arial" w:cs="Arial"/>
          <w:b/>
          <w:color w:val="000000"/>
          <w:sz w:val="20"/>
        </w:rPr>
        <w:t>[(4) that the damage to the goods was at least $ 1,000.]</w:t>
      </w:r>
    </w:p>
    <w:p w:rsidR="004D60A9" w:rsidRDefault="00851367">
      <w:pPr>
        <w:spacing w:before="200" w:line="260" w:lineRule="atLeast"/>
        <w:jc w:val="both"/>
      </w:pPr>
      <w:r>
        <w:rPr>
          <w:rFonts w:ascii="Arial" w:eastAsia="Arial" w:hAnsi="Arial" w:cs="Arial"/>
          <w:b/>
          <w:color w:val="000000"/>
          <w:sz w:val="20"/>
        </w:rPr>
        <w:t>Burning is the actual combustion or charr</w:t>
      </w:r>
      <w:r>
        <w:rPr>
          <w:rFonts w:ascii="Arial" w:eastAsia="Arial" w:hAnsi="Arial" w:cs="Arial"/>
          <w:b/>
          <w:color w:val="000000"/>
          <w:sz w:val="20"/>
        </w:rPr>
        <w:t>ing by fire. The slightest burning is sufficient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Willfully means a person acted intentionally, knowingly, and purposely</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Maliciously means a person acted with the intent to harm others or their property</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4:00 (Arson--Dwel</w:t>
            </w:r>
            <w:r>
              <w:rPr>
                <w:rFonts w:ascii="Arial" w:eastAsia="Arial" w:hAnsi="Arial" w:cs="Arial"/>
                <w:color w:val="000000"/>
                <w:sz w:val="20"/>
              </w:rPr>
              <w:t>ling).</w:t>
            </w:r>
          </w:p>
          <w:p w:rsidR="004D60A9" w:rsidRDefault="00851367">
            <w:pPr>
              <w:spacing w:before="200" w:line="260" w:lineRule="atLeast"/>
              <w:ind w:left="60" w:right="360"/>
              <w:jc w:val="both"/>
            </w:pPr>
            <w:r>
              <w:rPr>
                <w:rFonts w:ascii="Arial" w:eastAsia="Arial" w:hAnsi="Arial" w:cs="Arial"/>
                <w:color w:val="000000"/>
                <w:sz w:val="20"/>
              </w:rPr>
              <w:t>The personal property that is the subject of the willful and malicious burning must be that of another. If the value of the personal property was $ 1,000 or more, the offense is of the first degree and a felony. CRIM. LAW I § 6-104. Otherwise, the o</w:t>
            </w:r>
            <w:r>
              <w:rPr>
                <w:rFonts w:ascii="Arial" w:eastAsia="Arial" w:hAnsi="Arial" w:cs="Arial"/>
                <w:color w:val="000000"/>
                <w:sz w:val="20"/>
              </w:rPr>
              <w:t xml:space="preserve">ffense is of the second degree and a misdemeanor. </w:t>
            </w:r>
            <w:r>
              <w:rPr>
                <w:rFonts w:ascii="Arial" w:eastAsia="Arial" w:hAnsi="Arial" w:cs="Arial"/>
                <w:i/>
                <w:color w:val="000000"/>
                <w:sz w:val="20"/>
              </w:rPr>
              <w:t>Id.</w:t>
            </w:r>
            <w:r>
              <w:rPr>
                <w:rFonts w:ascii="Arial" w:eastAsia="Arial" w:hAnsi="Arial" w:cs="Arial"/>
                <w:color w:val="000000"/>
                <w:sz w:val="20"/>
              </w:rPr>
              <w:t xml:space="preserve"> § 6-105.</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t>#MICPEL#</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40" style="position:absolute;left:0;text-align:left;z-index:251671552;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gutter="0"/>
          <w:cols w:space="720"/>
          <w:titlePg/>
        </w:sectPr>
      </w:pPr>
    </w:p>
    <w:p w:rsidR="004D60A9" w:rsidRDefault="004D60A9">
      <w:bookmarkStart w:id="4" w:name="Bookmark_5"/>
      <w:bookmarkEnd w:id="4"/>
    </w:p>
    <w:p w:rsidR="004D60A9" w:rsidRDefault="00851367">
      <w:r>
        <w:pict>
          <v:shape id="_x0000_i1031"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79" w:history="1">
        <w:r>
          <w:rPr>
            <w:rFonts w:ascii="Arial" w:eastAsia="Arial" w:hAnsi="Arial" w:cs="Arial"/>
            <w:b/>
            <w:bCs/>
            <w:i/>
            <w:color w:val="0077CC"/>
            <w:kern w:val="32"/>
            <w:sz w:val="28"/>
            <w:szCs w:val="32"/>
            <w:u w:val="single"/>
          </w:rPr>
          <w:t>MPJI-Cr 4:00.4</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ARSON--BURNING TO DEF</w:t>
      </w:r>
      <w:r>
        <w:rPr>
          <w:rFonts w:ascii="Arial" w:eastAsia="Arial" w:hAnsi="Arial" w:cs="Arial"/>
          <w:b/>
          <w:i/>
          <w:color w:val="000000"/>
          <w:sz w:val="22"/>
        </w:rPr>
        <w:t>RAUD</w:t>
      </w:r>
    </w:p>
    <w:p w:rsidR="004D60A9" w:rsidRDefault="00851367">
      <w:pPr>
        <w:keepNext/>
        <w:spacing w:before="240" w:line="340" w:lineRule="atLeast"/>
      </w:pPr>
      <w:r>
        <w:br/>
      </w:r>
      <w:r>
        <w:rPr>
          <w:rFonts w:ascii="Arial" w:eastAsia="Arial" w:hAnsi="Arial" w:cs="Arial"/>
          <w:b/>
          <w:color w:val="000000"/>
          <w:sz w:val="28"/>
        </w:rPr>
        <w:t>4:00.4Arson--Burning to Defraud</w:t>
      </w:r>
    </w:p>
    <w:p w:rsidR="004D60A9" w:rsidRDefault="00851367">
      <w:pPr>
        <w:spacing w:line="60" w:lineRule="exact"/>
      </w:pPr>
      <w:r>
        <w:pict>
          <v:line id="_x0000_s1042" style="position:absolute;z-index:251662336"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burning to defraud. Burning to defraud is the setting fire to or burning of property of any kind with the intent to defraud another. In order to convict the defendant of bu</w:t>
      </w:r>
      <w:r>
        <w:rPr>
          <w:rFonts w:ascii="Arial" w:eastAsia="Arial" w:hAnsi="Arial" w:cs="Arial"/>
          <w:b/>
          <w:color w:val="000000"/>
          <w:sz w:val="20"/>
        </w:rPr>
        <w:t>rning to defraud,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that the defendant set fire to or burned any property; and</w:t>
      </w:r>
    </w:p>
    <w:p w:rsidR="004D60A9" w:rsidRDefault="00851367">
      <w:pPr>
        <w:spacing w:before="200" w:line="260" w:lineRule="atLeast"/>
        <w:ind w:left="400"/>
        <w:jc w:val="both"/>
      </w:pPr>
      <w:r>
        <w:rPr>
          <w:rFonts w:ascii="Arial" w:eastAsia="Arial" w:hAnsi="Arial" w:cs="Arial"/>
          <w:b/>
          <w:color w:val="000000"/>
          <w:sz w:val="20"/>
        </w:rPr>
        <w:t>(2) that the defendant set fire to or burned the property with the intent to defraud another</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 xml:space="preserve">It is a not a defense to arson that the defendant owns </w:t>
      </w:r>
      <w:r>
        <w:rPr>
          <w:rFonts w:ascii="Arial" w:eastAsia="Arial" w:hAnsi="Arial" w:cs="Arial"/>
          <w:b/>
          <w:color w:val="000000"/>
          <w:sz w:val="20"/>
        </w:rPr>
        <w:t>the property, in whole or part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"Intent to defraud" means intent to deceive for the purpose of causing some financial or property loss to another</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Although the State must prove the intent to defraud, the State does not have to prove that the defendant inte</w:t>
      </w:r>
      <w:r>
        <w:rPr>
          <w:rFonts w:ascii="Arial" w:eastAsia="Arial" w:hAnsi="Arial" w:cs="Arial"/>
          <w:b/>
          <w:color w:val="000000"/>
          <w:sz w:val="20"/>
        </w:rPr>
        <w:t>nded to defraud any particular person or that anyone actually suffered an economic loss</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4:00 (Arson--Dwelling).</w:t>
            </w:r>
          </w:p>
          <w:p w:rsidR="004D60A9" w:rsidRDefault="00851367">
            <w:pPr>
              <w:spacing w:before="200" w:line="260" w:lineRule="atLeast"/>
              <w:ind w:left="60" w:right="360"/>
              <w:jc w:val="both"/>
            </w:pPr>
            <w:r>
              <w:rPr>
                <w:rFonts w:ascii="Arial" w:eastAsia="Arial" w:hAnsi="Arial" w:cs="Arial"/>
                <w:color w:val="000000"/>
                <w:sz w:val="20"/>
              </w:rPr>
              <w:t>CRIMINAL LAW I § 6-106 prohibits setting fire to or burning any property with the intent to defraud, broadeni</w:t>
            </w:r>
            <w:r>
              <w:rPr>
                <w:rFonts w:ascii="Arial" w:eastAsia="Arial" w:hAnsi="Arial" w:cs="Arial"/>
                <w:color w:val="000000"/>
                <w:sz w:val="20"/>
              </w:rPr>
              <w:t xml:space="preserve">ng the prior statute, which was limited to defrauding an insurer. In </w:t>
            </w:r>
            <w:hyperlink r:id="rId80" w:history="1">
              <w:r>
                <w:rPr>
                  <w:rFonts w:ascii="Arial" w:eastAsia="Arial" w:hAnsi="Arial" w:cs="Arial"/>
                  <w:i/>
                  <w:color w:val="0077CC"/>
                  <w:sz w:val="20"/>
                  <w:u w:val="single"/>
                </w:rPr>
                <w:t>Borza v. State, 25 Md. App. 391, 335 A.2d 142 (1975),</w:t>
              </w:r>
            </w:hyperlink>
            <w:r>
              <w:rPr>
                <w:rFonts w:ascii="Arial" w:eastAsia="Arial" w:hAnsi="Arial" w:cs="Arial"/>
                <w:color w:val="000000"/>
                <w:sz w:val="20"/>
              </w:rPr>
              <w:t xml:space="preserve"> </w:t>
            </w:r>
            <w:r>
              <w:rPr>
                <w:rFonts w:ascii="Arial" w:eastAsia="Arial" w:hAnsi="Arial" w:cs="Arial"/>
                <w:i/>
                <w:color w:val="000000"/>
                <w:sz w:val="20"/>
              </w:rPr>
              <w:t>cert</w:t>
            </w:r>
            <w:r>
              <w:rPr>
                <w:rFonts w:ascii="Arial" w:eastAsia="Arial" w:hAnsi="Arial" w:cs="Arial"/>
                <w:i/>
                <w:color w:val="000000"/>
                <w:sz w:val="20"/>
              </w:rPr>
              <w:t>. denied</w:t>
            </w:r>
            <w:r>
              <w:rPr>
                <w:rFonts w:ascii="Arial" w:eastAsia="Arial" w:hAnsi="Arial" w:cs="Arial"/>
                <w:color w:val="000000"/>
                <w:sz w:val="20"/>
              </w:rPr>
              <w:t xml:space="preserve">, </w:t>
            </w:r>
            <w:r>
              <w:rPr>
                <w:rFonts w:ascii="Arial" w:eastAsia="Arial" w:hAnsi="Arial" w:cs="Arial"/>
                <w:i/>
                <w:color w:val="000000"/>
                <w:sz w:val="20"/>
              </w:rPr>
              <w:t>275 Md. 746 (1975),</w:t>
            </w:r>
            <w:r>
              <w:rPr>
                <w:rFonts w:ascii="Arial" w:eastAsia="Arial" w:hAnsi="Arial" w:cs="Arial"/>
                <w:color w:val="000000"/>
                <w:sz w:val="20"/>
              </w:rPr>
              <w:t xml:space="preserve"> the Court of Special Appeals held that damage from smoke, heat, and water was sufficient, stating:</w:t>
            </w:r>
          </w:p>
          <w:p w:rsidR="004D60A9" w:rsidRDefault="00851367">
            <w:pPr>
              <w:spacing w:before="200" w:line="260" w:lineRule="atLeast"/>
              <w:ind w:left="460" w:right="360"/>
              <w:jc w:val="both"/>
            </w:pPr>
            <w:r>
              <w:rPr>
                <w:rFonts w:ascii="Arial" w:eastAsia="Arial" w:hAnsi="Arial" w:cs="Arial"/>
                <w:color w:val="000000"/>
                <w:sz w:val="20"/>
              </w:rPr>
              <w:t>[T]he gravamen of the offense is defrauding… by damaging goods through the agency of fire. That the literal damage comes from t</w:t>
            </w:r>
            <w:r>
              <w:rPr>
                <w:rFonts w:ascii="Arial" w:eastAsia="Arial" w:hAnsi="Arial" w:cs="Arial"/>
                <w:color w:val="000000"/>
                <w:sz w:val="20"/>
              </w:rPr>
              <w:t xml:space="preserve">he heat of the fire, from the smoke of the fire, or from the water of the firemen's hoses, rather than through the chemical process of combustion, is not controlling. To hold otherwise is to make an absurdity of the law. The employment of the phrase "sets </w:t>
            </w:r>
            <w:r>
              <w:rPr>
                <w:rFonts w:ascii="Arial" w:eastAsia="Arial" w:hAnsi="Arial" w:cs="Arial"/>
                <w:color w:val="000000"/>
                <w:sz w:val="20"/>
              </w:rPr>
              <w:t xml:space="preserve">fire to" as an alternative </w:t>
            </w:r>
            <w:r>
              <w:rPr>
                <w:rFonts w:ascii="Arial" w:eastAsia="Arial" w:hAnsi="Arial" w:cs="Arial"/>
                <w:i/>
                <w:color w:val="000000"/>
                <w:sz w:val="20"/>
              </w:rPr>
              <w:t>actus reus</w:t>
            </w:r>
            <w:r>
              <w:rPr>
                <w:rFonts w:ascii="Arial" w:eastAsia="Arial" w:hAnsi="Arial" w:cs="Arial"/>
                <w:color w:val="000000"/>
                <w:sz w:val="20"/>
              </w:rPr>
              <w:t xml:space="preserve"> to "burns" frees this law from ancient rigidity of the arson laws when it comes to the term "burn."</w:t>
            </w:r>
          </w:p>
          <w:p w:rsidR="004D60A9" w:rsidRDefault="00851367">
            <w:pPr>
              <w:spacing w:before="200" w:line="260" w:lineRule="atLeast"/>
              <w:ind w:left="60" w:right="360"/>
              <w:jc w:val="both"/>
            </w:pPr>
            <w:hyperlink r:id="rId81" w:history="1">
              <w:r>
                <w:rPr>
                  <w:rFonts w:ascii="Arial" w:eastAsia="Arial" w:hAnsi="Arial" w:cs="Arial"/>
                  <w:i/>
                  <w:color w:val="0077CC"/>
                  <w:sz w:val="20"/>
                  <w:u w:val="single"/>
                </w:rPr>
                <w:t>Id. at 396-97, 335 A.2d at 146.</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13.14, at 1017-19 (7th ed. 1967); RICHARD P. GILBERT &amp; CHARLES E. MOYLAN, JR., MARYLAND CRIMINAL LAW: PRACTICE &amp; </w:t>
            </w:r>
            <w:r>
              <w:rPr>
                <w:rFonts w:ascii="Arial" w:eastAsia="Arial" w:hAnsi="Arial" w:cs="Arial"/>
                <w:color w:val="000000"/>
                <w:sz w:val="20"/>
              </w:rPr>
              <w:t xml:space="preserve">PROCEDURE § </w:t>
            </w:r>
            <w:r>
              <w:rPr>
                <w:rFonts w:ascii="Arial" w:eastAsia="Arial" w:hAnsi="Arial" w:cs="Arial"/>
                <w:color w:val="000000"/>
                <w:sz w:val="20"/>
              </w:rPr>
              <w:lastRenderedPageBreak/>
              <w:t>13.4, at 153 (1983 &amp; Supp. 1990); ROLLIN M. PERKINS &amp; RONALD N. BOYCE, CRIMINAL LAW 286-87 (3d ed. 1982).</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43" style="position:absolute;left:0;text-align:left;z-index:251672576;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gutter="0"/>
          <w:cols w:space="720"/>
          <w:titlePg/>
        </w:sectPr>
      </w:pPr>
    </w:p>
    <w:p w:rsidR="004D60A9" w:rsidRDefault="004D60A9">
      <w:bookmarkStart w:id="5" w:name="Bookmark_6"/>
      <w:bookmarkEnd w:id="5"/>
    </w:p>
    <w:p w:rsidR="004D60A9" w:rsidRDefault="00851367">
      <w:r>
        <w:pict>
          <v:shape id="_x0000_i1032"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88" w:history="1">
        <w:r>
          <w:rPr>
            <w:rFonts w:ascii="Arial" w:eastAsia="Arial" w:hAnsi="Arial" w:cs="Arial"/>
            <w:b/>
            <w:bCs/>
            <w:i/>
            <w:color w:val="0077CC"/>
            <w:kern w:val="32"/>
            <w:sz w:val="28"/>
            <w:szCs w:val="32"/>
            <w:u w:val="single"/>
          </w:rPr>
          <w:t>MPJI-Cr 4:01</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xml:space="preserve">SECOND DEGREE </w:t>
      </w:r>
      <w:r>
        <w:rPr>
          <w:rFonts w:ascii="Arial" w:eastAsia="Arial" w:hAnsi="Arial" w:cs="Arial"/>
          <w:b/>
          <w:i/>
          <w:color w:val="000000"/>
          <w:sz w:val="22"/>
        </w:rPr>
        <w:t>ASSAULT</w:t>
      </w:r>
    </w:p>
    <w:p w:rsidR="004D60A9" w:rsidRDefault="00851367">
      <w:pPr>
        <w:keepNext/>
        <w:spacing w:before="240" w:line="340" w:lineRule="atLeast"/>
      </w:pPr>
      <w:r>
        <w:br/>
      </w:r>
      <w:r>
        <w:rPr>
          <w:rFonts w:ascii="Arial" w:eastAsia="Arial" w:hAnsi="Arial" w:cs="Arial"/>
          <w:b/>
          <w:color w:val="000000"/>
          <w:sz w:val="28"/>
        </w:rPr>
        <w:t>4:01Second Degree Assault</w:t>
      </w:r>
    </w:p>
    <w:p w:rsidR="004D60A9" w:rsidRDefault="00851367">
      <w:pPr>
        <w:spacing w:line="60" w:lineRule="exact"/>
      </w:pPr>
      <w:r>
        <w:pict>
          <v:line id="_x0000_s1045" style="position:absolute;z-index:251663360"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assault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A</w:t>
      </w:r>
    </w:p>
    <w:p w:rsidR="004D60A9" w:rsidRDefault="00851367">
      <w:pPr>
        <w:spacing w:before="200" w:line="260" w:lineRule="atLeast"/>
        <w:jc w:val="both"/>
      </w:pPr>
      <w:r>
        <w:rPr>
          <w:rFonts w:ascii="Arial" w:eastAsia="Arial" w:hAnsi="Arial" w:cs="Arial"/>
          <w:b/>
          <w:color w:val="000000"/>
          <w:sz w:val="20"/>
        </w:rPr>
        <w:t>INTENT TO FRIGHTEN</w:t>
      </w:r>
    </w:p>
    <w:p w:rsidR="004D60A9" w:rsidRDefault="00851367">
      <w:pPr>
        <w:spacing w:before="200" w:line="260" w:lineRule="atLeast"/>
        <w:jc w:val="both"/>
      </w:pPr>
      <w:r>
        <w:rPr>
          <w:rFonts w:ascii="Arial" w:eastAsia="Arial" w:hAnsi="Arial" w:cs="Arial"/>
          <w:b/>
          <w:color w:val="000000"/>
          <w:sz w:val="20"/>
        </w:rPr>
        <w:t xml:space="preserve">Assault is intentionally frightening another person with the threat of immediate [offensive physical contact] [physical harm]. In order to </w:t>
      </w:r>
      <w:r>
        <w:rPr>
          <w:rFonts w:ascii="Arial" w:eastAsia="Arial" w:hAnsi="Arial" w:cs="Arial"/>
          <w:b/>
          <w:color w:val="000000"/>
          <w:sz w:val="20"/>
        </w:rPr>
        <w:t>convict the defendant of assault,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that the defendant committed an act with the intent to place (</w:t>
      </w:r>
      <w:r>
        <w:rPr>
          <w:rFonts w:ascii="Arial" w:eastAsia="Arial" w:hAnsi="Arial" w:cs="Arial"/>
          <w:b/>
          <w:color w:val="000000"/>
          <w:sz w:val="20"/>
          <w:u w:val="single"/>
        </w:rPr>
        <w:t>name</w:t>
      </w:r>
      <w:r>
        <w:rPr>
          <w:rFonts w:ascii="Arial" w:eastAsia="Arial" w:hAnsi="Arial" w:cs="Arial"/>
          <w:b/>
          <w:color w:val="000000"/>
          <w:sz w:val="20"/>
        </w:rPr>
        <w:t>) in fear of immediate [offensive physical contact] [physical harm]</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(2) that the defendant had the apparent ability, at that time</w:t>
      </w:r>
      <w:r>
        <w:rPr>
          <w:rFonts w:ascii="Arial" w:eastAsia="Arial" w:hAnsi="Arial" w:cs="Arial"/>
          <w:b/>
          <w:color w:val="000000"/>
          <w:sz w:val="20"/>
        </w:rPr>
        <w:t>, to bring about [offensive physical contact] [physical harm]; and</w:t>
      </w:r>
    </w:p>
    <w:p w:rsidR="004D60A9" w:rsidRDefault="00851367">
      <w:pPr>
        <w:spacing w:before="200" w:line="260" w:lineRule="atLeast"/>
        <w:ind w:left="400"/>
        <w:jc w:val="both"/>
      </w:pPr>
      <w:r>
        <w:rPr>
          <w:rFonts w:ascii="Arial" w:eastAsia="Arial" w:hAnsi="Arial" w:cs="Arial"/>
          <w:b/>
          <w:color w:val="000000"/>
          <w:sz w:val="20"/>
        </w:rPr>
        <w:t>(3) that (</w:t>
      </w:r>
      <w:r>
        <w:rPr>
          <w:rFonts w:ascii="Arial" w:eastAsia="Arial" w:hAnsi="Arial" w:cs="Arial"/>
          <w:b/>
          <w:color w:val="000000"/>
          <w:sz w:val="20"/>
          <w:u w:val="single"/>
        </w:rPr>
        <w:t>name</w:t>
      </w:r>
      <w:r>
        <w:rPr>
          <w:rFonts w:ascii="Arial" w:eastAsia="Arial" w:hAnsi="Arial" w:cs="Arial"/>
          <w:b/>
          <w:color w:val="000000"/>
          <w:sz w:val="20"/>
        </w:rPr>
        <w:t>) reasonably feared immediate [offensive physical contact] [physical harm]; [and]</w:t>
      </w:r>
    </w:p>
    <w:p w:rsidR="004D60A9" w:rsidRDefault="00851367">
      <w:pPr>
        <w:spacing w:before="200" w:line="260" w:lineRule="atLeast"/>
        <w:ind w:left="400"/>
        <w:jc w:val="both"/>
      </w:pPr>
      <w:r>
        <w:rPr>
          <w:rFonts w:ascii="Arial" w:eastAsia="Arial" w:hAnsi="Arial" w:cs="Arial"/>
          <w:b/>
          <w:color w:val="000000"/>
          <w:sz w:val="20"/>
        </w:rPr>
        <w:t>[(4) that the defendant's actions were not legally justified.]</w:t>
      </w:r>
    </w:p>
    <w:p w:rsidR="004D60A9" w:rsidRDefault="00851367">
      <w:pPr>
        <w:spacing w:before="200" w:line="260" w:lineRule="atLeast"/>
        <w:jc w:val="both"/>
      </w:pPr>
      <w:r>
        <w:rPr>
          <w:rFonts w:ascii="Arial" w:eastAsia="Arial" w:hAnsi="Arial" w:cs="Arial"/>
          <w:b/>
          <w:color w:val="000000"/>
          <w:sz w:val="20"/>
        </w:rPr>
        <w:t>B</w:t>
      </w:r>
    </w:p>
    <w:p w:rsidR="004D60A9" w:rsidRDefault="00851367">
      <w:pPr>
        <w:spacing w:before="200" w:line="260" w:lineRule="atLeast"/>
        <w:jc w:val="both"/>
      </w:pPr>
      <w:r>
        <w:rPr>
          <w:rFonts w:ascii="Arial" w:eastAsia="Arial" w:hAnsi="Arial" w:cs="Arial"/>
          <w:b/>
          <w:color w:val="000000"/>
          <w:sz w:val="20"/>
        </w:rPr>
        <w:t>ATTEMPTED BATTERY</w:t>
      </w:r>
    </w:p>
    <w:p w:rsidR="004D60A9" w:rsidRDefault="00851367">
      <w:pPr>
        <w:spacing w:before="200" w:line="260" w:lineRule="atLeast"/>
        <w:jc w:val="both"/>
      </w:pPr>
      <w:r>
        <w:rPr>
          <w:rFonts w:ascii="Arial" w:eastAsia="Arial" w:hAnsi="Arial" w:cs="Arial"/>
          <w:b/>
          <w:color w:val="000000"/>
          <w:sz w:val="20"/>
        </w:rPr>
        <w:t>Assault is</w:t>
      </w:r>
      <w:r>
        <w:rPr>
          <w:rFonts w:ascii="Arial" w:eastAsia="Arial" w:hAnsi="Arial" w:cs="Arial"/>
          <w:b/>
          <w:color w:val="000000"/>
          <w:sz w:val="20"/>
        </w:rPr>
        <w:t xml:space="preserve"> an attempt to cause [offensive physical contact] [physical harm]. In order to convict the defendant of assault,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that the defendant actually tried to cause immediate [offensive physical contact with] [physical harm to]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(2) that the defendant intended to bring about [offensive physical contact] [physical harm]; and</w:t>
      </w:r>
    </w:p>
    <w:p w:rsidR="004D60A9" w:rsidRDefault="00851367">
      <w:pPr>
        <w:spacing w:before="200" w:line="260" w:lineRule="atLeast"/>
        <w:ind w:left="400"/>
        <w:jc w:val="both"/>
      </w:pPr>
      <w:r>
        <w:rPr>
          <w:rFonts w:ascii="Arial" w:eastAsia="Arial" w:hAnsi="Arial" w:cs="Arial"/>
          <w:b/>
          <w:color w:val="000000"/>
          <w:sz w:val="20"/>
        </w:rPr>
        <w:t>(3) that the defendant's actions were not consented to by (</w:t>
      </w:r>
      <w:r>
        <w:rPr>
          <w:rFonts w:ascii="Arial" w:eastAsia="Arial" w:hAnsi="Arial" w:cs="Arial"/>
          <w:b/>
          <w:color w:val="000000"/>
          <w:sz w:val="20"/>
          <w:u w:val="single"/>
        </w:rPr>
        <w:t>name</w:t>
      </w:r>
      <w:r>
        <w:rPr>
          <w:rFonts w:ascii="Arial" w:eastAsia="Arial" w:hAnsi="Arial" w:cs="Arial"/>
          <w:b/>
          <w:color w:val="000000"/>
          <w:sz w:val="20"/>
        </w:rPr>
        <w:t>) [or not legally justified]. (</w:t>
      </w:r>
      <w:r>
        <w:rPr>
          <w:rFonts w:ascii="Arial" w:eastAsia="Arial" w:hAnsi="Arial" w:cs="Arial"/>
          <w:b/>
          <w:color w:val="000000"/>
          <w:sz w:val="20"/>
          <w:u w:val="single"/>
        </w:rPr>
        <w:t>notes on use</w:t>
      </w:r>
      <w:r>
        <w:rPr>
          <w:rFonts w:ascii="Arial" w:eastAsia="Arial" w:hAnsi="Arial" w:cs="Arial"/>
          <w:b/>
          <w:color w:val="000000"/>
          <w:sz w:val="20"/>
        </w:rPr>
        <w:t>)</w:t>
      </w:r>
    </w:p>
    <w:p w:rsidR="004D60A9" w:rsidRDefault="00851367">
      <w:pPr>
        <w:spacing w:before="200" w:line="260" w:lineRule="atLeast"/>
        <w:jc w:val="both"/>
      </w:pPr>
      <w:r>
        <w:rPr>
          <w:rFonts w:ascii="Arial" w:eastAsia="Arial" w:hAnsi="Arial" w:cs="Arial"/>
          <w:b/>
          <w:color w:val="000000"/>
          <w:sz w:val="20"/>
        </w:rPr>
        <w:t>C</w:t>
      </w:r>
    </w:p>
    <w:p w:rsidR="004D60A9" w:rsidRDefault="00851367">
      <w:pPr>
        <w:spacing w:before="200" w:line="260" w:lineRule="atLeast"/>
        <w:jc w:val="both"/>
      </w:pPr>
      <w:r>
        <w:rPr>
          <w:rFonts w:ascii="Arial" w:eastAsia="Arial" w:hAnsi="Arial" w:cs="Arial"/>
          <w:b/>
          <w:color w:val="000000"/>
          <w:sz w:val="20"/>
        </w:rPr>
        <w:t>BATTERY</w:t>
      </w:r>
    </w:p>
    <w:p w:rsidR="004D60A9" w:rsidRDefault="00851367">
      <w:pPr>
        <w:spacing w:before="200" w:line="260" w:lineRule="atLeast"/>
        <w:jc w:val="both"/>
      </w:pPr>
      <w:r>
        <w:rPr>
          <w:rFonts w:ascii="Arial" w:eastAsia="Arial" w:hAnsi="Arial" w:cs="Arial"/>
          <w:b/>
          <w:color w:val="000000"/>
          <w:sz w:val="20"/>
        </w:rPr>
        <w:lastRenderedPageBreak/>
        <w:t>Assault is causing offensive physical con</w:t>
      </w:r>
      <w:r>
        <w:rPr>
          <w:rFonts w:ascii="Arial" w:eastAsia="Arial" w:hAnsi="Arial" w:cs="Arial"/>
          <w:b/>
          <w:color w:val="000000"/>
          <w:sz w:val="20"/>
        </w:rPr>
        <w:t>tact to another person. In order to convict the defendant of assault,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that the defendant caused [offensive physical contact with] [physical harm to]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(2) that the contact was the result of an intentional or reckless act of </w:t>
      </w:r>
      <w:r>
        <w:rPr>
          <w:rFonts w:ascii="Arial" w:eastAsia="Arial" w:hAnsi="Arial" w:cs="Arial"/>
          <w:b/>
          <w:color w:val="000000"/>
          <w:sz w:val="20"/>
        </w:rPr>
        <w:t>the defendant and was not accidental; and</w:t>
      </w:r>
    </w:p>
    <w:p w:rsidR="004D60A9" w:rsidRDefault="00851367">
      <w:pPr>
        <w:spacing w:before="200" w:line="260" w:lineRule="atLeast"/>
        <w:ind w:left="400"/>
        <w:jc w:val="both"/>
      </w:pPr>
      <w:r>
        <w:rPr>
          <w:rFonts w:ascii="Arial" w:eastAsia="Arial" w:hAnsi="Arial" w:cs="Arial"/>
          <w:b/>
          <w:color w:val="000000"/>
          <w:sz w:val="20"/>
        </w:rPr>
        <w:t>(3) that the contact was [not consented to by (</w:t>
      </w:r>
      <w:r>
        <w:rPr>
          <w:rFonts w:ascii="Arial" w:eastAsia="Arial" w:hAnsi="Arial" w:cs="Arial"/>
          <w:b/>
          <w:color w:val="000000"/>
          <w:sz w:val="20"/>
          <w:u w:val="single"/>
        </w:rPr>
        <w:t>name</w:t>
      </w:r>
      <w:r>
        <w:rPr>
          <w:rFonts w:ascii="Arial" w:eastAsia="Arial" w:hAnsi="Arial" w:cs="Arial"/>
          <w:b/>
          <w:color w:val="000000"/>
          <w:sz w:val="20"/>
        </w:rPr>
        <w:t>)] [not legally justified]</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"Reckless act" means conduct that, under all circumstances, shows a conscious disregard of the consequences to other people and is a gr</w:t>
      </w:r>
      <w:r>
        <w:rPr>
          <w:rFonts w:ascii="Arial" w:eastAsia="Arial" w:hAnsi="Arial" w:cs="Arial"/>
          <w:b/>
          <w:color w:val="000000"/>
          <w:sz w:val="20"/>
        </w:rPr>
        <w:t>oss departure from the standard of conduct that a law-abiding person would observe</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color w:val="000000"/>
                <w:sz w:val="20"/>
              </w:rPr>
              <w:t xml:space="preserve">In 1996, the Maryland General Assembly enacted a statutory assault scheme, MD. CODE ANN., ART. 27, §§ 12-12A-7 (1998 &amp; Supp. 2000), which "abrogated the common law offenses of assault and battery." </w:t>
            </w:r>
            <w:hyperlink r:id="rId89" w:history="1">
              <w:r>
                <w:rPr>
                  <w:rFonts w:ascii="Arial" w:eastAsia="Arial" w:hAnsi="Arial" w:cs="Arial"/>
                  <w:i/>
                  <w:color w:val="0077CC"/>
                  <w:sz w:val="20"/>
                  <w:u w:val="single"/>
                </w:rPr>
                <w:t>Robinson v. State, 353 Md. 683, 696, 728 A.2d 698, 704 (1999).</w:t>
              </w:r>
            </w:hyperlink>
            <w:r>
              <w:rPr>
                <w:rFonts w:ascii="Arial" w:eastAsia="Arial" w:hAnsi="Arial" w:cs="Arial"/>
                <w:color w:val="000000"/>
                <w:sz w:val="20"/>
              </w:rPr>
              <w:t xml:space="preserve"> Nonetheless, statutory second degree assault includes common law "crimes of assault, battery, and assault and battery, whi</w:t>
            </w:r>
            <w:r>
              <w:rPr>
                <w:rFonts w:ascii="Arial" w:eastAsia="Arial" w:hAnsi="Arial" w:cs="Arial"/>
                <w:color w:val="000000"/>
                <w:sz w:val="20"/>
              </w:rPr>
              <w:t xml:space="preserve">ch retain their judicially determined meanings." CRIM. LAW I § 3-201(b). The meaning of these terms has been extensively developed at common law and in case law. </w:t>
            </w:r>
            <w:r>
              <w:rPr>
                <w:rFonts w:ascii="Arial" w:eastAsia="Arial" w:hAnsi="Arial" w:cs="Arial"/>
                <w:i/>
                <w:color w:val="000000"/>
                <w:sz w:val="20"/>
              </w:rPr>
              <w:t xml:space="preserve">See, e.g., </w:t>
            </w:r>
            <w:hyperlink r:id="rId90" w:history="1">
              <w:r>
                <w:rPr>
                  <w:rFonts w:ascii="Arial" w:eastAsia="Arial" w:hAnsi="Arial" w:cs="Arial"/>
                  <w:i/>
                  <w:color w:val="0077CC"/>
                  <w:sz w:val="20"/>
                  <w:u w:val="single"/>
                </w:rPr>
                <w:t>Lamb v. State, 93 Md. App. 422, 613 A.2d 402 (1992),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329 Md. 110, 617 A.2d 1055 (1993).</w:t>
            </w:r>
            <w:r>
              <w:rPr>
                <w:rFonts w:ascii="Arial" w:eastAsia="Arial" w:hAnsi="Arial" w:cs="Arial"/>
                <w:color w:val="000000"/>
                <w:sz w:val="20"/>
              </w:rPr>
              <w:t xml:space="preserve"> The Committee to Revise Article 27 did not intend to "freeze" the meanings of these terms, but rather expects that they will continue to be clarified when appropriate in future case law.</w:t>
            </w:r>
          </w:p>
          <w:p w:rsidR="004D60A9" w:rsidRDefault="00851367">
            <w:pPr>
              <w:spacing w:before="200" w:line="260" w:lineRule="atLeast"/>
              <w:ind w:left="60" w:right="360"/>
              <w:jc w:val="both"/>
            </w:pPr>
            <w:r>
              <w:rPr>
                <w:rFonts w:ascii="Arial" w:eastAsia="Arial" w:hAnsi="Arial" w:cs="Arial"/>
                <w:color w:val="000000"/>
                <w:sz w:val="20"/>
              </w:rPr>
              <w:t>In 2002, the Maryland General Assembly updated the statutory assault</w:t>
            </w:r>
            <w:r>
              <w:rPr>
                <w:rFonts w:ascii="Arial" w:eastAsia="Arial" w:hAnsi="Arial" w:cs="Arial"/>
                <w:color w:val="000000"/>
                <w:sz w:val="20"/>
              </w:rPr>
              <w:t xml:space="preserve"> scheme, without substantive change, in CRIM. LAW, Title 3, Subtitle 2 (2002). The inclusion of the common law offenses of assault, battery, and assault and battery continued. CRIM. LAW I § 3-201(b).</w:t>
            </w:r>
          </w:p>
          <w:p w:rsidR="004D60A9" w:rsidRDefault="00851367">
            <w:pPr>
              <w:spacing w:before="240" w:line="260" w:lineRule="atLeast"/>
              <w:ind w:left="60" w:right="360"/>
              <w:jc w:val="both"/>
            </w:pPr>
            <w:r>
              <w:rPr>
                <w:rFonts w:ascii="Arial" w:eastAsia="Arial" w:hAnsi="Arial" w:cs="Arial"/>
                <w:color w:val="000000"/>
                <w:sz w:val="20"/>
              </w:rPr>
              <w:t>The three types of assaults have different elements. The</w:t>
            </w:r>
            <w:r>
              <w:rPr>
                <w:rFonts w:ascii="Arial" w:eastAsia="Arial" w:hAnsi="Arial" w:cs="Arial"/>
                <w:color w:val="000000"/>
                <w:sz w:val="20"/>
              </w:rPr>
              <w:t xml:space="preserve"> intent to frighten type of assault consists of placing another in reasonable apprehension of an immediate battery with the specific intent to cause such apprehension. </w:t>
            </w:r>
            <w:hyperlink r:id="rId91" w:history="1">
              <w:r>
                <w:rPr>
                  <w:rFonts w:ascii="Arial" w:eastAsia="Arial" w:hAnsi="Arial" w:cs="Arial"/>
                  <w:i/>
                  <w:color w:val="0077CC"/>
                  <w:sz w:val="20"/>
                  <w:u w:val="single"/>
                </w:rPr>
                <w:t>Wieland v. State, 101 Md. App. 1, 38, 643 A.2d 446, 464 (1994);</w:t>
              </w:r>
            </w:hyperlink>
            <w:r>
              <w:rPr>
                <w:rFonts w:ascii="Arial" w:eastAsia="Arial" w:hAnsi="Arial" w:cs="Arial"/>
                <w:color w:val="000000"/>
                <w:sz w:val="20"/>
              </w:rPr>
              <w:t xml:space="preserve"> </w:t>
            </w:r>
            <w:hyperlink r:id="rId92" w:history="1">
              <w:r>
                <w:rPr>
                  <w:rFonts w:ascii="Arial" w:eastAsia="Arial" w:hAnsi="Arial" w:cs="Arial"/>
                  <w:i/>
                  <w:color w:val="0077CC"/>
                  <w:sz w:val="20"/>
                  <w:u w:val="single"/>
                </w:rPr>
                <w:t>Harrod v. State, 65 Md</w:t>
              </w:r>
              <w:r>
                <w:rPr>
                  <w:rFonts w:ascii="Arial" w:eastAsia="Arial" w:hAnsi="Arial" w:cs="Arial"/>
                  <w:i/>
                  <w:color w:val="0077CC"/>
                  <w:sz w:val="20"/>
                  <w:u w:val="single"/>
                </w:rPr>
                <w:t>. App. 128, 133, 499 A.2d 959, 961 (1985);</w:t>
              </w:r>
            </w:hyperlink>
            <w:r>
              <w:rPr>
                <w:rFonts w:ascii="Arial" w:eastAsia="Arial" w:hAnsi="Arial" w:cs="Arial"/>
                <w:color w:val="000000"/>
                <w:sz w:val="20"/>
              </w:rPr>
              <w:t xml:space="preserve"> </w:t>
            </w:r>
            <w:hyperlink r:id="rId93" w:history="1">
              <w:r>
                <w:rPr>
                  <w:rFonts w:ascii="Arial" w:eastAsia="Arial" w:hAnsi="Arial" w:cs="Arial"/>
                  <w:i/>
                  <w:color w:val="0077CC"/>
                  <w:sz w:val="20"/>
                  <w:u w:val="single"/>
                </w:rPr>
                <w:t>Taylor v. State, 52 Md. App. 500, 504, 450 A.2d 1312, 1315 (1982),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94" w:history="1">
              <w:r>
                <w:rPr>
                  <w:rFonts w:ascii="Arial" w:eastAsia="Arial" w:hAnsi="Arial" w:cs="Arial"/>
                  <w:i/>
                  <w:color w:val="0077CC"/>
                  <w:sz w:val="20"/>
                  <w:u w:val="single"/>
                </w:rPr>
                <w:t>295 Md. 691 (1983).</w:t>
              </w:r>
            </w:hyperlink>
            <w:r>
              <w:rPr>
                <w:rFonts w:ascii="Arial" w:eastAsia="Arial" w:hAnsi="Arial" w:cs="Arial"/>
                <w:color w:val="000000"/>
                <w:sz w:val="20"/>
              </w:rPr>
              <w:t xml:space="preserve"> The victim must be aware of the impending battery. </w:t>
            </w:r>
            <w:hyperlink r:id="rId95" w:history="1">
              <w:r>
                <w:rPr>
                  <w:rFonts w:ascii="Arial" w:eastAsia="Arial" w:hAnsi="Arial" w:cs="Arial"/>
                  <w:i/>
                  <w:color w:val="0077CC"/>
                  <w:sz w:val="20"/>
                  <w:u w:val="single"/>
                </w:rPr>
                <w:t>Harrod, 65 Md. App. at 138, 499 A.2d at 964.</w:t>
              </w:r>
            </w:hyperlink>
            <w:r>
              <w:rPr>
                <w:rFonts w:ascii="Arial" w:eastAsia="Arial" w:hAnsi="Arial" w:cs="Arial"/>
                <w:color w:val="000000"/>
                <w:sz w:val="20"/>
              </w:rPr>
              <w:t xml:space="preserve"> There must be an apparent present ability to commit the battery. </w:t>
            </w:r>
            <w:r>
              <w:rPr>
                <w:rFonts w:ascii="Arial" w:eastAsia="Arial" w:hAnsi="Arial" w:cs="Arial"/>
                <w:i/>
                <w:color w:val="000000"/>
                <w:sz w:val="20"/>
              </w:rPr>
              <w:t xml:space="preserve">See </w:t>
            </w:r>
            <w:hyperlink r:id="rId96" w:history="1">
              <w:r>
                <w:rPr>
                  <w:rFonts w:ascii="Arial" w:eastAsia="Arial" w:hAnsi="Arial" w:cs="Arial"/>
                  <w:i/>
                  <w:color w:val="0077CC"/>
                  <w:sz w:val="20"/>
                  <w:u w:val="single"/>
                </w:rPr>
                <w:t>Dixon v. State, 302 Md. 447, 456-64, 488 A.2d 962, 966-70 (1985);</w:t>
              </w:r>
            </w:hyperlink>
            <w:r>
              <w:rPr>
                <w:rFonts w:ascii="Arial" w:eastAsia="Arial" w:hAnsi="Arial" w:cs="Arial"/>
                <w:color w:val="000000"/>
                <w:sz w:val="20"/>
              </w:rPr>
              <w:t xml:space="preserve"> WILLIAM LAWRENCE CLARK &amp; WILLIAM LAWRENCE MARSHALL, A TREATISE ON THE LAW OF CRIMES § 10, at 728 (7th ed. 1967); RICHARD P. GILBERT &amp;</w:t>
            </w:r>
            <w:r>
              <w:rPr>
                <w:rFonts w:ascii="Arial" w:eastAsia="Arial" w:hAnsi="Arial" w:cs="Arial"/>
                <w:color w:val="000000"/>
                <w:sz w:val="20"/>
              </w:rPr>
              <w:t xml:space="preserve"> CHARLES E. MOYLAN, JR., MARYLAND CRIMINAL LAW: PRACTICE &amp; PROCEDURE § 3, at 47 (1983 &amp; Supp. 1990); ROLLIN M. PERKINS &amp; RONALD N. BOYCE, CRIMINAL LAW § 2.2, at 166-67 (3d ed. 1982).</w:t>
            </w:r>
          </w:p>
          <w:p w:rsidR="004D60A9" w:rsidRDefault="00851367">
            <w:pPr>
              <w:spacing w:before="240" w:line="260" w:lineRule="atLeast"/>
              <w:ind w:left="60" w:right="360"/>
              <w:jc w:val="both"/>
            </w:pPr>
            <w:r>
              <w:rPr>
                <w:rFonts w:ascii="Arial" w:eastAsia="Arial" w:hAnsi="Arial" w:cs="Arial"/>
                <w:color w:val="000000"/>
                <w:sz w:val="20"/>
              </w:rPr>
              <w:t xml:space="preserve">The attempted battery type of assault requires a substantial step toward </w:t>
            </w:r>
            <w:r>
              <w:rPr>
                <w:rFonts w:ascii="Arial" w:eastAsia="Arial" w:hAnsi="Arial" w:cs="Arial"/>
                <w:color w:val="000000"/>
                <w:sz w:val="20"/>
              </w:rPr>
              <w:t xml:space="preserve">the completion of a battery, with the apparent present ability to do so. </w:t>
            </w:r>
            <w:hyperlink r:id="rId97" w:history="1">
              <w:r>
                <w:rPr>
                  <w:rFonts w:ascii="Arial" w:eastAsia="Arial" w:hAnsi="Arial" w:cs="Arial"/>
                  <w:i/>
                  <w:color w:val="0077CC"/>
                  <w:sz w:val="20"/>
                  <w:u w:val="single"/>
                </w:rPr>
                <w:t>Hickman v. State, 193 Md. App. 238, 251, 996 A.2d 974,</w:t>
              </w:r>
              <w:r>
                <w:rPr>
                  <w:rFonts w:ascii="Arial" w:eastAsia="Arial" w:hAnsi="Arial" w:cs="Arial"/>
                  <w:i/>
                  <w:color w:val="0077CC"/>
                  <w:sz w:val="20"/>
                  <w:u w:val="single"/>
                </w:rPr>
                <w:t xml:space="preserve"> 981 (2010).</w:t>
              </w:r>
            </w:hyperlink>
            <w:r>
              <w:rPr>
                <w:rFonts w:ascii="Arial" w:eastAsia="Arial" w:hAnsi="Arial" w:cs="Arial"/>
                <w:color w:val="000000"/>
                <w:sz w:val="20"/>
              </w:rPr>
              <w:t xml:space="preserve"> Unlike an intent to frighten type of assault, there is no need for the victim to be aware of the impending battery in an attempted battery type of assault. </w:t>
            </w:r>
            <w:hyperlink r:id="rId98" w:history="1">
              <w:r>
                <w:rPr>
                  <w:rFonts w:ascii="Arial" w:eastAsia="Arial" w:hAnsi="Arial" w:cs="Arial"/>
                  <w:i/>
                  <w:color w:val="0077CC"/>
                  <w:sz w:val="20"/>
                  <w:u w:val="single"/>
                </w:rPr>
                <w:t>Hickman, 193 Md. App at 251, 996 A.2d at 981;</w:t>
              </w:r>
            </w:hyperlink>
            <w:r>
              <w:rPr>
                <w:rFonts w:ascii="Arial" w:eastAsia="Arial" w:hAnsi="Arial" w:cs="Arial"/>
                <w:color w:val="000000"/>
                <w:sz w:val="20"/>
              </w:rPr>
              <w:t xml:space="preserve"> </w:t>
            </w:r>
            <w:hyperlink r:id="rId99" w:history="1">
              <w:r>
                <w:rPr>
                  <w:rFonts w:ascii="Arial" w:eastAsia="Arial" w:hAnsi="Arial" w:cs="Arial"/>
                  <w:i/>
                  <w:color w:val="0077CC"/>
                  <w:sz w:val="20"/>
                  <w:u w:val="single"/>
                </w:rPr>
                <w:t>Harrod, 65 Md. App. at 131-35, 499 A.2d</w:t>
              </w:r>
              <w:r>
                <w:rPr>
                  <w:rFonts w:ascii="Arial" w:eastAsia="Arial" w:hAnsi="Arial" w:cs="Arial"/>
                  <w:i/>
                  <w:color w:val="0077CC"/>
                  <w:sz w:val="20"/>
                  <w:u w:val="single"/>
                </w:rPr>
                <w:t xml:space="preserve"> at 960-62;</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00" w:history="1">
              <w:r>
                <w:rPr>
                  <w:rFonts w:ascii="Arial" w:eastAsia="Arial" w:hAnsi="Arial" w:cs="Arial"/>
                  <w:i/>
                  <w:color w:val="0077CC"/>
                  <w:sz w:val="20"/>
                  <w:u w:val="single"/>
                </w:rPr>
                <w:t>Young v. State, 303 Md. 298, 306, 311, 492 A.2d 352, 356, 359 (1985).</w:t>
              </w:r>
            </w:hyperlink>
          </w:p>
          <w:p w:rsidR="004D60A9" w:rsidRDefault="00851367">
            <w:pPr>
              <w:spacing w:before="200" w:line="260" w:lineRule="atLeast"/>
              <w:ind w:left="60" w:right="360"/>
              <w:jc w:val="both"/>
            </w:pPr>
            <w:r>
              <w:rPr>
                <w:rFonts w:ascii="Arial" w:eastAsia="Arial" w:hAnsi="Arial" w:cs="Arial"/>
                <w:color w:val="000000"/>
                <w:sz w:val="20"/>
              </w:rPr>
              <w:t>Common law battery is the unjustified, of</w:t>
            </w:r>
            <w:r>
              <w:rPr>
                <w:rFonts w:ascii="Arial" w:eastAsia="Arial" w:hAnsi="Arial" w:cs="Arial"/>
                <w:color w:val="000000"/>
                <w:sz w:val="20"/>
              </w:rPr>
              <w:t xml:space="preserve">fensive, and nonconsensual application of force by direct or indirect physical contact to the person of another or an extension of that person, e.g., the clothing of that person. </w:t>
            </w:r>
            <w:r>
              <w:rPr>
                <w:rFonts w:ascii="Arial" w:eastAsia="Arial" w:hAnsi="Arial" w:cs="Arial"/>
                <w:i/>
                <w:color w:val="000000"/>
                <w:sz w:val="20"/>
              </w:rPr>
              <w:t xml:space="preserve">See </w:t>
            </w:r>
            <w:hyperlink r:id="rId101" w:history="1">
              <w:r>
                <w:rPr>
                  <w:rFonts w:ascii="Arial" w:eastAsia="Arial" w:hAnsi="Arial" w:cs="Arial"/>
                  <w:i/>
                  <w:color w:val="0077CC"/>
                  <w:sz w:val="20"/>
                  <w:u w:val="single"/>
                </w:rPr>
                <w:t>Epps v. State, 333 Md. 121, 127, 634 A.2d 20, 23 (1993);</w:t>
              </w:r>
            </w:hyperlink>
            <w:r>
              <w:rPr>
                <w:rFonts w:ascii="Arial" w:eastAsia="Arial" w:hAnsi="Arial" w:cs="Arial"/>
                <w:color w:val="000000"/>
                <w:sz w:val="20"/>
              </w:rPr>
              <w:t xml:space="preserve"> </w:t>
            </w:r>
            <w:hyperlink r:id="rId102" w:history="1">
              <w:r>
                <w:rPr>
                  <w:rFonts w:ascii="Arial" w:eastAsia="Arial" w:hAnsi="Arial" w:cs="Arial"/>
                  <w:i/>
                  <w:color w:val="0077CC"/>
                  <w:sz w:val="20"/>
                  <w:u w:val="single"/>
                </w:rPr>
                <w:t xml:space="preserve">Snowden v. State, 321 Md. 612, 617, 583 </w:t>
              </w:r>
              <w:r>
                <w:rPr>
                  <w:rFonts w:ascii="Arial" w:eastAsia="Arial" w:hAnsi="Arial" w:cs="Arial"/>
                  <w:i/>
                  <w:color w:val="0077CC"/>
                  <w:sz w:val="20"/>
                  <w:u w:val="single"/>
                </w:rPr>
                <w:lastRenderedPageBreak/>
                <w:t>A.2d 1056, 1059 (1991);</w:t>
              </w:r>
            </w:hyperlink>
            <w:r>
              <w:rPr>
                <w:rFonts w:ascii="Arial" w:eastAsia="Arial" w:hAnsi="Arial" w:cs="Arial"/>
                <w:color w:val="000000"/>
                <w:sz w:val="20"/>
              </w:rPr>
              <w:t xml:space="preserve"> </w:t>
            </w:r>
            <w:hyperlink r:id="rId103" w:history="1">
              <w:r>
                <w:rPr>
                  <w:rFonts w:ascii="Arial" w:eastAsia="Arial" w:hAnsi="Arial" w:cs="Arial"/>
                  <w:i/>
                  <w:color w:val="0077CC"/>
                  <w:sz w:val="20"/>
                  <w:u w:val="single"/>
                </w:rPr>
                <w:t>Hickman, 193 Md. App. at 251, 996 A.2d at 981;</w:t>
              </w:r>
            </w:hyperlink>
            <w:r>
              <w:rPr>
                <w:rFonts w:ascii="Arial" w:eastAsia="Arial" w:hAnsi="Arial" w:cs="Arial"/>
                <w:color w:val="000000"/>
                <w:sz w:val="20"/>
              </w:rPr>
              <w:t xml:space="preserve"> </w:t>
            </w:r>
            <w:hyperlink r:id="rId104" w:history="1">
              <w:r>
                <w:rPr>
                  <w:rFonts w:ascii="Arial" w:eastAsia="Arial" w:hAnsi="Arial" w:cs="Arial"/>
                  <w:i/>
                  <w:color w:val="0077CC"/>
                  <w:sz w:val="20"/>
                  <w:u w:val="single"/>
                </w:rPr>
                <w:t>Taylor, 52 Md. A</w:t>
              </w:r>
              <w:r>
                <w:rPr>
                  <w:rFonts w:ascii="Arial" w:eastAsia="Arial" w:hAnsi="Arial" w:cs="Arial"/>
                  <w:i/>
                  <w:color w:val="0077CC"/>
                  <w:sz w:val="20"/>
                  <w:u w:val="single"/>
                </w:rPr>
                <w:t>pp. at 504, 450 A.2d at 1315;</w:t>
              </w:r>
            </w:hyperlink>
            <w:r>
              <w:rPr>
                <w:rFonts w:ascii="Arial" w:eastAsia="Arial" w:hAnsi="Arial" w:cs="Arial"/>
                <w:color w:val="000000"/>
                <w:sz w:val="20"/>
              </w:rPr>
              <w:t xml:space="preserve"> </w:t>
            </w:r>
            <w:hyperlink r:id="rId105" w:history="1">
              <w:r>
                <w:rPr>
                  <w:rFonts w:ascii="Arial" w:eastAsia="Arial" w:hAnsi="Arial" w:cs="Arial"/>
                  <w:i/>
                  <w:color w:val="0077CC"/>
                  <w:sz w:val="20"/>
                  <w:u w:val="single"/>
                </w:rPr>
                <w:t>Woods v. State, 14 Md. App. 627, 629-33, 288 A.2d 215, 216-18,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266 Md. 745 (1972).</w:t>
            </w:r>
            <w:r>
              <w:rPr>
                <w:rFonts w:ascii="Arial" w:eastAsia="Arial" w:hAnsi="Arial" w:cs="Arial"/>
                <w:color w:val="000000"/>
                <w:sz w:val="20"/>
              </w:rPr>
              <w:t xml:space="preserve"> </w:t>
            </w:r>
            <w:r>
              <w:rPr>
                <w:rFonts w:ascii="Arial" w:eastAsia="Arial" w:hAnsi="Arial" w:cs="Arial"/>
                <w:color w:val="000000"/>
                <w:sz w:val="20"/>
              </w:rPr>
              <w:t xml:space="preserve">A criminal battery may be intentional or unintentional. </w:t>
            </w:r>
            <w:hyperlink r:id="rId106" w:history="1">
              <w:r>
                <w:rPr>
                  <w:rFonts w:ascii="Arial" w:eastAsia="Arial" w:hAnsi="Arial" w:cs="Arial"/>
                  <w:i/>
                  <w:color w:val="0077CC"/>
                  <w:sz w:val="20"/>
                  <w:u w:val="single"/>
                </w:rPr>
                <w:t>Elias v. State, 339 Md. 169, 183, 661 A.2d 702, 709 (1995).</w:t>
              </w:r>
            </w:hyperlink>
            <w:r>
              <w:rPr>
                <w:rFonts w:ascii="Arial" w:eastAsia="Arial" w:hAnsi="Arial" w:cs="Arial"/>
                <w:color w:val="000000"/>
                <w:sz w:val="20"/>
              </w:rPr>
              <w:t xml:space="preserve"> To be convi</w:t>
            </w:r>
            <w:r>
              <w:rPr>
                <w:rFonts w:ascii="Arial" w:eastAsia="Arial" w:hAnsi="Arial" w:cs="Arial"/>
                <w:color w:val="000000"/>
                <w:sz w:val="20"/>
              </w:rPr>
              <w:t xml:space="preserve">cted of committing an intentional battery, there must be sufficient proof that the defendant intended to cause harmful or offensive contact against a person without that person's consent and without legal justification. </w:t>
            </w:r>
            <w:r>
              <w:rPr>
                <w:rFonts w:ascii="Arial" w:eastAsia="Arial" w:hAnsi="Arial" w:cs="Arial"/>
                <w:i/>
                <w:color w:val="000000"/>
                <w:sz w:val="20"/>
              </w:rPr>
              <w:t>Id.</w:t>
            </w:r>
            <w:r>
              <w:rPr>
                <w:rFonts w:ascii="Arial" w:eastAsia="Arial" w:hAnsi="Arial" w:cs="Arial"/>
                <w:color w:val="000000"/>
                <w:sz w:val="20"/>
              </w:rPr>
              <w:t xml:space="preserve"> There is no requirement that the</w:t>
            </w:r>
            <w:r>
              <w:rPr>
                <w:rFonts w:ascii="Arial" w:eastAsia="Arial" w:hAnsi="Arial" w:cs="Arial"/>
                <w:color w:val="000000"/>
                <w:sz w:val="20"/>
              </w:rPr>
              <w:t xml:space="preserve"> defendant intend to cause a specific injury or that the victim suffer any physical injury. The mere placing of one's hands upon the body of another without consent is sufficient. GILBERT &amp; MOYLAN, </w:t>
            </w:r>
            <w:r>
              <w:rPr>
                <w:rFonts w:ascii="Arial" w:eastAsia="Arial" w:hAnsi="Arial" w:cs="Arial"/>
                <w:i/>
                <w:color w:val="000000"/>
                <w:sz w:val="20"/>
              </w:rPr>
              <w:t>supra</w:t>
            </w:r>
            <w:r>
              <w:rPr>
                <w:rFonts w:ascii="Arial" w:eastAsia="Arial" w:hAnsi="Arial" w:cs="Arial"/>
                <w:color w:val="000000"/>
                <w:sz w:val="20"/>
              </w:rPr>
              <w:t>, § 3.1, at 47-48.</w:t>
            </w:r>
          </w:p>
          <w:p w:rsidR="004D60A9" w:rsidRDefault="00851367">
            <w:pPr>
              <w:spacing w:before="240" w:line="260" w:lineRule="atLeast"/>
              <w:ind w:left="60" w:right="360"/>
              <w:jc w:val="both"/>
            </w:pPr>
            <w:r>
              <w:rPr>
                <w:rFonts w:ascii="Arial" w:eastAsia="Arial" w:hAnsi="Arial" w:cs="Arial"/>
                <w:color w:val="000000"/>
                <w:sz w:val="20"/>
              </w:rPr>
              <w:t>An unintentional battery can arise</w:t>
            </w:r>
            <w:r>
              <w:rPr>
                <w:rFonts w:ascii="Arial" w:eastAsia="Arial" w:hAnsi="Arial" w:cs="Arial"/>
                <w:color w:val="000000"/>
                <w:sz w:val="20"/>
              </w:rPr>
              <w:t xml:space="preserve"> from contact that is the result of a person's criminal negligence that legally causes injury to another. </w:t>
            </w:r>
            <w:hyperlink r:id="rId107" w:history="1">
              <w:r>
                <w:rPr>
                  <w:rFonts w:ascii="Arial" w:eastAsia="Arial" w:hAnsi="Arial" w:cs="Arial"/>
                  <w:i/>
                  <w:color w:val="0077CC"/>
                  <w:sz w:val="20"/>
                  <w:u w:val="single"/>
                </w:rPr>
                <w:t>Elias, 339 Md. at 184</w:t>
              </w:r>
              <w:r>
                <w:rPr>
                  <w:rFonts w:ascii="Arial" w:eastAsia="Arial" w:hAnsi="Arial" w:cs="Arial"/>
                  <w:i/>
                  <w:color w:val="0077CC"/>
                  <w:sz w:val="20"/>
                  <w:u w:val="single"/>
                </w:rPr>
                <w:t>, 661 A.2d at 708.</w:t>
              </w:r>
            </w:hyperlink>
            <w:r>
              <w:rPr>
                <w:rFonts w:ascii="Arial" w:eastAsia="Arial" w:hAnsi="Arial" w:cs="Arial"/>
                <w:color w:val="000000"/>
                <w:sz w:val="20"/>
              </w:rPr>
              <w:t xml:space="preserve"> It is sufficient that the defendant acted in a reckless or grossly negligent manner. </w:t>
            </w:r>
            <w:hyperlink r:id="rId108" w:history="1">
              <w:r>
                <w:rPr>
                  <w:rFonts w:ascii="Arial" w:eastAsia="Arial" w:hAnsi="Arial" w:cs="Arial"/>
                  <w:i/>
                  <w:color w:val="0077CC"/>
                  <w:sz w:val="20"/>
                  <w:u w:val="single"/>
                </w:rPr>
                <w:t>Id. at 184, 661 A.2d at</w:t>
              </w:r>
              <w:r>
                <w:rPr>
                  <w:rFonts w:ascii="Arial" w:eastAsia="Arial" w:hAnsi="Arial" w:cs="Arial"/>
                  <w:i/>
                  <w:color w:val="0077CC"/>
                  <w:sz w:val="20"/>
                  <w:u w:val="single"/>
                </w:rPr>
                <w:t xml:space="preserve"> 709</w:t>
              </w:r>
            </w:hyperlink>
            <w:r>
              <w:rPr>
                <w:rFonts w:ascii="Arial" w:eastAsia="Arial" w:hAnsi="Arial" w:cs="Arial"/>
                <w:color w:val="000000"/>
                <w:sz w:val="20"/>
              </w:rPr>
              <w:t xml:space="preserve"> (stating that the requisite criminal negligence necessary for conviction of an unintentional battery may be equated to the culpability required for a conviction of involuntary manslaughter, but without the death); </w:t>
            </w:r>
            <w:hyperlink r:id="rId109" w:history="1">
              <w:r>
                <w:rPr>
                  <w:rFonts w:ascii="Arial" w:eastAsia="Arial" w:hAnsi="Arial" w:cs="Arial"/>
                  <w:i/>
                  <w:color w:val="0077CC"/>
                  <w:sz w:val="20"/>
                  <w:u w:val="single"/>
                </w:rPr>
                <w:t>Duckworth v. State, 323 Md. 532, 540, 594 A.2d 109, 112-13 (1991);</w:t>
              </w:r>
            </w:hyperlink>
            <w:r>
              <w:rPr>
                <w:rFonts w:ascii="Arial" w:eastAsia="Arial" w:hAnsi="Arial" w:cs="Arial"/>
                <w:color w:val="000000"/>
                <w:sz w:val="20"/>
              </w:rPr>
              <w:t xml:space="preserve"> WAYNE R. LAFAVE, CRIMINAL LAW § 16.2(c), at 861-63 (5th ed. 2010). To determine whether a defenda</w:t>
            </w:r>
            <w:r>
              <w:rPr>
                <w:rFonts w:ascii="Arial" w:eastAsia="Arial" w:hAnsi="Arial" w:cs="Arial"/>
                <w:color w:val="000000"/>
                <w:sz w:val="20"/>
              </w:rPr>
              <w:t xml:space="preserve">nt's action constitutes gross criminal negligence or recklessness, the "test is whether the… misconduct, viewed objectively, was so reckless as to constitute a gross departure from the standard of conduct that a law-abiding person would observe." </w:t>
            </w:r>
            <w:hyperlink r:id="rId110" w:history="1">
              <w:r>
                <w:rPr>
                  <w:rFonts w:ascii="Arial" w:eastAsia="Arial" w:hAnsi="Arial" w:cs="Arial"/>
                  <w:i/>
                  <w:color w:val="0077CC"/>
                  <w:sz w:val="20"/>
                  <w:u w:val="single"/>
                </w:rPr>
                <w:t>State v. Albrecht, 336 Md. 475, 501, 649 A.2d 336, 348 (1994)</w:t>
              </w:r>
            </w:hyperlink>
            <w:r>
              <w:rPr>
                <w:rFonts w:ascii="Arial" w:eastAsia="Arial" w:hAnsi="Arial" w:cs="Arial"/>
                <w:color w:val="000000"/>
                <w:sz w:val="20"/>
              </w:rPr>
              <w:t xml:space="preserve"> (quoting </w:t>
            </w:r>
            <w:hyperlink r:id="rId111" w:history="1">
              <w:r>
                <w:rPr>
                  <w:rFonts w:ascii="Arial" w:eastAsia="Arial" w:hAnsi="Arial" w:cs="Arial"/>
                  <w:i/>
                  <w:color w:val="0077CC"/>
                  <w:sz w:val="20"/>
                  <w:u w:val="single"/>
                </w:rPr>
                <w:t>Minor v. State, 326 Md. 436, 443, 605 A.2d 138, 141 (1992)).</w:t>
              </w:r>
            </w:hyperlink>
          </w:p>
          <w:p w:rsidR="004D60A9" w:rsidRDefault="00851367">
            <w:pPr>
              <w:spacing w:before="200" w:line="260" w:lineRule="atLeast"/>
              <w:ind w:left="60" w:right="360"/>
              <w:jc w:val="both"/>
            </w:pPr>
            <w:r>
              <w:rPr>
                <w:rFonts w:ascii="Arial" w:eastAsia="Arial" w:hAnsi="Arial" w:cs="Arial"/>
                <w:color w:val="000000"/>
                <w:sz w:val="20"/>
              </w:rPr>
              <w:t>In identifying the mens rea of "recklessness" that is an element of an unintentional battery, we have been guided by definitions of</w:t>
            </w:r>
            <w:r>
              <w:rPr>
                <w:rFonts w:ascii="Arial" w:eastAsia="Arial" w:hAnsi="Arial" w:cs="Arial"/>
                <w:color w:val="000000"/>
                <w:sz w:val="20"/>
              </w:rPr>
              <w:t xml:space="preserve"> recklessness for involuntary manslaughter, </w:t>
            </w:r>
            <w:r>
              <w:rPr>
                <w:rFonts w:ascii="Arial" w:eastAsia="Arial" w:hAnsi="Arial" w:cs="Arial"/>
                <w:i/>
                <w:color w:val="000000"/>
                <w:sz w:val="20"/>
              </w:rPr>
              <w:t>see</w:t>
            </w:r>
            <w:r>
              <w:rPr>
                <w:rFonts w:ascii="Arial" w:eastAsia="Arial" w:hAnsi="Arial" w:cs="Arial"/>
                <w:color w:val="000000"/>
                <w:sz w:val="20"/>
              </w:rPr>
              <w:t xml:space="preserve"> MPJI-Cr 4:17.1(E), and reckless endangerment, MPJI-Cr 4:26(B). In </w:t>
            </w:r>
            <w:hyperlink r:id="rId112" w:history="1">
              <w:r>
                <w:rPr>
                  <w:rFonts w:ascii="Arial" w:eastAsia="Arial" w:hAnsi="Arial" w:cs="Arial"/>
                  <w:i/>
                  <w:color w:val="0077CC"/>
                  <w:sz w:val="20"/>
                  <w:u w:val="single"/>
                </w:rPr>
                <w:t>Hall v. State</w:t>
              </w:r>
              <w:r>
                <w:rPr>
                  <w:rFonts w:ascii="Arial" w:eastAsia="Arial" w:hAnsi="Arial" w:cs="Arial"/>
                  <w:i/>
                  <w:color w:val="0077CC"/>
                  <w:sz w:val="20"/>
                  <w:u w:val="single"/>
                </w:rPr>
                <w:t>, 448 Md. 318, 139 A.3d 936 (2016),</w:t>
              </w:r>
            </w:hyperlink>
            <w:r>
              <w:rPr>
                <w:rFonts w:ascii="Arial" w:eastAsia="Arial" w:hAnsi="Arial" w:cs="Arial"/>
                <w:color w:val="000000"/>
                <w:sz w:val="20"/>
              </w:rPr>
              <w:t xml:space="preserve"> a reckless endangerment case, the Court of Appeals cited MPJI-Cr 4:26(A) (now 4:16(B)), stating: "The defendant acted recklessly if [he] [she] was aware that [his] [her] conduct created a risk of death or serious physica</w:t>
            </w:r>
            <w:r>
              <w:rPr>
                <w:rFonts w:ascii="Arial" w:eastAsia="Arial" w:hAnsi="Arial" w:cs="Arial"/>
                <w:color w:val="000000"/>
                <w:sz w:val="20"/>
              </w:rPr>
              <w:t xml:space="preserve">l injury to another and then [he] [she] consciously disregarded that risk." The Court noted the importance of Judge Charles Moylan's opinion in </w:t>
            </w:r>
            <w:hyperlink r:id="rId113" w:history="1">
              <w:r>
                <w:rPr>
                  <w:rFonts w:ascii="Arial" w:eastAsia="Arial" w:hAnsi="Arial" w:cs="Arial"/>
                  <w:i/>
                  <w:color w:val="0077CC"/>
                  <w:sz w:val="20"/>
                  <w:u w:val="single"/>
                </w:rPr>
                <w:t>Williams v. State, 100 Md. App. 468, 641 A.2d 990 (1994)</w:t>
              </w:r>
            </w:hyperlink>
            <w:r>
              <w:rPr>
                <w:rFonts w:ascii="Arial" w:eastAsia="Arial" w:hAnsi="Arial" w:cs="Arial"/>
                <w:color w:val="000000"/>
                <w:sz w:val="20"/>
              </w:rPr>
              <w:t xml:space="preserve"> in the development of the law of reckless endangerment and the understan</w:t>
            </w:r>
            <w:r>
              <w:rPr>
                <w:rFonts w:ascii="Arial" w:eastAsia="Arial" w:hAnsi="Arial" w:cs="Arial"/>
                <w:color w:val="000000"/>
                <w:sz w:val="20"/>
              </w:rPr>
              <w:t xml:space="preserve">ding of criminal negligence generally. In </w:t>
            </w:r>
            <w:r>
              <w:rPr>
                <w:rFonts w:ascii="Arial" w:eastAsia="Arial" w:hAnsi="Arial" w:cs="Arial"/>
                <w:i/>
                <w:color w:val="000000"/>
                <w:sz w:val="20"/>
              </w:rPr>
              <w:t>Williams</w:t>
            </w:r>
            <w:r>
              <w:rPr>
                <w:rFonts w:ascii="Arial" w:eastAsia="Arial" w:hAnsi="Arial" w:cs="Arial"/>
                <w:color w:val="000000"/>
                <w:sz w:val="20"/>
              </w:rPr>
              <w:t>, Judge Moylan, speaking for the court, said:</w:t>
            </w:r>
          </w:p>
          <w:p w:rsidR="004D60A9" w:rsidRDefault="00851367">
            <w:pPr>
              <w:spacing w:before="60" w:line="260" w:lineRule="atLeast"/>
              <w:ind w:left="460" w:right="360"/>
              <w:jc w:val="both"/>
            </w:pPr>
            <w:r>
              <w:rPr>
                <w:rFonts w:ascii="Arial" w:eastAsia="Arial" w:hAnsi="Arial" w:cs="Arial"/>
                <w:color w:val="000000"/>
                <w:sz w:val="20"/>
              </w:rPr>
              <w:t>The state of mind of recklessness, in the context of reckless endangerment as well as in other criminal contexts such as depraved heart murder and possibly gros</w:t>
            </w:r>
            <w:r>
              <w:rPr>
                <w:rFonts w:ascii="Arial" w:eastAsia="Arial" w:hAnsi="Arial" w:cs="Arial"/>
                <w:color w:val="000000"/>
                <w:sz w:val="20"/>
              </w:rPr>
              <w:t>sly negligent manslaughter, is variously described as an attitude wherein the criminal agent, conscious of the life-endangering risk involved, nonetheless acts with a conscious disregard of or wanton indifference to the consequences.</w:t>
            </w:r>
          </w:p>
          <w:p w:rsidR="004D60A9" w:rsidRDefault="00851367">
            <w:pPr>
              <w:spacing w:before="240" w:line="260" w:lineRule="atLeast"/>
              <w:ind w:left="60" w:right="360"/>
              <w:jc w:val="both"/>
            </w:pPr>
            <w:hyperlink r:id="rId114" w:history="1">
              <w:r>
                <w:rPr>
                  <w:rFonts w:ascii="Arial" w:eastAsia="Arial" w:hAnsi="Arial" w:cs="Arial"/>
                  <w:i/>
                  <w:color w:val="0077CC"/>
                  <w:sz w:val="20"/>
                  <w:u w:val="single"/>
                </w:rPr>
                <w:t>Williams v. State, 100 Md. App. at 474, 641 A.2d at 992.</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15" w:history="1">
              <w:r>
                <w:rPr>
                  <w:rFonts w:ascii="Arial" w:eastAsia="Arial" w:hAnsi="Arial" w:cs="Arial"/>
                  <w:i/>
                  <w:color w:val="0077CC"/>
                  <w:sz w:val="20"/>
                  <w:u w:val="single"/>
                </w:rPr>
                <w:t>Perry v. State, 229 Md. App. 687, 146 A.3d 529 (2016)</w:t>
              </w:r>
            </w:hyperlink>
            <w:r>
              <w:rPr>
                <w:rFonts w:ascii="Arial" w:eastAsia="Arial" w:hAnsi="Arial" w:cs="Arial"/>
                <w:color w:val="000000"/>
                <w:sz w:val="20"/>
              </w:rPr>
              <w:t xml:space="preserve"> (quoting MPJI-Cr 4:26(A) (now MPJI-Cr 4:26(B)), and stating that the term "reckless," means "the 'conscious disregard of a substantial risk' of harm." (quoting </w:t>
            </w:r>
            <w:hyperlink r:id="rId116" w:history="1">
              <w:r>
                <w:rPr>
                  <w:rFonts w:ascii="Arial" w:eastAsia="Arial" w:hAnsi="Arial" w:cs="Arial"/>
                  <w:i/>
                  <w:color w:val="0077CC"/>
                  <w:sz w:val="20"/>
                  <w:u w:val="single"/>
                </w:rPr>
                <w:t>Williams, 100 Md. App. at 503, 641 A.2d at 1007)).</w:t>
              </w:r>
            </w:hyperlink>
          </w:p>
          <w:p w:rsidR="004D60A9" w:rsidRDefault="00851367">
            <w:pPr>
              <w:spacing w:before="240" w:line="260" w:lineRule="atLeast"/>
              <w:ind w:left="60" w:right="360"/>
              <w:jc w:val="both"/>
            </w:pPr>
            <w:r>
              <w:rPr>
                <w:rFonts w:ascii="Arial" w:eastAsia="Arial" w:hAnsi="Arial" w:cs="Arial"/>
                <w:color w:val="000000"/>
                <w:sz w:val="20"/>
              </w:rPr>
              <w:t xml:space="preserve">In </w:t>
            </w:r>
            <w:hyperlink r:id="rId117" w:history="1">
              <w:r>
                <w:rPr>
                  <w:rFonts w:ascii="Arial" w:eastAsia="Arial" w:hAnsi="Arial" w:cs="Arial"/>
                  <w:i/>
                  <w:color w:val="0077CC"/>
                  <w:sz w:val="20"/>
                  <w:u w:val="single"/>
                </w:rPr>
                <w:t>Christian v. State, 405 Md. 306, 951 A.2d 832 (2008),</w:t>
              </w:r>
            </w:hyperlink>
            <w:r>
              <w:rPr>
                <w:rFonts w:ascii="Arial" w:eastAsia="Arial" w:hAnsi="Arial" w:cs="Arial"/>
                <w:color w:val="000000"/>
                <w:sz w:val="20"/>
              </w:rPr>
              <w:t xml:space="preserve"> the Court of Appeals held that first degree assault can be mitigated to second degree assault by both imperfect self-defense and hot-blooded respon</w:t>
            </w:r>
            <w:r>
              <w:rPr>
                <w:rFonts w:ascii="Arial" w:eastAsia="Arial" w:hAnsi="Arial" w:cs="Arial"/>
                <w:color w:val="000000"/>
                <w:sz w:val="20"/>
              </w:rPr>
              <w:t>se to adequate provocation.</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46" style="position:absolute;z-index:251673600"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4:01.1, MPJI-Cr 5:07.</w:t>
      </w:r>
    </w:p>
    <w:p w:rsidR="004D60A9" w:rsidRDefault="00851367">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47" style="position:absolute;left:0;text-align:left;z-index:251681792;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gutter="0"/>
          <w:cols w:space="720"/>
          <w:titlePg/>
        </w:sectPr>
      </w:pPr>
    </w:p>
    <w:p w:rsidR="004D60A9" w:rsidRDefault="004D60A9">
      <w:bookmarkStart w:id="6" w:name="Bookmark_7"/>
      <w:bookmarkEnd w:id="6"/>
    </w:p>
    <w:p w:rsidR="004D60A9" w:rsidRDefault="00851367">
      <w:r>
        <w:pict>
          <v:shape id="_x0000_i1033"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124" w:history="1">
        <w:r>
          <w:rPr>
            <w:rFonts w:ascii="Arial" w:eastAsia="Arial" w:hAnsi="Arial" w:cs="Arial"/>
            <w:b/>
            <w:bCs/>
            <w:i/>
            <w:color w:val="0077CC"/>
            <w:kern w:val="32"/>
            <w:sz w:val="28"/>
            <w:szCs w:val="32"/>
            <w:u w:val="single"/>
          </w:rPr>
          <w:t>MPJI-Cr 4:01.1</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xml:space="preserve">FIRST DEGREE </w:t>
      </w:r>
      <w:r>
        <w:rPr>
          <w:rFonts w:ascii="Arial" w:eastAsia="Arial" w:hAnsi="Arial" w:cs="Arial"/>
          <w:b/>
          <w:i/>
          <w:color w:val="000000"/>
          <w:sz w:val="22"/>
        </w:rPr>
        <w:t>ASSAULT</w:t>
      </w:r>
    </w:p>
    <w:p w:rsidR="004D60A9" w:rsidRDefault="00851367">
      <w:pPr>
        <w:keepNext/>
        <w:spacing w:before="240" w:line="340" w:lineRule="atLeast"/>
      </w:pPr>
      <w:r>
        <w:br/>
      </w:r>
      <w:r>
        <w:rPr>
          <w:rFonts w:ascii="Arial" w:eastAsia="Arial" w:hAnsi="Arial" w:cs="Arial"/>
          <w:b/>
          <w:color w:val="000000"/>
          <w:sz w:val="28"/>
        </w:rPr>
        <w:t>4:01.1First Degree Assault</w:t>
      </w:r>
    </w:p>
    <w:p w:rsidR="004D60A9" w:rsidRDefault="00851367">
      <w:pPr>
        <w:spacing w:line="60" w:lineRule="exact"/>
      </w:pPr>
      <w:r>
        <w:pict>
          <v:line id="_x0000_s1049" style="position:absolute;z-index:251664384"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 xml:space="preserve">The defendant is [also] charged with the crime of first degree assault. In order to convict the defendant of first degree assault, the State must prove all of the elements of second degree assault and also must prove </w:t>
      </w:r>
      <w:r>
        <w:rPr>
          <w:rFonts w:ascii="Arial" w:eastAsia="Arial" w:hAnsi="Arial" w:cs="Arial"/>
          <w:b/>
          <w:color w:val="000000"/>
          <w:sz w:val="20"/>
        </w:rPr>
        <w:t>that</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(1) the defendant used a firearm to commit assault; or</w:t>
      </w:r>
    </w:p>
    <w:p w:rsidR="004D60A9" w:rsidRDefault="00851367">
      <w:pPr>
        <w:spacing w:before="200" w:line="260" w:lineRule="atLeast"/>
        <w:ind w:left="400"/>
        <w:jc w:val="both"/>
      </w:pPr>
      <w:r>
        <w:rPr>
          <w:rFonts w:ascii="Arial" w:eastAsia="Arial" w:hAnsi="Arial" w:cs="Arial"/>
          <w:b/>
          <w:color w:val="000000"/>
          <w:sz w:val="20"/>
        </w:rPr>
        <w:t>(2) the defendant intended to cause serious physical injury in the commission of the assault</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 xml:space="preserve">A firearm is a weapon that propels [a bullet] [shotgun pellets] [a missile] [a projectile] by </w:t>
      </w:r>
      <w:r>
        <w:rPr>
          <w:rFonts w:ascii="Arial" w:eastAsia="Arial" w:hAnsi="Arial" w:cs="Arial"/>
          <w:b/>
          <w:color w:val="000000"/>
          <w:sz w:val="20"/>
        </w:rPr>
        <w:t>gunpowder or a similar explosive</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Serious physical injury means injury that</w:t>
      </w:r>
    </w:p>
    <w:p w:rsidR="004D60A9" w:rsidRDefault="00851367">
      <w:pPr>
        <w:spacing w:before="200" w:line="260" w:lineRule="atLeast"/>
        <w:ind w:left="400"/>
        <w:jc w:val="both"/>
      </w:pPr>
      <w:r>
        <w:rPr>
          <w:rFonts w:ascii="Arial" w:eastAsia="Arial" w:hAnsi="Arial" w:cs="Arial"/>
          <w:b/>
          <w:color w:val="000000"/>
          <w:sz w:val="20"/>
        </w:rPr>
        <w:t>(1) creates a substantial risk of death; or</w:t>
      </w:r>
    </w:p>
    <w:p w:rsidR="004D60A9" w:rsidRDefault="00851367">
      <w:pPr>
        <w:spacing w:before="200" w:line="260" w:lineRule="atLeast"/>
        <w:ind w:left="400"/>
        <w:jc w:val="both"/>
      </w:pPr>
      <w:r>
        <w:rPr>
          <w:rFonts w:ascii="Arial" w:eastAsia="Arial" w:hAnsi="Arial" w:cs="Arial"/>
          <w:b/>
          <w:color w:val="000000"/>
          <w:sz w:val="20"/>
        </w:rPr>
        <w:t>(2) causes serious and permanent or serious and protracted [disfigurement] [loss or impairment of the function of any bodily member or o</w:t>
      </w:r>
      <w:r>
        <w:rPr>
          <w:rFonts w:ascii="Arial" w:eastAsia="Arial" w:hAnsi="Arial" w:cs="Arial"/>
          <w:b/>
          <w:color w:val="000000"/>
          <w:sz w:val="20"/>
        </w:rPr>
        <w:t>rgan]</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4:01 (Second Degree Assault).</w:t>
            </w:r>
          </w:p>
          <w:p w:rsidR="004D60A9" w:rsidRDefault="00851367">
            <w:pPr>
              <w:spacing w:before="200" w:line="260" w:lineRule="atLeast"/>
              <w:ind w:left="60" w:right="360"/>
              <w:jc w:val="both"/>
            </w:pPr>
            <w:r>
              <w:rPr>
                <w:rFonts w:ascii="Arial" w:eastAsia="Arial" w:hAnsi="Arial" w:cs="Arial"/>
                <w:color w:val="000000"/>
                <w:sz w:val="20"/>
              </w:rPr>
              <w:t xml:space="preserve">CRIMINAL LAW I § 3-202(a) provides that first degree assault is assault where one "intentionally cause[s] or attempt[s] to cause serious physical injury to another" or commits </w:t>
            </w:r>
            <w:r>
              <w:rPr>
                <w:rFonts w:ascii="Arial" w:eastAsia="Arial" w:hAnsi="Arial" w:cs="Arial"/>
                <w:color w:val="000000"/>
                <w:sz w:val="20"/>
              </w:rPr>
              <w:t>"assault with a firearm." CRIM. LAW I § 3-202(a)(1)-(2). When enacting this comprehensive aggravated assault statute, the Maryland General Assembly simultaneously repealed the prior statutory language, except as otherwise provided in the assault subtitle.</w:t>
            </w:r>
          </w:p>
          <w:p w:rsidR="004D60A9" w:rsidRDefault="00851367">
            <w:pPr>
              <w:spacing w:before="240" w:line="260" w:lineRule="atLeast"/>
              <w:ind w:left="60" w:right="360"/>
              <w:jc w:val="both"/>
            </w:pPr>
            <w:r>
              <w:rPr>
                <w:rFonts w:ascii="Arial" w:eastAsia="Arial" w:hAnsi="Arial" w:cs="Arial"/>
                <w:color w:val="000000"/>
                <w:sz w:val="20"/>
              </w:rPr>
              <w:t xml:space="preserve">To determine whether there is serious physical injury, examine both the nature of the injury and the defendant's intent. </w:t>
            </w:r>
            <w:hyperlink r:id="rId125" w:history="1">
              <w:r>
                <w:rPr>
                  <w:rFonts w:ascii="Arial" w:eastAsia="Arial" w:hAnsi="Arial" w:cs="Arial"/>
                  <w:i/>
                  <w:color w:val="0077CC"/>
                  <w:sz w:val="20"/>
                  <w:u w:val="single"/>
                </w:rPr>
                <w:t>Chilco</w:t>
              </w:r>
              <w:r>
                <w:rPr>
                  <w:rFonts w:ascii="Arial" w:eastAsia="Arial" w:hAnsi="Arial" w:cs="Arial"/>
                  <w:i/>
                  <w:color w:val="0077CC"/>
                  <w:sz w:val="20"/>
                  <w:u w:val="single"/>
                </w:rPr>
                <w:t>at v. State, 155 Md. App. 394, 843 A.2d 240 (2004)</w:t>
              </w:r>
            </w:hyperlink>
            <w:r>
              <w:rPr>
                <w:rFonts w:ascii="Arial" w:eastAsia="Arial" w:hAnsi="Arial" w:cs="Arial"/>
                <w:color w:val="000000"/>
                <w:sz w:val="20"/>
              </w:rPr>
              <w:t xml:space="preserve"> (finding sufficient evidence of serious physical injury when the defendant struck the victim four or five times with a beer stein and commented that the victim looked dead),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 xml:space="preserve">381 Md. 675, 851 </w:t>
            </w:r>
            <w:r>
              <w:rPr>
                <w:rFonts w:ascii="Arial" w:eastAsia="Arial" w:hAnsi="Arial" w:cs="Arial"/>
                <w:i/>
                <w:color w:val="000000"/>
                <w:sz w:val="20"/>
              </w:rPr>
              <w:t>A.2d 594 (2004).</w:t>
            </w:r>
            <w:r>
              <w:rPr>
                <w:rFonts w:ascii="Arial" w:eastAsia="Arial" w:hAnsi="Arial" w:cs="Arial"/>
                <w:color w:val="000000"/>
                <w:sz w:val="20"/>
              </w:rPr>
              <w:t xml:space="preserve"> Firearm is defined by PUB. SAFETY § 5-101(h), as applied in </w:t>
            </w:r>
            <w:hyperlink r:id="rId126" w:history="1">
              <w:r>
                <w:rPr>
                  <w:rFonts w:ascii="Arial" w:eastAsia="Arial" w:hAnsi="Arial" w:cs="Arial"/>
                  <w:i/>
                  <w:color w:val="0077CC"/>
                  <w:sz w:val="20"/>
                  <w:u w:val="single"/>
                </w:rPr>
                <w:t>Neal, 191 Md. App. 297, 991 A.2d 159.</w:t>
              </w:r>
            </w:hyperlink>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50" style="position:absolute;z-index:251674624"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4:01.</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51" style="position:absolute;left:0;text-align:left;z-index:251682816;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gutter="0"/>
          <w:cols w:space="720"/>
          <w:titlePg/>
        </w:sectPr>
      </w:pPr>
    </w:p>
    <w:p w:rsidR="004D60A9" w:rsidRDefault="004D60A9">
      <w:bookmarkStart w:id="7" w:name="Bookmark_8"/>
      <w:bookmarkEnd w:id="7"/>
    </w:p>
    <w:p w:rsidR="004D60A9" w:rsidRDefault="00851367">
      <w:r>
        <w:pict>
          <v:shape id="_x0000_i1034"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133" w:history="1">
        <w:r>
          <w:rPr>
            <w:rFonts w:ascii="Arial" w:eastAsia="Arial" w:hAnsi="Arial" w:cs="Arial"/>
            <w:b/>
            <w:bCs/>
            <w:i/>
            <w:color w:val="0077CC"/>
            <w:kern w:val="32"/>
            <w:sz w:val="28"/>
            <w:szCs w:val="32"/>
            <w:u w:val="single"/>
          </w:rPr>
          <w:t>MPJI-Cr 4:02</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ATTEMPT</w:t>
      </w:r>
    </w:p>
    <w:p w:rsidR="004D60A9" w:rsidRDefault="00851367">
      <w:pPr>
        <w:keepNext/>
        <w:spacing w:before="240" w:line="340" w:lineRule="atLeast"/>
      </w:pPr>
      <w:r>
        <w:br/>
      </w:r>
      <w:r>
        <w:rPr>
          <w:rFonts w:ascii="Arial" w:eastAsia="Arial" w:hAnsi="Arial" w:cs="Arial"/>
          <w:b/>
          <w:color w:val="000000"/>
          <w:sz w:val="28"/>
        </w:rPr>
        <w:t>4:02Attempt</w:t>
      </w:r>
    </w:p>
    <w:p w:rsidR="004D60A9" w:rsidRDefault="00851367">
      <w:pPr>
        <w:spacing w:line="60" w:lineRule="exact"/>
      </w:pPr>
      <w:r>
        <w:pict>
          <v:line id="_x0000_s1053" style="position:absolute;z-index:251665408"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attempted (</w:t>
      </w:r>
      <w:r>
        <w:rPr>
          <w:rFonts w:ascii="Arial" w:eastAsia="Arial" w:hAnsi="Arial" w:cs="Arial"/>
          <w:b/>
          <w:color w:val="000000"/>
          <w:sz w:val="20"/>
          <w:u w:val="single"/>
        </w:rPr>
        <w:t>crime</w:t>
      </w:r>
      <w:r>
        <w:rPr>
          <w:rFonts w:ascii="Arial" w:eastAsia="Arial" w:hAnsi="Arial" w:cs="Arial"/>
          <w:b/>
          <w:color w:val="000000"/>
          <w:sz w:val="20"/>
        </w:rPr>
        <w:t>). Attempt is a substantial step, beyond mere preparation, toward the commission of a crime. In order to convict the defendant of attempted (</w:t>
      </w:r>
      <w:r>
        <w:rPr>
          <w:rFonts w:ascii="Arial" w:eastAsia="Arial" w:hAnsi="Arial" w:cs="Arial"/>
          <w:b/>
          <w:color w:val="000000"/>
          <w:sz w:val="20"/>
          <w:u w:val="single"/>
        </w:rPr>
        <w:t>crime</w:t>
      </w:r>
      <w:r>
        <w:rPr>
          <w:rFonts w:ascii="Arial" w:eastAsia="Arial" w:hAnsi="Arial" w:cs="Arial"/>
          <w:b/>
          <w:color w:val="000000"/>
          <w:sz w:val="20"/>
        </w:rPr>
        <w: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(1) </w:t>
      </w:r>
      <w:r>
        <w:rPr>
          <w:rFonts w:ascii="Arial" w:eastAsia="Arial" w:hAnsi="Arial" w:cs="Arial"/>
          <w:b/>
          <w:color w:val="000000"/>
          <w:sz w:val="20"/>
        </w:rPr>
        <w:t>that the defendant took a substantial step, beyond mere preparation, toward the commission of the crime of (</w:t>
      </w:r>
      <w:r>
        <w:rPr>
          <w:rFonts w:ascii="Arial" w:eastAsia="Arial" w:hAnsi="Arial" w:cs="Arial"/>
          <w:b/>
          <w:color w:val="000000"/>
          <w:sz w:val="20"/>
          <w:u w:val="single"/>
        </w:rPr>
        <w:t>crime</w:t>
      </w:r>
      <w:r>
        <w:rPr>
          <w:rFonts w:ascii="Arial" w:eastAsia="Arial" w:hAnsi="Arial" w:cs="Arial"/>
          <w:b/>
          <w:color w:val="000000"/>
          <w:sz w:val="20"/>
        </w:rPr>
        <w:t>)</w:t>
      </w:r>
      <w:r>
        <w:rPr>
          <w:rFonts w:ascii="Arial" w:eastAsia="Arial" w:hAnsi="Arial" w:cs="Arial"/>
          <w:color w:val="000000"/>
          <w:sz w:val="20"/>
        </w:rPr>
        <w:t xml:space="preserve">; </w:t>
      </w:r>
      <w:r>
        <w:rPr>
          <w:rFonts w:ascii="Arial" w:eastAsia="Arial" w:hAnsi="Arial" w:cs="Arial"/>
          <w:b/>
          <w:color w:val="000000"/>
          <w:sz w:val="20"/>
        </w:rPr>
        <w:t>and</w:t>
      </w:r>
    </w:p>
    <w:p w:rsidR="004D60A9" w:rsidRDefault="00851367">
      <w:pPr>
        <w:spacing w:before="200" w:line="260" w:lineRule="atLeast"/>
        <w:ind w:left="400"/>
        <w:jc w:val="both"/>
      </w:pPr>
      <w:r>
        <w:rPr>
          <w:rFonts w:ascii="Arial" w:eastAsia="Arial" w:hAnsi="Arial" w:cs="Arial"/>
          <w:b/>
          <w:color w:val="000000"/>
          <w:sz w:val="20"/>
        </w:rPr>
        <w:t>(2) that the defendant intended to commit the crime of (</w:t>
      </w:r>
      <w:r>
        <w:rPr>
          <w:rFonts w:ascii="Arial" w:eastAsia="Arial" w:hAnsi="Arial" w:cs="Arial"/>
          <w:b/>
          <w:color w:val="000000"/>
          <w:sz w:val="20"/>
          <w:u w:val="single"/>
        </w:rPr>
        <w:t>crime</w:t>
      </w:r>
      <w:r>
        <w:rPr>
          <w:rFonts w:ascii="Arial" w:eastAsia="Arial" w:hAnsi="Arial" w:cs="Arial"/>
          <w:b/>
          <w:color w:val="000000"/>
          <w:sz w:val="20"/>
        </w:rPr>
        <w:t>)</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color w:val="000000"/>
                <w:sz w:val="20"/>
              </w:rPr>
              <w:t>Attempt is a common law misdemeanor with a statutory penalty.</w:t>
            </w:r>
            <w:r>
              <w:rPr>
                <w:rFonts w:ascii="Arial" w:eastAsia="Arial" w:hAnsi="Arial" w:cs="Arial"/>
                <w:color w:val="000000"/>
                <w:sz w:val="20"/>
              </w:rPr>
              <w:t xml:space="preserve"> </w:t>
            </w:r>
            <w:hyperlink r:id="rId134" w:history="1">
              <w:r>
                <w:rPr>
                  <w:rFonts w:ascii="Arial" w:eastAsia="Arial" w:hAnsi="Arial" w:cs="Arial"/>
                  <w:i/>
                  <w:color w:val="0077CC"/>
                  <w:sz w:val="20"/>
                  <w:u w:val="single"/>
                </w:rPr>
                <w:t>Cox v. State, 311 Md. 326, 330, 534 A.2d 1333, 1335 (1988);</w:t>
              </w:r>
            </w:hyperlink>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MD. CODE ANN., CRIMINAL LAW I § 1-201 (2012 &amp; Supp. 2018) ("The punishment of a person who is convicted of an attempt to commit a crime may not exceed the maximum punishment for the crime attempted.").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w:t>
            </w:r>
            <w:r>
              <w:rPr>
                <w:rFonts w:ascii="Arial" w:eastAsia="Arial" w:hAnsi="Arial" w:cs="Arial"/>
                <w:color w:val="000000"/>
                <w:sz w:val="20"/>
              </w:rPr>
              <w:t>CE MARSHALL, A TREATISE ON THE LAW OF CRIMES §§ 4.06-4.14, at 228-59 (7th ed. 1967); RICHARD P. GILBERT &amp; CHARLES E. MOYLAN, JR., MARYLAND CRIMINAL LAW: PRACTICE &amp; PROCEDURE §§ 4.0-4.6, at 59-63 (1983 &amp; Supp. 1990); WAYNE R. LAFAVE, CRIMINAL LAW §§ 11.2-11</w:t>
            </w:r>
            <w:r>
              <w:rPr>
                <w:rFonts w:ascii="Arial" w:eastAsia="Arial" w:hAnsi="Arial" w:cs="Arial"/>
                <w:color w:val="000000"/>
                <w:sz w:val="20"/>
              </w:rPr>
              <w:t>.5(c), at 612-47 (5th ed. 2010); ROLLIN M. PERKINS &amp; RONALD. N. BOYCE, CRIMINAL LAW 611-42 (3d ed. 1982).</w:t>
            </w:r>
          </w:p>
          <w:p w:rsidR="004D60A9" w:rsidRDefault="00851367">
            <w:pPr>
              <w:spacing w:before="200" w:line="260" w:lineRule="atLeast"/>
              <w:ind w:left="60" w:right="360"/>
              <w:jc w:val="both"/>
            </w:pPr>
            <w:r>
              <w:rPr>
                <w:rFonts w:ascii="Arial" w:eastAsia="Arial" w:hAnsi="Arial" w:cs="Arial"/>
                <w:color w:val="000000"/>
                <w:sz w:val="20"/>
              </w:rPr>
              <w:t xml:space="preserve">In </w:t>
            </w:r>
            <w:hyperlink r:id="rId135" w:history="1">
              <w:r>
                <w:rPr>
                  <w:rFonts w:ascii="Arial" w:eastAsia="Arial" w:hAnsi="Arial" w:cs="Arial"/>
                  <w:i/>
                  <w:color w:val="0077CC"/>
                  <w:sz w:val="20"/>
                  <w:u w:val="single"/>
                </w:rPr>
                <w:t>Young v. State, 30</w:t>
              </w:r>
              <w:r>
                <w:rPr>
                  <w:rFonts w:ascii="Arial" w:eastAsia="Arial" w:hAnsi="Arial" w:cs="Arial"/>
                  <w:i/>
                  <w:color w:val="0077CC"/>
                  <w:sz w:val="20"/>
                  <w:u w:val="single"/>
                </w:rPr>
                <w:t>3 Md. 298, 493 A.2d 352 (1985),</w:t>
              </w:r>
            </w:hyperlink>
            <w:r>
              <w:rPr>
                <w:rFonts w:ascii="Arial" w:eastAsia="Arial" w:hAnsi="Arial" w:cs="Arial"/>
                <w:color w:val="000000"/>
                <w:sz w:val="20"/>
              </w:rPr>
              <w:t xml:space="preserve"> the Court of Appeals adopted the Model Penal Code substantial step test for the requisite actus reus of attempt. Under this test, the criminal act is conduct that constitutes a substantial step toward the commission of the i</w:t>
            </w:r>
            <w:r>
              <w:rPr>
                <w:rFonts w:ascii="Arial" w:eastAsia="Arial" w:hAnsi="Arial" w:cs="Arial"/>
                <w:color w:val="000000"/>
                <w:sz w:val="20"/>
              </w:rPr>
              <w:t xml:space="preserve">ntended crime, beyond mere preparation, that strongly corroborates the actor's criminal purpose. </w:t>
            </w:r>
            <w:hyperlink r:id="rId136" w:history="1">
              <w:r>
                <w:rPr>
                  <w:rFonts w:ascii="Arial" w:eastAsia="Arial" w:hAnsi="Arial" w:cs="Arial"/>
                  <w:i/>
                  <w:color w:val="0077CC"/>
                  <w:sz w:val="20"/>
                  <w:u w:val="single"/>
                </w:rPr>
                <w:t>Id. at 309-11, 493 A.2d at 358</w:t>
              </w:r>
              <w:r>
                <w:rPr>
                  <w:rFonts w:ascii="Arial" w:eastAsia="Arial" w:hAnsi="Arial" w:cs="Arial"/>
                  <w:i/>
                  <w:color w:val="0077CC"/>
                  <w:sz w:val="20"/>
                  <w:u w:val="single"/>
                </w:rPr>
                <w:t>-60;</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137" w:history="1">
              <w:r>
                <w:rPr>
                  <w:rFonts w:ascii="Arial" w:eastAsia="Arial" w:hAnsi="Arial" w:cs="Arial"/>
                  <w:i/>
                  <w:color w:val="0077CC"/>
                  <w:sz w:val="20"/>
                  <w:u w:val="single"/>
                </w:rPr>
                <w:t>Gray v. State, 43 Md. App. 238, 403 A.2d 853 (1979),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38" w:history="1">
              <w:r>
                <w:rPr>
                  <w:rFonts w:ascii="Arial" w:eastAsia="Arial" w:hAnsi="Arial" w:cs="Arial"/>
                  <w:i/>
                  <w:color w:val="0077CC"/>
                  <w:sz w:val="20"/>
                  <w:u w:val="single"/>
                </w:rPr>
                <w:t>286 Md. 747 (1979);</w:t>
              </w:r>
            </w:hyperlink>
            <w:r>
              <w:rPr>
                <w:rFonts w:ascii="Arial" w:eastAsia="Arial" w:hAnsi="Arial" w:cs="Arial"/>
                <w:color w:val="000000"/>
                <w:sz w:val="20"/>
              </w:rPr>
              <w:t xml:space="preserve"> </w:t>
            </w:r>
            <w:hyperlink r:id="rId139" w:history="1">
              <w:r>
                <w:rPr>
                  <w:rFonts w:ascii="Arial" w:eastAsia="Arial" w:hAnsi="Arial" w:cs="Arial"/>
                  <w:i/>
                  <w:color w:val="0077CC"/>
                  <w:sz w:val="20"/>
                  <w:u w:val="single"/>
                </w:rPr>
                <w:t xml:space="preserve">Wiley v. State, 237 Md. </w:t>
              </w:r>
              <w:r>
                <w:rPr>
                  <w:rFonts w:ascii="Arial" w:eastAsia="Arial" w:hAnsi="Arial" w:cs="Arial"/>
                  <w:i/>
                  <w:color w:val="0077CC"/>
                  <w:sz w:val="20"/>
                  <w:u w:val="single"/>
                </w:rPr>
                <w:t>560, 207 A.2d 478 (1965),</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140" w:history="1">
              <w:r>
                <w:rPr>
                  <w:rFonts w:ascii="Arial" w:eastAsia="Arial" w:hAnsi="Arial" w:cs="Arial"/>
                  <w:i/>
                  <w:color w:val="0077CC"/>
                  <w:sz w:val="20"/>
                  <w:u w:val="single"/>
                </w:rPr>
                <w:t>Lightfoot v. State, 278 Md. 231, 360 A.2d 426 (1976).</w:t>
              </w:r>
            </w:hyperlink>
            <w:r>
              <w:rPr>
                <w:rFonts w:ascii="Arial" w:eastAsia="Arial" w:hAnsi="Arial" w:cs="Arial"/>
                <w:color w:val="000000"/>
                <w:sz w:val="20"/>
              </w:rPr>
              <w:t xml:space="preserve"> To identify evide</w:t>
            </w:r>
            <w:r>
              <w:rPr>
                <w:rFonts w:ascii="Arial" w:eastAsia="Arial" w:hAnsi="Arial" w:cs="Arial"/>
                <w:color w:val="000000"/>
                <w:sz w:val="20"/>
              </w:rPr>
              <w:t xml:space="preserve">nce that may constitute a substantial step, the </w:t>
            </w:r>
            <w:r>
              <w:rPr>
                <w:rFonts w:ascii="Arial" w:eastAsia="Arial" w:hAnsi="Arial" w:cs="Arial"/>
                <w:i/>
                <w:color w:val="000000"/>
                <w:sz w:val="20"/>
              </w:rPr>
              <w:t>Young</w:t>
            </w:r>
            <w:r>
              <w:rPr>
                <w:rFonts w:ascii="Arial" w:eastAsia="Arial" w:hAnsi="Arial" w:cs="Arial"/>
                <w:color w:val="000000"/>
                <w:sz w:val="20"/>
              </w:rPr>
              <w:t xml:space="preserve"> Court adopted the provisions of the State of Md. Comm'n on Criminal Law, Proposed Criminal Code § 110.00 (1972), which substantially follows the language of Model Penal Code § 5.01(1)(c):</w:t>
            </w:r>
          </w:p>
          <w:p w:rsidR="004D60A9" w:rsidRDefault="00851367">
            <w:pPr>
              <w:spacing w:before="60" w:line="260" w:lineRule="atLeast"/>
              <w:ind w:left="460" w:right="360"/>
              <w:jc w:val="both"/>
            </w:pPr>
            <w:r>
              <w:rPr>
                <w:rFonts w:ascii="Arial" w:eastAsia="Arial" w:hAnsi="Arial" w:cs="Arial"/>
                <w:color w:val="000000"/>
                <w:sz w:val="20"/>
              </w:rPr>
              <w:t xml:space="preserve">Conduct shall </w:t>
            </w:r>
            <w:r>
              <w:rPr>
                <w:rFonts w:ascii="Arial" w:eastAsia="Arial" w:hAnsi="Arial" w:cs="Arial"/>
                <w:color w:val="000000"/>
                <w:sz w:val="20"/>
              </w:rPr>
              <w:t>not be held to constitute a substantial step under this section unless it is strongly corroborative of the actor's criminal intention. Without negating the sufficiency of other conduct, the following, if strongly corroborative of the actor's criminal purpo</w:t>
            </w:r>
            <w:r>
              <w:rPr>
                <w:rFonts w:ascii="Arial" w:eastAsia="Arial" w:hAnsi="Arial" w:cs="Arial"/>
                <w:color w:val="000000"/>
                <w:sz w:val="20"/>
              </w:rPr>
              <w:t>se, shall not be held insufficient as a matter of law to constitute a substantial step:</w:t>
            </w:r>
          </w:p>
          <w:p w:rsidR="004D60A9" w:rsidRDefault="00851367">
            <w:pPr>
              <w:spacing w:before="60" w:line="260" w:lineRule="atLeast"/>
              <w:ind w:left="860" w:right="360"/>
              <w:jc w:val="both"/>
            </w:pPr>
            <w:r>
              <w:rPr>
                <w:rFonts w:ascii="Arial" w:eastAsia="Arial" w:hAnsi="Arial" w:cs="Arial"/>
                <w:color w:val="000000"/>
                <w:sz w:val="20"/>
              </w:rPr>
              <w:t>(a) lying in wait, searching for or following the contemplated victim of the crime;</w:t>
            </w:r>
          </w:p>
          <w:p w:rsidR="004D60A9" w:rsidRDefault="00851367">
            <w:pPr>
              <w:spacing w:before="60" w:line="260" w:lineRule="atLeast"/>
              <w:ind w:left="860" w:right="360"/>
              <w:jc w:val="both"/>
            </w:pPr>
            <w:r>
              <w:rPr>
                <w:rFonts w:ascii="Arial" w:eastAsia="Arial" w:hAnsi="Arial" w:cs="Arial"/>
                <w:color w:val="000000"/>
                <w:sz w:val="20"/>
              </w:rPr>
              <w:lastRenderedPageBreak/>
              <w:t xml:space="preserve">(b) enticing or seeking to entice the contemplated victim of the crime to go to the </w:t>
            </w:r>
            <w:r>
              <w:rPr>
                <w:rFonts w:ascii="Arial" w:eastAsia="Arial" w:hAnsi="Arial" w:cs="Arial"/>
                <w:color w:val="000000"/>
                <w:sz w:val="20"/>
              </w:rPr>
              <w:t>place contemplated for its commission;</w:t>
            </w:r>
          </w:p>
          <w:p w:rsidR="004D60A9" w:rsidRDefault="00851367">
            <w:pPr>
              <w:spacing w:before="60" w:line="260" w:lineRule="atLeast"/>
              <w:ind w:left="860" w:right="360"/>
              <w:jc w:val="both"/>
            </w:pPr>
            <w:r>
              <w:rPr>
                <w:rFonts w:ascii="Arial" w:eastAsia="Arial" w:hAnsi="Arial" w:cs="Arial"/>
                <w:color w:val="000000"/>
                <w:sz w:val="20"/>
              </w:rPr>
              <w:t>(c) reconnoitering the place contemplated for the commission of the crime, at a time or in a manner not usual for law-abiding individuals, under circumstances that warrant alarm for the safety of persons or property i</w:t>
            </w:r>
            <w:r>
              <w:rPr>
                <w:rFonts w:ascii="Arial" w:eastAsia="Arial" w:hAnsi="Arial" w:cs="Arial"/>
                <w:color w:val="000000"/>
                <w:sz w:val="20"/>
              </w:rPr>
              <w:t>n the vicinity, such as taking flight upon appearance of a police officer, refusing to identify himself, or manifestly endeavoring to conceal himself or any object;</w:t>
            </w:r>
          </w:p>
          <w:p w:rsidR="004D60A9" w:rsidRDefault="00851367">
            <w:pPr>
              <w:spacing w:before="60" w:line="260" w:lineRule="atLeast"/>
              <w:ind w:left="860" w:right="360"/>
              <w:jc w:val="both"/>
            </w:pPr>
            <w:r>
              <w:rPr>
                <w:rFonts w:ascii="Arial" w:eastAsia="Arial" w:hAnsi="Arial" w:cs="Arial"/>
                <w:color w:val="000000"/>
                <w:sz w:val="20"/>
              </w:rPr>
              <w:t>(d) unlawful entry of a structure, vehicle or enclosure in which it is contemplated that th</w:t>
            </w:r>
            <w:r>
              <w:rPr>
                <w:rFonts w:ascii="Arial" w:eastAsia="Arial" w:hAnsi="Arial" w:cs="Arial"/>
                <w:color w:val="000000"/>
                <w:sz w:val="20"/>
              </w:rPr>
              <w:t>e crime will be committed;</w:t>
            </w:r>
          </w:p>
          <w:p w:rsidR="004D60A9" w:rsidRDefault="00851367">
            <w:pPr>
              <w:spacing w:before="60" w:line="260" w:lineRule="atLeast"/>
              <w:ind w:left="860" w:right="360"/>
              <w:jc w:val="both"/>
            </w:pPr>
            <w:r>
              <w:rPr>
                <w:rFonts w:ascii="Arial" w:eastAsia="Arial" w:hAnsi="Arial" w:cs="Arial"/>
                <w:color w:val="000000"/>
                <w:sz w:val="20"/>
              </w:rPr>
              <w:t>(e) possession of materials to be employed in the commission of the crime, which are specially designed for such unlawful use or which can serve no lawful purpose of the actor under the circumstances;</w:t>
            </w:r>
          </w:p>
          <w:p w:rsidR="004D60A9" w:rsidRDefault="00851367">
            <w:pPr>
              <w:spacing w:before="60" w:line="260" w:lineRule="atLeast"/>
              <w:ind w:left="860" w:right="360"/>
              <w:jc w:val="both"/>
            </w:pPr>
            <w:r>
              <w:rPr>
                <w:rFonts w:ascii="Arial" w:eastAsia="Arial" w:hAnsi="Arial" w:cs="Arial"/>
                <w:color w:val="000000"/>
                <w:sz w:val="20"/>
              </w:rPr>
              <w:t>(f) possession, collection o</w:t>
            </w:r>
            <w:r>
              <w:rPr>
                <w:rFonts w:ascii="Arial" w:eastAsia="Arial" w:hAnsi="Arial" w:cs="Arial"/>
                <w:color w:val="000000"/>
                <w:sz w:val="20"/>
              </w:rPr>
              <w:t>r fabrication of materials to be employed in the commission of the crime, at or near the place contemplated for its commission, where such possession, collection or fabrication serves no lawful purpose of the actor under the circumstances; or</w:t>
            </w:r>
          </w:p>
          <w:p w:rsidR="004D60A9" w:rsidRDefault="00851367">
            <w:pPr>
              <w:spacing w:before="60" w:line="260" w:lineRule="atLeast"/>
              <w:ind w:left="860" w:right="360"/>
              <w:jc w:val="both"/>
            </w:pPr>
            <w:r>
              <w:rPr>
                <w:rFonts w:ascii="Arial" w:eastAsia="Arial" w:hAnsi="Arial" w:cs="Arial"/>
                <w:color w:val="000000"/>
                <w:sz w:val="20"/>
              </w:rPr>
              <w:t>(g) solicitin</w:t>
            </w:r>
            <w:r>
              <w:rPr>
                <w:rFonts w:ascii="Arial" w:eastAsia="Arial" w:hAnsi="Arial" w:cs="Arial"/>
                <w:color w:val="000000"/>
                <w:sz w:val="20"/>
              </w:rPr>
              <w:t>g an innocent agent to engage in conduct constituting an element of the crime.</w:t>
            </w:r>
          </w:p>
          <w:p w:rsidR="004D60A9" w:rsidRDefault="00851367">
            <w:pPr>
              <w:spacing w:before="240" w:line="260" w:lineRule="atLeast"/>
              <w:ind w:left="60" w:right="360"/>
              <w:jc w:val="both"/>
            </w:pPr>
            <w:hyperlink r:id="rId141" w:history="1">
              <w:r>
                <w:rPr>
                  <w:rFonts w:ascii="Arial" w:eastAsia="Arial" w:hAnsi="Arial" w:cs="Arial"/>
                  <w:i/>
                  <w:color w:val="0077CC"/>
                  <w:sz w:val="20"/>
                  <w:u w:val="single"/>
                </w:rPr>
                <w:t>Young, 303 Md. at 311-12, 493 A.2d at 358-59.</w:t>
              </w:r>
            </w:hyperlink>
            <w:r>
              <w:rPr>
                <w:rFonts w:ascii="Arial" w:eastAsia="Arial" w:hAnsi="Arial" w:cs="Arial"/>
                <w:color w:val="000000"/>
                <w:sz w:val="20"/>
              </w:rPr>
              <w:t xml:space="preserve"> </w:t>
            </w:r>
            <w:r>
              <w:rPr>
                <w:rFonts w:ascii="Arial" w:eastAsia="Arial" w:hAnsi="Arial" w:cs="Arial"/>
                <w:i/>
                <w:color w:val="000000"/>
                <w:sz w:val="20"/>
              </w:rPr>
              <w:t xml:space="preserve">But see </w:t>
            </w:r>
            <w:hyperlink r:id="rId142" w:history="1">
              <w:r>
                <w:rPr>
                  <w:rFonts w:ascii="Arial" w:eastAsia="Arial" w:hAnsi="Arial" w:cs="Arial"/>
                  <w:i/>
                  <w:color w:val="0077CC"/>
                  <w:sz w:val="20"/>
                  <w:u w:val="single"/>
                </w:rPr>
                <w:t>Bedford v. State, 317 Md. 659, 666-67, 566 A.2d 111, 115 (1989)</w:t>
              </w:r>
            </w:hyperlink>
            <w:r>
              <w:rPr>
                <w:rFonts w:ascii="Arial" w:eastAsia="Arial" w:hAnsi="Arial" w:cs="Arial"/>
                <w:color w:val="000000"/>
                <w:sz w:val="20"/>
              </w:rPr>
              <w:t xml:space="preserve"> (finding that possession of a four-inch piece of metal wire sharpened to a point was not a substantial step toward an escape). The defendant may be convicted of an attempt based upon evidence establishing that the crime was consummated, because failure to</w:t>
            </w:r>
            <w:r>
              <w:rPr>
                <w:rFonts w:ascii="Arial" w:eastAsia="Arial" w:hAnsi="Arial" w:cs="Arial"/>
                <w:color w:val="000000"/>
                <w:sz w:val="20"/>
              </w:rPr>
              <w:t xml:space="preserve"> consummate the offense attempted is not an element of attempt. </w:t>
            </w:r>
            <w:hyperlink r:id="rId143" w:history="1">
              <w:r>
                <w:rPr>
                  <w:rFonts w:ascii="Arial" w:eastAsia="Arial" w:hAnsi="Arial" w:cs="Arial"/>
                  <w:i/>
                  <w:color w:val="0077CC"/>
                  <w:sz w:val="20"/>
                  <w:u w:val="single"/>
                </w:rPr>
                <w:t>Lightfoot, 278 Md. 237-38, 360 A.2d at 430.</w:t>
              </w:r>
            </w:hyperlink>
          </w:p>
          <w:p w:rsidR="004D60A9" w:rsidRDefault="00851367">
            <w:pPr>
              <w:spacing w:before="240" w:line="260" w:lineRule="atLeast"/>
              <w:ind w:left="60" w:right="360"/>
              <w:jc w:val="both"/>
            </w:pPr>
            <w:r>
              <w:rPr>
                <w:rFonts w:ascii="Arial" w:eastAsia="Arial" w:hAnsi="Arial" w:cs="Arial"/>
                <w:color w:val="000000"/>
                <w:sz w:val="20"/>
              </w:rPr>
              <w:t>The required mens r</w:t>
            </w:r>
            <w:r>
              <w:rPr>
                <w:rFonts w:ascii="Arial" w:eastAsia="Arial" w:hAnsi="Arial" w:cs="Arial"/>
                <w:color w:val="000000"/>
                <w:sz w:val="20"/>
              </w:rPr>
              <w:t xml:space="preserve">ea of attempt is a specific intent to commit some other crime, regardless of the intent required for the crime attempted. </w:t>
            </w:r>
            <w:r>
              <w:rPr>
                <w:rFonts w:ascii="Arial" w:eastAsia="Arial" w:hAnsi="Arial" w:cs="Arial"/>
                <w:i/>
                <w:color w:val="000000"/>
                <w:sz w:val="20"/>
              </w:rPr>
              <w:t xml:space="preserve">See </w:t>
            </w:r>
            <w:hyperlink r:id="rId144" w:history="1">
              <w:r>
                <w:rPr>
                  <w:rFonts w:ascii="Arial" w:eastAsia="Arial" w:hAnsi="Arial" w:cs="Arial"/>
                  <w:i/>
                  <w:color w:val="0077CC"/>
                  <w:sz w:val="20"/>
                  <w:u w:val="single"/>
                </w:rPr>
                <w:t>C</w:t>
              </w:r>
              <w:r>
                <w:rPr>
                  <w:rFonts w:ascii="Arial" w:eastAsia="Arial" w:hAnsi="Arial" w:cs="Arial"/>
                  <w:i/>
                  <w:color w:val="0077CC"/>
                  <w:sz w:val="20"/>
                  <w:u w:val="single"/>
                </w:rPr>
                <w:t>ox, 311 Md. at 330, 534 A.2d at 1335</w:t>
              </w:r>
            </w:hyperlink>
            <w:r>
              <w:rPr>
                <w:rFonts w:ascii="Arial" w:eastAsia="Arial" w:hAnsi="Arial" w:cs="Arial"/>
                <w:color w:val="000000"/>
                <w:sz w:val="20"/>
              </w:rPr>
              <w:t xml:space="preserve"> ("The crime of attempt is an adjunct crime, it cannot exist by itself, but only in connection with another crime."); </w:t>
            </w:r>
            <w:r>
              <w:rPr>
                <w:rFonts w:ascii="Arial" w:eastAsia="Arial" w:hAnsi="Arial" w:cs="Arial"/>
                <w:i/>
                <w:color w:val="000000"/>
                <w:sz w:val="20"/>
              </w:rPr>
              <w:t xml:space="preserve">cf. </w:t>
            </w:r>
            <w:hyperlink r:id="rId145" w:history="1">
              <w:r>
                <w:rPr>
                  <w:rFonts w:ascii="Arial" w:eastAsia="Arial" w:hAnsi="Arial" w:cs="Arial"/>
                  <w:i/>
                  <w:color w:val="0077CC"/>
                  <w:sz w:val="20"/>
                  <w:u w:val="single"/>
                </w:rPr>
                <w:t>Smallwood v. State, 343 Md. 97, 680 A.2d 512 (1996)</w:t>
              </w:r>
            </w:hyperlink>
            <w:r>
              <w:rPr>
                <w:rFonts w:ascii="Arial" w:eastAsia="Arial" w:hAnsi="Arial" w:cs="Arial"/>
                <w:color w:val="000000"/>
                <w:sz w:val="20"/>
              </w:rPr>
              <w:t xml:space="preserve"> (holding that evidence that the defendant, who knew he was infected with the human immunodeficiency virus (HIV), attempted to rape the victim without using a condom and with</w:t>
            </w:r>
            <w:r>
              <w:rPr>
                <w:rFonts w:ascii="Arial" w:eastAsia="Arial" w:hAnsi="Arial" w:cs="Arial"/>
                <w:color w:val="000000"/>
                <w:sz w:val="20"/>
              </w:rPr>
              <w:t xml:space="preserve"> full knowledge of the consequences of "unprotected" sexual intercourse, without more, was not sufficient to establish the requisite intent for attempted second-degree murder; without additional evidence indicative of an intent to kill, it cannot be fairly</w:t>
            </w:r>
            <w:r>
              <w:rPr>
                <w:rFonts w:ascii="Arial" w:eastAsia="Arial" w:hAnsi="Arial" w:cs="Arial"/>
                <w:color w:val="000000"/>
                <w:sz w:val="20"/>
              </w:rPr>
              <w:t xml:space="preserve"> concluded that death by AIDS was sufficiently probable to support an inference that the defendant intended to kill his victims). Offenses not requiring intent usually do not exist in the attempt form, e.g., involuntary manslaughter. </w:t>
            </w:r>
            <w:r>
              <w:rPr>
                <w:rFonts w:ascii="Arial" w:eastAsia="Arial" w:hAnsi="Arial" w:cs="Arial"/>
                <w:i/>
                <w:color w:val="000000"/>
                <w:sz w:val="20"/>
              </w:rPr>
              <w:t xml:space="preserve">See </w:t>
            </w:r>
            <w:hyperlink r:id="rId146" w:history="1">
              <w:r>
                <w:rPr>
                  <w:rFonts w:ascii="Arial" w:eastAsia="Arial" w:hAnsi="Arial" w:cs="Arial"/>
                  <w:i/>
                  <w:color w:val="0077CC"/>
                  <w:sz w:val="20"/>
                  <w:u w:val="single"/>
                </w:rPr>
                <w:t>Cox, 311 Md. at 331, 534 A.2d at 1335.</w:t>
              </w:r>
            </w:hyperlink>
          </w:p>
          <w:p w:rsidR="004D60A9" w:rsidRDefault="00851367">
            <w:pPr>
              <w:spacing w:before="200" w:line="260" w:lineRule="atLeast"/>
              <w:ind w:left="60" w:right="360"/>
              <w:jc w:val="both"/>
            </w:pPr>
            <w:r>
              <w:rPr>
                <w:rFonts w:ascii="Arial" w:eastAsia="Arial" w:hAnsi="Arial" w:cs="Arial"/>
                <w:color w:val="000000"/>
                <w:sz w:val="20"/>
              </w:rPr>
              <w:t xml:space="preserve">Factual or physical impossibility is no defense to attempt. </w:t>
            </w:r>
            <w:r>
              <w:rPr>
                <w:rFonts w:ascii="Arial" w:eastAsia="Arial" w:hAnsi="Arial" w:cs="Arial"/>
                <w:i/>
                <w:color w:val="000000"/>
                <w:sz w:val="20"/>
              </w:rPr>
              <w:t xml:space="preserve">See </w:t>
            </w:r>
            <w:hyperlink r:id="rId147" w:history="1">
              <w:r>
                <w:rPr>
                  <w:rFonts w:ascii="Arial" w:eastAsia="Arial" w:hAnsi="Arial" w:cs="Arial"/>
                  <w:i/>
                  <w:color w:val="0077CC"/>
                  <w:sz w:val="20"/>
                  <w:u w:val="single"/>
                </w:rPr>
                <w:t>In re Appeal No. 568, Sept. Term, 1974, 25 Md. App. 218, 220-23, 333 A.2d 649, 651-53,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275 Md. 751 (1975);</w:t>
            </w:r>
            <w:r>
              <w:rPr>
                <w:rFonts w:ascii="Arial" w:eastAsia="Arial" w:hAnsi="Arial" w:cs="Arial"/>
                <w:color w:val="000000"/>
                <w:sz w:val="20"/>
              </w:rPr>
              <w:t xml:space="preserve"> </w:t>
            </w:r>
            <w:hyperlink r:id="rId148" w:history="1">
              <w:r>
                <w:rPr>
                  <w:rFonts w:ascii="Arial" w:eastAsia="Arial" w:hAnsi="Arial" w:cs="Arial"/>
                  <w:i/>
                  <w:color w:val="0077CC"/>
                  <w:sz w:val="20"/>
                  <w:u w:val="single"/>
                </w:rPr>
                <w:t>Waters v. State, 2 Md. App. 216, 226-28, 234 A.2d 147, 152-54 (1967),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259 Md. 737 (1970);</w:t>
            </w:r>
            <w:r>
              <w:rPr>
                <w:rFonts w:ascii="Arial" w:eastAsia="Arial" w:hAnsi="Arial" w:cs="Arial"/>
                <w:color w:val="000000"/>
                <w:sz w:val="20"/>
              </w:rPr>
              <w:t xml:space="preserve"> </w:t>
            </w:r>
            <w:r>
              <w:rPr>
                <w:rFonts w:ascii="Arial" w:eastAsia="Arial" w:hAnsi="Arial" w:cs="Arial"/>
                <w:i/>
                <w:color w:val="000000"/>
                <w:sz w:val="20"/>
              </w:rPr>
              <w:t xml:space="preserve">see also </w:t>
            </w:r>
            <w:hyperlink r:id="rId149" w:history="1">
              <w:r>
                <w:rPr>
                  <w:rFonts w:ascii="Arial" w:eastAsia="Arial" w:hAnsi="Arial" w:cs="Arial"/>
                  <w:i/>
                  <w:color w:val="0077CC"/>
                  <w:sz w:val="20"/>
                  <w:u w:val="single"/>
                </w:rPr>
                <w:t>Grill v. State, 337 Md. 91, 651 A.2d 856 (1995)</w:t>
              </w:r>
            </w:hyperlink>
            <w:r>
              <w:rPr>
                <w:rFonts w:ascii="Arial" w:eastAsia="Arial" w:hAnsi="Arial" w:cs="Arial"/>
                <w:color w:val="000000"/>
                <w:sz w:val="20"/>
              </w:rPr>
              <w:t xml:space="preserve"> (holding that evidence that the defendant purchased a noncontrolled "look-alike" substance, which she believed to be heroin, was sufficient t</w:t>
            </w:r>
            <w:r>
              <w:rPr>
                <w:rFonts w:ascii="Arial" w:eastAsia="Arial" w:hAnsi="Arial" w:cs="Arial"/>
                <w:color w:val="000000"/>
                <w:sz w:val="20"/>
              </w:rPr>
              <w:t xml:space="preserve">o support a conviction for common law attempt to purchase a controlled dangerous substance). All that is needed is the apparent present ability to commit the crime attempted. </w:t>
            </w:r>
            <w:r>
              <w:rPr>
                <w:rFonts w:ascii="Arial" w:eastAsia="Arial" w:hAnsi="Arial" w:cs="Arial"/>
                <w:i/>
                <w:color w:val="000000"/>
                <w:sz w:val="20"/>
              </w:rPr>
              <w:t xml:space="preserve">See </w:t>
            </w:r>
            <w:hyperlink r:id="rId150" w:history="1">
              <w:r>
                <w:rPr>
                  <w:rFonts w:ascii="Arial" w:eastAsia="Arial" w:hAnsi="Arial" w:cs="Arial"/>
                  <w:i/>
                  <w:color w:val="0077CC"/>
                  <w:sz w:val="20"/>
                  <w:u w:val="single"/>
                </w:rPr>
                <w:t>Boone v. State, 2 Md. App. 80, 114, 233 A.2d 476, 495 (1967)</w:t>
              </w:r>
            </w:hyperlink>
            <w:r>
              <w:rPr>
                <w:rFonts w:ascii="Arial" w:eastAsia="Arial" w:hAnsi="Arial" w:cs="Arial"/>
                <w:color w:val="000000"/>
                <w:sz w:val="20"/>
              </w:rPr>
              <w:t xml:space="preserve"> (quoting CLARK &amp; MARSHALL, </w:t>
            </w:r>
            <w:r>
              <w:rPr>
                <w:rFonts w:ascii="Arial" w:eastAsia="Arial" w:hAnsi="Arial" w:cs="Arial"/>
                <w:i/>
                <w:color w:val="000000"/>
                <w:sz w:val="20"/>
              </w:rPr>
              <w:t>supra</w:t>
            </w:r>
            <w:r>
              <w:rPr>
                <w:rFonts w:ascii="Arial" w:eastAsia="Arial" w:hAnsi="Arial" w:cs="Arial"/>
                <w:color w:val="000000"/>
                <w:sz w:val="20"/>
              </w:rPr>
              <w:t xml:space="preserve">, § 4.06), </w:t>
            </w:r>
            <w:r>
              <w:rPr>
                <w:rFonts w:ascii="Arial" w:eastAsia="Arial" w:hAnsi="Arial" w:cs="Arial"/>
                <w:i/>
                <w:color w:val="000000"/>
                <w:sz w:val="20"/>
              </w:rPr>
              <w:t xml:space="preserve">abrogated on other grounds as recognized by </w:t>
            </w:r>
            <w:hyperlink r:id="rId151" w:history="1">
              <w:r>
                <w:rPr>
                  <w:rFonts w:ascii="Arial" w:eastAsia="Arial" w:hAnsi="Arial" w:cs="Arial"/>
                  <w:i/>
                  <w:color w:val="0077CC"/>
                  <w:sz w:val="20"/>
                  <w:u w:val="single"/>
                </w:rPr>
                <w:t>In re Lakeysha P., 106 Md. App. 401, 665 A.2d 264 (1995),</w:t>
              </w:r>
            </w:hyperlink>
            <w:r>
              <w:rPr>
                <w:rFonts w:ascii="Arial" w:eastAsia="Arial" w:hAnsi="Arial" w:cs="Arial"/>
                <w:color w:val="000000"/>
                <w:sz w:val="20"/>
              </w:rPr>
              <w:t xml:space="preserve"> </w:t>
            </w:r>
            <w:r>
              <w:rPr>
                <w:rFonts w:ascii="Arial" w:eastAsia="Arial" w:hAnsi="Arial" w:cs="Arial"/>
                <w:i/>
                <w:color w:val="000000"/>
                <w:sz w:val="20"/>
              </w:rPr>
              <w:t>cert. dismissed</w:t>
            </w:r>
            <w:r>
              <w:rPr>
                <w:rFonts w:ascii="Arial" w:eastAsia="Arial" w:hAnsi="Arial" w:cs="Arial"/>
                <w:color w:val="000000"/>
                <w:sz w:val="20"/>
              </w:rPr>
              <w:t xml:space="preserve">, </w:t>
            </w:r>
            <w:hyperlink r:id="rId152" w:history="1">
              <w:r>
                <w:rPr>
                  <w:rFonts w:ascii="Arial" w:eastAsia="Arial" w:hAnsi="Arial" w:cs="Arial"/>
                  <w:i/>
                  <w:color w:val="0077CC"/>
                  <w:sz w:val="20"/>
                  <w:u w:val="single"/>
                </w:rPr>
                <w:t>343 Md. 627, 684 A.2d 5 (1996);</w:t>
              </w:r>
            </w:hyperlink>
            <w:r>
              <w:rPr>
                <w:rFonts w:ascii="Arial" w:eastAsia="Arial" w:hAnsi="Arial" w:cs="Arial"/>
                <w:color w:val="000000"/>
                <w:sz w:val="20"/>
              </w:rPr>
              <w:t xml:space="preserve"> </w:t>
            </w:r>
            <w:r>
              <w:rPr>
                <w:rFonts w:ascii="Arial" w:eastAsia="Arial" w:hAnsi="Arial" w:cs="Arial"/>
                <w:i/>
                <w:color w:val="000000"/>
                <w:sz w:val="20"/>
              </w:rPr>
              <w:t>accord</w:t>
            </w:r>
            <w:r>
              <w:rPr>
                <w:rFonts w:ascii="Arial" w:eastAsia="Arial" w:hAnsi="Arial" w:cs="Arial"/>
                <w:color w:val="000000"/>
                <w:sz w:val="20"/>
              </w:rPr>
              <w:t xml:space="preserve"> GILBERT &amp; MOYLAN, </w:t>
            </w:r>
            <w:r>
              <w:rPr>
                <w:rFonts w:ascii="Arial" w:eastAsia="Arial" w:hAnsi="Arial" w:cs="Arial"/>
                <w:i/>
                <w:color w:val="000000"/>
                <w:sz w:val="20"/>
              </w:rPr>
              <w:t>supra</w:t>
            </w:r>
            <w:r>
              <w:rPr>
                <w:rFonts w:ascii="Arial" w:eastAsia="Arial" w:hAnsi="Arial" w:cs="Arial"/>
                <w:color w:val="000000"/>
                <w:sz w:val="20"/>
              </w:rPr>
              <w:t>, § 4.2, at 60-61. However, the offense may be so inherently impossible that a reasonable person would know that the means used cannot accomplish the ends, so as to negate the specific intent. Legal impossibility, on the other hand, is a defense to attempt</w:t>
            </w:r>
            <w:r>
              <w:rPr>
                <w:rFonts w:ascii="Arial" w:eastAsia="Arial" w:hAnsi="Arial" w:cs="Arial"/>
                <w:color w:val="000000"/>
                <w:sz w:val="20"/>
              </w:rPr>
              <w:t xml:space="preserve">. If an element of the offense is missing, such that, even if the conduct attempted took place it would not constitute the offense alleged to have been attempted, there can be no attempt, e.g., a defendant charged with attempted murder upon someone who is </w:t>
            </w:r>
            <w:r>
              <w:rPr>
                <w:rFonts w:ascii="Arial" w:eastAsia="Arial" w:hAnsi="Arial" w:cs="Arial"/>
                <w:color w:val="000000"/>
                <w:sz w:val="20"/>
              </w:rPr>
              <w:t xml:space="preserve">already dead. LAFAVE, </w:t>
            </w:r>
            <w:r>
              <w:rPr>
                <w:rFonts w:ascii="Arial" w:eastAsia="Arial" w:hAnsi="Arial" w:cs="Arial"/>
                <w:i/>
                <w:color w:val="000000"/>
                <w:sz w:val="20"/>
              </w:rPr>
              <w:t>supra</w:t>
            </w:r>
            <w:r>
              <w:rPr>
                <w:rFonts w:ascii="Arial" w:eastAsia="Arial" w:hAnsi="Arial" w:cs="Arial"/>
                <w:color w:val="000000"/>
                <w:sz w:val="20"/>
              </w:rPr>
              <w:t xml:space="preserve">, § 11.5, at 630-39; PERKINS &amp; BOYCE, </w:t>
            </w:r>
            <w:r>
              <w:rPr>
                <w:rFonts w:ascii="Arial" w:eastAsia="Arial" w:hAnsi="Arial" w:cs="Arial"/>
                <w:i/>
                <w:color w:val="000000"/>
                <w:sz w:val="20"/>
              </w:rPr>
              <w:t>supra</w:t>
            </w:r>
            <w:r>
              <w:rPr>
                <w:rFonts w:ascii="Arial" w:eastAsia="Arial" w:hAnsi="Arial" w:cs="Arial"/>
                <w:color w:val="000000"/>
                <w:sz w:val="20"/>
              </w:rPr>
              <w:t>, at 627-35.</w:t>
            </w:r>
          </w:p>
          <w:p w:rsidR="004D60A9" w:rsidRDefault="00851367">
            <w:pPr>
              <w:spacing w:before="240" w:line="260" w:lineRule="atLeast"/>
              <w:ind w:left="60" w:right="360"/>
              <w:jc w:val="both"/>
            </w:pPr>
            <w:r>
              <w:rPr>
                <w:rFonts w:ascii="Arial" w:eastAsia="Arial" w:hAnsi="Arial" w:cs="Arial"/>
                <w:color w:val="000000"/>
                <w:sz w:val="20"/>
              </w:rPr>
              <w:t xml:space="preserve">The elements of some crimes may preclude attempts, however, as a matter of law. </w:t>
            </w:r>
            <w:r>
              <w:rPr>
                <w:rFonts w:ascii="Arial" w:eastAsia="Arial" w:hAnsi="Arial" w:cs="Arial"/>
                <w:i/>
                <w:color w:val="000000"/>
                <w:sz w:val="20"/>
              </w:rPr>
              <w:t xml:space="preserve">Compare </w:t>
            </w:r>
            <w:hyperlink r:id="rId153" w:history="1">
              <w:r>
                <w:rPr>
                  <w:rFonts w:ascii="Arial" w:eastAsia="Arial" w:hAnsi="Arial" w:cs="Arial"/>
                  <w:i/>
                  <w:color w:val="0077CC"/>
                  <w:sz w:val="20"/>
                  <w:u w:val="single"/>
                </w:rPr>
                <w:t>Moore v. State, 388 Md. 623, 882 A.2d 256 (2005)</w:t>
              </w:r>
            </w:hyperlink>
            <w:r>
              <w:rPr>
                <w:rFonts w:ascii="Arial" w:eastAsia="Arial" w:hAnsi="Arial" w:cs="Arial"/>
                <w:color w:val="000000"/>
                <w:sz w:val="20"/>
              </w:rPr>
              <w:t xml:space="preserve"> (no crime of attempt to commit third degree sexual assault of a minor based on the adult defendant's belief that the victim is a minor), </w:t>
            </w:r>
            <w:r>
              <w:rPr>
                <w:rFonts w:ascii="Arial" w:eastAsia="Arial" w:hAnsi="Arial" w:cs="Arial"/>
                <w:i/>
                <w:color w:val="000000"/>
                <w:sz w:val="20"/>
              </w:rPr>
              <w:t xml:space="preserve">and </w:t>
            </w:r>
            <w:hyperlink r:id="rId154" w:history="1">
              <w:r>
                <w:rPr>
                  <w:rFonts w:ascii="Arial" w:eastAsia="Arial" w:hAnsi="Arial" w:cs="Arial"/>
                  <w:i/>
                  <w:color w:val="0077CC"/>
                  <w:sz w:val="20"/>
                  <w:u w:val="single"/>
                </w:rPr>
                <w:t xml:space="preserve">Dabney v. State, 159 Md. App. 225, 858 </w:t>
              </w:r>
              <w:r>
                <w:rPr>
                  <w:rFonts w:ascii="Arial" w:eastAsia="Arial" w:hAnsi="Arial" w:cs="Arial"/>
                  <w:i/>
                  <w:color w:val="0077CC"/>
                  <w:sz w:val="20"/>
                  <w:u w:val="single"/>
                </w:rPr>
                <w:lastRenderedPageBreak/>
                <w:t>A.2d 1084 (2004)</w:t>
              </w:r>
            </w:hyperlink>
            <w:r>
              <w:rPr>
                <w:rFonts w:ascii="Arial" w:eastAsia="Arial" w:hAnsi="Arial" w:cs="Arial"/>
                <w:color w:val="000000"/>
                <w:sz w:val="20"/>
              </w:rPr>
              <w:t xml:space="preserve"> (no crime of attempt to commit burglary in the fourth degree since that would be an attempt t</w:t>
            </w:r>
            <w:r>
              <w:rPr>
                <w:rFonts w:ascii="Arial" w:eastAsia="Arial" w:hAnsi="Arial" w:cs="Arial"/>
                <w:color w:val="000000"/>
                <w:sz w:val="20"/>
              </w:rPr>
              <w:t xml:space="preserve">o commit an attempt), </w:t>
            </w:r>
            <w:r>
              <w:rPr>
                <w:rFonts w:ascii="Arial" w:eastAsia="Arial" w:hAnsi="Arial" w:cs="Arial"/>
                <w:i/>
                <w:color w:val="000000"/>
                <w:sz w:val="20"/>
              </w:rPr>
              <w:t xml:space="preserve">with </w:t>
            </w:r>
            <w:hyperlink r:id="rId155" w:history="1">
              <w:r>
                <w:rPr>
                  <w:rFonts w:ascii="Arial" w:eastAsia="Arial" w:hAnsi="Arial" w:cs="Arial"/>
                  <w:i/>
                  <w:color w:val="0077CC"/>
                  <w:sz w:val="20"/>
                  <w:u w:val="single"/>
                </w:rPr>
                <w:t>Stevenson v. State, 423 Md. 42, 31 A.3d 184 (2011)</w:t>
              </w:r>
            </w:hyperlink>
            <w:r>
              <w:rPr>
                <w:rFonts w:ascii="Arial" w:eastAsia="Arial" w:hAnsi="Arial" w:cs="Arial"/>
                <w:color w:val="000000"/>
                <w:sz w:val="20"/>
              </w:rPr>
              <w:t xml:space="preserve"> (conspiracy to commit attempted armed robbery is </w:t>
            </w:r>
            <w:r>
              <w:rPr>
                <w:rFonts w:ascii="Arial" w:eastAsia="Arial" w:hAnsi="Arial" w:cs="Arial"/>
                <w:color w:val="000000"/>
                <w:sz w:val="20"/>
              </w:rPr>
              <w:t xml:space="preserve">a crime) </w:t>
            </w:r>
            <w:r>
              <w:rPr>
                <w:rFonts w:ascii="Arial" w:eastAsia="Arial" w:hAnsi="Arial" w:cs="Arial"/>
                <w:i/>
                <w:color w:val="000000"/>
                <w:sz w:val="20"/>
              </w:rPr>
              <w:t xml:space="preserve">and </w:t>
            </w:r>
            <w:hyperlink r:id="rId156" w:history="1">
              <w:r>
                <w:rPr>
                  <w:rFonts w:ascii="Arial" w:eastAsia="Arial" w:hAnsi="Arial" w:cs="Arial"/>
                  <w:i/>
                  <w:color w:val="0077CC"/>
                  <w:sz w:val="20"/>
                  <w:u w:val="single"/>
                </w:rPr>
                <w:t>Maxwell v. State, 168 Md. App. 1, 895 A.2d 327 (2006)</w:t>
              </w:r>
            </w:hyperlink>
            <w:r>
              <w:rPr>
                <w:rFonts w:ascii="Arial" w:eastAsia="Arial" w:hAnsi="Arial" w:cs="Arial"/>
                <w:color w:val="000000"/>
                <w:sz w:val="20"/>
              </w:rPr>
              <w:t xml:space="preserve"> (attempted statutory rape with an under-age victim is a crim</w:t>
            </w:r>
            <w:r>
              <w:rPr>
                <w:rFonts w:ascii="Arial" w:eastAsia="Arial" w:hAnsi="Arial" w:cs="Arial"/>
                <w:color w:val="000000"/>
                <w:sz w:val="20"/>
              </w:rPr>
              <w:t>e).</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54" style="position:absolute;left:0;text-align:left;z-index:251675648;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gutter="0"/>
          <w:cols w:space="720"/>
          <w:titlePg/>
        </w:sectPr>
      </w:pPr>
    </w:p>
    <w:p w:rsidR="004D60A9" w:rsidRDefault="004D60A9">
      <w:bookmarkStart w:id="8" w:name="Bookmark_9"/>
      <w:bookmarkEnd w:id="8"/>
    </w:p>
    <w:p w:rsidR="004D60A9" w:rsidRDefault="00851367">
      <w:r>
        <w:pict>
          <v:shape id="_x0000_i1035"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163" w:history="1">
        <w:r>
          <w:rPr>
            <w:rFonts w:ascii="Arial" w:eastAsia="Arial" w:hAnsi="Arial" w:cs="Arial"/>
            <w:b/>
            <w:bCs/>
            <w:i/>
            <w:color w:val="0077CC"/>
            <w:kern w:val="32"/>
            <w:sz w:val="28"/>
            <w:szCs w:val="32"/>
            <w:u w:val="single"/>
          </w:rPr>
          <w:t>MPJI-Cr 4:03</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w:t>
      </w:r>
      <w:r>
        <w:rPr>
          <w:rFonts w:ascii="Arial" w:eastAsia="Arial" w:hAnsi="Arial" w:cs="Arial"/>
          <w:b/>
          <w:i/>
          <w:color w:val="000000"/>
          <w:sz w:val="22"/>
        </w:rPr>
        <w:t>SES</w:t>
      </w:r>
      <w:r>
        <w:rPr>
          <w:rFonts w:ascii="Arial" w:eastAsia="Arial" w:hAnsi="Arial" w:cs="Arial"/>
          <w:b/>
          <w:color w:val="000000"/>
          <w:sz w:val="22"/>
        </w:rPr>
        <w:t xml:space="preserve">  &gt;  </w:t>
      </w:r>
      <w:r>
        <w:rPr>
          <w:rFonts w:ascii="Arial" w:eastAsia="Arial" w:hAnsi="Arial" w:cs="Arial"/>
          <w:b/>
          <w:i/>
          <w:color w:val="000000"/>
          <w:sz w:val="22"/>
        </w:rPr>
        <w:t>BAD CHECK--INSUFFICIENT FUNDS</w:t>
      </w:r>
    </w:p>
    <w:p w:rsidR="004D60A9" w:rsidRDefault="00851367">
      <w:pPr>
        <w:keepNext/>
        <w:spacing w:before="240" w:line="340" w:lineRule="atLeast"/>
      </w:pPr>
      <w:r>
        <w:br/>
      </w:r>
      <w:r>
        <w:rPr>
          <w:rFonts w:ascii="Arial" w:eastAsia="Arial" w:hAnsi="Arial" w:cs="Arial"/>
          <w:b/>
          <w:color w:val="000000"/>
          <w:sz w:val="28"/>
        </w:rPr>
        <w:t>4:03Bad Check--Insufficient Funds</w:t>
      </w:r>
    </w:p>
    <w:p w:rsidR="004D60A9" w:rsidRDefault="00851367">
      <w:pPr>
        <w:spacing w:line="60" w:lineRule="exact"/>
      </w:pPr>
      <w:r>
        <w:pict>
          <v:line id="_x0000_s1056" style="position:absolute;z-index:251666432"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is charged with the crime of obtaining property or services by a bad check. In order to convict the defendant,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(1) that the defendant </w:t>
      </w:r>
      <w:r>
        <w:rPr>
          <w:rFonts w:ascii="Arial" w:eastAsia="Arial" w:hAnsi="Arial" w:cs="Arial"/>
          <w:b/>
          <w:color w:val="000000"/>
          <w:sz w:val="20"/>
        </w:rPr>
        <w:t>obtained property or services by [passing] [issuing] a check</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(2) that the defendant [passed] [issued] the check [with knowledge that there were insufficient funds to cover that check and others outstanding] [with knowledge that the account was closed]</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(3</w:t>
      </w:r>
      <w:r>
        <w:rPr>
          <w:rFonts w:ascii="Arial" w:eastAsia="Arial" w:hAnsi="Arial" w:cs="Arial"/>
          <w:b/>
          <w:color w:val="000000"/>
          <w:sz w:val="20"/>
        </w:rPr>
        <w:t>) that the defendant [passed] [issued] the check with the intent or belief that payment would be refused on the check</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(4) that the check was ultimately dishonored</w:t>
      </w:r>
      <w:r>
        <w:rPr>
          <w:rFonts w:ascii="Arial" w:eastAsia="Arial" w:hAnsi="Arial" w:cs="Arial"/>
          <w:color w:val="000000"/>
          <w:sz w:val="20"/>
        </w:rPr>
        <w:t xml:space="preserve">; </w:t>
      </w:r>
      <w:r>
        <w:rPr>
          <w:rFonts w:ascii="Arial" w:eastAsia="Arial" w:hAnsi="Arial" w:cs="Arial"/>
          <w:b/>
          <w:color w:val="000000"/>
          <w:sz w:val="20"/>
        </w:rPr>
        <w:t>[and]</w:t>
      </w:r>
    </w:p>
    <w:p w:rsidR="004D60A9" w:rsidRDefault="00851367">
      <w:pPr>
        <w:spacing w:before="200" w:line="260" w:lineRule="atLeast"/>
        <w:ind w:left="400"/>
        <w:jc w:val="both"/>
      </w:pPr>
      <w:r>
        <w:rPr>
          <w:rFonts w:ascii="Arial" w:eastAsia="Arial" w:hAnsi="Arial" w:cs="Arial"/>
          <w:b/>
          <w:color w:val="000000"/>
          <w:sz w:val="20"/>
        </w:rPr>
        <w:t>(5) that the defendant did not make the check good within ten days after dishonor[</w:t>
      </w:r>
      <w:r>
        <w:rPr>
          <w:rFonts w:ascii="Arial" w:eastAsia="Arial" w:hAnsi="Arial" w:cs="Arial"/>
          <w:color w:val="000000"/>
          <w:sz w:val="20"/>
        </w:rPr>
        <w:t xml:space="preserve">; </w:t>
      </w:r>
      <w:r>
        <w:rPr>
          <w:rFonts w:ascii="Arial" w:eastAsia="Arial" w:hAnsi="Arial" w:cs="Arial"/>
          <w:b/>
          <w:color w:val="000000"/>
          <w:sz w:val="20"/>
        </w:rPr>
        <w:t>a</w:t>
      </w:r>
      <w:r>
        <w:rPr>
          <w:rFonts w:ascii="Arial" w:eastAsia="Arial" w:hAnsi="Arial" w:cs="Arial"/>
          <w:b/>
          <w:color w:val="000000"/>
          <w:sz w:val="20"/>
        </w:rPr>
        <w:t>nd] [.]</w:t>
      </w:r>
    </w:p>
    <w:p w:rsidR="004D60A9" w:rsidRDefault="00851367">
      <w:pPr>
        <w:spacing w:before="200" w:line="260" w:lineRule="atLeast"/>
        <w:ind w:left="400"/>
        <w:jc w:val="both"/>
      </w:pPr>
      <w:r>
        <w:rPr>
          <w:rFonts w:ascii="Arial" w:eastAsia="Arial" w:hAnsi="Arial" w:cs="Arial"/>
          <w:b/>
          <w:color w:val="000000"/>
          <w:sz w:val="20"/>
        </w:rPr>
        <w:t>[(6) that the value of the property or services obtained was at least $ 500.]</w:t>
      </w:r>
    </w:p>
    <w:p w:rsidR="004D60A9" w:rsidRDefault="00851367">
      <w:pPr>
        <w:spacing w:before="200" w:line="260" w:lineRule="atLeast"/>
        <w:jc w:val="both"/>
      </w:pPr>
      <w:r>
        <w:rPr>
          <w:rFonts w:ascii="Arial" w:eastAsia="Arial" w:hAnsi="Arial" w:cs="Arial"/>
          <w:b/>
          <w:color w:val="000000"/>
          <w:sz w:val="20"/>
        </w:rPr>
        <w:t>Knowledge that [there were insufficient funds] [the account was closed] at the time the check was passed may be proved by the defendant's conduct and by all the surroundi</w:t>
      </w:r>
      <w:r>
        <w:rPr>
          <w:rFonts w:ascii="Arial" w:eastAsia="Arial" w:hAnsi="Arial" w:cs="Arial"/>
          <w:b/>
          <w:color w:val="000000"/>
          <w:sz w:val="20"/>
        </w:rPr>
        <w:t>ng circumstances. You may, but are not required, to find that the defendant had knowledge of the status of [his] [her] account. If you find that the defendant [issued] [passed] the check by [</w:t>
      </w:r>
      <w:r>
        <w:rPr>
          <w:rFonts w:ascii="Arial" w:eastAsia="Arial" w:hAnsi="Arial" w:cs="Arial"/>
          <w:b/>
          <w:color w:val="000000"/>
          <w:sz w:val="20"/>
          <w:u w:val="single"/>
        </w:rPr>
        <w:t>describe the conduct</w:t>
      </w:r>
      <w:r>
        <w:rPr>
          <w:rFonts w:ascii="Arial" w:eastAsia="Arial" w:hAnsi="Arial" w:cs="Arial"/>
          <w:b/>
          <w:color w:val="000000"/>
          <w:sz w:val="20"/>
        </w:rPr>
        <w:t>] [when the account did not have sufficient f</w:t>
      </w:r>
      <w:r>
        <w:rPr>
          <w:rFonts w:ascii="Arial" w:eastAsia="Arial" w:hAnsi="Arial" w:cs="Arial"/>
          <w:b/>
          <w:color w:val="000000"/>
          <w:sz w:val="20"/>
        </w:rPr>
        <w:t>unds to cover that check and other outstanding checks] [when the account was closed], you may, but are not required, to find that the defendant knew [that there were insufficient funds in the account] [that the account was closed]</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[[There is in evidence a</w:t>
      </w:r>
      <w:r>
        <w:rPr>
          <w:rFonts w:ascii="Arial" w:eastAsia="Arial" w:hAnsi="Arial" w:cs="Arial"/>
          <w:b/>
          <w:color w:val="000000"/>
          <w:sz w:val="20"/>
        </w:rPr>
        <w:t xml:space="preserve"> certificate, under oath, from the bank's representative, that, at the time the defendant [issued] [passed] the check, [the defendant did not have sufficient funds to cover that check and other outstanding checks] [the defendant's account was closed]. Base</w:t>
      </w:r>
      <w:r>
        <w:rPr>
          <w:rFonts w:ascii="Arial" w:eastAsia="Arial" w:hAnsi="Arial" w:cs="Arial"/>
          <w:b/>
          <w:color w:val="000000"/>
          <w:sz w:val="20"/>
        </w:rPr>
        <w:t>d on the certificate, you may, but are not required, to infer that the defendant knew [there were insufficient funds in the account] [the account was closed.]]]</w:t>
      </w:r>
    </w:p>
    <w:p w:rsidR="004D60A9" w:rsidRDefault="00851367">
      <w:pPr>
        <w:spacing w:before="200" w:line="260" w:lineRule="atLeast"/>
        <w:jc w:val="both"/>
      </w:pPr>
      <w:r>
        <w:rPr>
          <w:rFonts w:ascii="Arial" w:eastAsia="Arial" w:hAnsi="Arial" w:cs="Arial"/>
          <w:b/>
          <w:color w:val="000000"/>
          <w:sz w:val="20"/>
        </w:rPr>
        <w:t>[["Issue," with respect to a check, means the act of a drawer or representative drawer who [del</w:t>
      </w:r>
      <w:r>
        <w:rPr>
          <w:rFonts w:ascii="Arial" w:eastAsia="Arial" w:hAnsi="Arial" w:cs="Arial"/>
          <w:b/>
          <w:color w:val="000000"/>
          <w:sz w:val="20"/>
        </w:rPr>
        <w:t xml:space="preserve">ivers the check or causes it to be delivered to a person who acquires a right against the drawer with respect to the check as a result of the delivery] [draws the check with the intent that it be delivered to a person who on delivery would acquire a right </w:t>
      </w:r>
      <w:r>
        <w:rPr>
          <w:rFonts w:ascii="Arial" w:eastAsia="Arial" w:hAnsi="Arial" w:cs="Arial"/>
          <w:b/>
          <w:color w:val="000000"/>
          <w:sz w:val="20"/>
        </w:rPr>
        <w:t>assignable with respect to the check drawer and the check is delivered to that person]]</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lastRenderedPageBreak/>
        <w:t>["Pass," with respect to a check, means delivering the check by a payee, holder, or bearer of the check, if: (1) the check was or purports to have been drawn and issue</w:t>
      </w:r>
      <w:r>
        <w:rPr>
          <w:rFonts w:ascii="Arial" w:eastAsia="Arial" w:hAnsi="Arial" w:cs="Arial"/>
          <w:b/>
          <w:color w:val="000000"/>
          <w:sz w:val="20"/>
        </w:rPr>
        <w:t>d by a person other than the person delivering the check; and (2) the delivery was made to a third person who acquires a right with respect to the check as a result of the delivery or for a purpose other than collection.]</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color w:val="000000"/>
                <w:sz w:val="20"/>
              </w:rPr>
              <w:t xml:space="preserve">The bad checks statute </w:t>
            </w:r>
            <w:r>
              <w:rPr>
                <w:rFonts w:ascii="Arial" w:eastAsia="Arial" w:hAnsi="Arial" w:cs="Arial"/>
                <w:color w:val="000000"/>
                <w:sz w:val="20"/>
              </w:rPr>
              <w:t>encompasses any "negotiable instrument that is not postdated at the time it is issued." CRIM. LAW II § 8-101(b). A common bad check offense is issuing a check without sufficient funds to cover it, meaning that there is: "(1) no account; (2) only a closed a</w:t>
            </w:r>
            <w:r>
              <w:rPr>
                <w:rFonts w:ascii="Arial" w:eastAsia="Arial" w:hAnsi="Arial" w:cs="Arial"/>
                <w:color w:val="000000"/>
                <w:sz w:val="20"/>
              </w:rPr>
              <w:t xml:space="preserve">ccount; [or] (3) no funds" to cover the check, or that there are "(4) funds in an amount that is less than the amount needed to cover the check." </w:t>
            </w:r>
            <w:r>
              <w:rPr>
                <w:rFonts w:ascii="Arial" w:eastAsia="Arial" w:hAnsi="Arial" w:cs="Arial"/>
                <w:i/>
                <w:color w:val="000000"/>
                <w:sz w:val="20"/>
              </w:rPr>
              <w:t>Id.</w:t>
            </w:r>
            <w:r>
              <w:rPr>
                <w:rFonts w:ascii="Arial" w:eastAsia="Arial" w:hAnsi="Arial" w:cs="Arial"/>
                <w:color w:val="000000"/>
                <w:sz w:val="20"/>
              </w:rPr>
              <w:t xml:space="preserve"> § 8-102(a). The offense can be committed by the actual drawer of the check, or by anybody who issues it. </w:t>
            </w:r>
            <w:r>
              <w:rPr>
                <w:rFonts w:ascii="Arial" w:eastAsia="Arial" w:hAnsi="Arial" w:cs="Arial"/>
                <w:i/>
                <w:color w:val="000000"/>
                <w:sz w:val="20"/>
              </w:rPr>
              <w:t>S</w:t>
            </w:r>
            <w:r>
              <w:rPr>
                <w:rFonts w:ascii="Arial" w:eastAsia="Arial" w:hAnsi="Arial" w:cs="Arial"/>
                <w:i/>
                <w:color w:val="000000"/>
                <w:sz w:val="20"/>
              </w:rPr>
              <w:t>ee id.</w:t>
            </w:r>
            <w:r>
              <w:rPr>
                <w:rFonts w:ascii="Arial" w:eastAsia="Arial" w:hAnsi="Arial" w:cs="Arial"/>
                <w:color w:val="000000"/>
                <w:sz w:val="20"/>
              </w:rPr>
              <w:t xml:space="preserve"> § 8-103(a). A defendant must intend or believe when issuing the check that there are insufficient funds to cover payment. </w:t>
            </w:r>
            <w:r>
              <w:rPr>
                <w:rFonts w:ascii="Arial" w:eastAsia="Arial" w:hAnsi="Arial" w:cs="Arial"/>
                <w:i/>
                <w:color w:val="000000"/>
                <w:sz w:val="20"/>
              </w:rPr>
              <w:t>Id.</w:t>
            </w:r>
            <w:r>
              <w:rPr>
                <w:rFonts w:ascii="Arial" w:eastAsia="Arial" w:hAnsi="Arial" w:cs="Arial"/>
                <w:color w:val="000000"/>
                <w:sz w:val="20"/>
              </w:rPr>
              <w:t xml:space="preserve"> § 8-103(a)(2).</w:t>
            </w:r>
          </w:p>
          <w:p w:rsidR="004D60A9" w:rsidRDefault="00851367">
            <w:pPr>
              <w:spacing w:before="200" w:line="260" w:lineRule="atLeast"/>
              <w:ind w:left="60" w:right="360"/>
              <w:jc w:val="both"/>
            </w:pPr>
            <w:r>
              <w:rPr>
                <w:rFonts w:ascii="Arial" w:eastAsia="Arial" w:hAnsi="Arial" w:cs="Arial"/>
                <w:color w:val="000000"/>
                <w:sz w:val="20"/>
              </w:rPr>
              <w:t>If there are no false representations, other than that of sufficient funds, the person who obtains the prope</w:t>
            </w:r>
            <w:r>
              <w:rPr>
                <w:rFonts w:ascii="Arial" w:eastAsia="Arial" w:hAnsi="Arial" w:cs="Arial"/>
                <w:color w:val="000000"/>
                <w:sz w:val="20"/>
              </w:rPr>
              <w:t xml:space="preserve">rty or services cannot be prosecuted if he or she "makes the check good within 10 days after the drawee dishonors the check." </w:t>
            </w:r>
            <w:r>
              <w:rPr>
                <w:rFonts w:ascii="Arial" w:eastAsia="Arial" w:hAnsi="Arial" w:cs="Arial"/>
                <w:i/>
                <w:color w:val="000000"/>
                <w:sz w:val="20"/>
              </w:rPr>
              <w:t>Id.</w:t>
            </w:r>
            <w:r>
              <w:rPr>
                <w:rFonts w:ascii="Arial" w:eastAsia="Arial" w:hAnsi="Arial" w:cs="Arial"/>
                <w:color w:val="000000"/>
                <w:sz w:val="20"/>
              </w:rPr>
              <w:t xml:space="preserve"> § 8-105(a)(2); </w:t>
            </w:r>
            <w:r>
              <w:rPr>
                <w:rFonts w:ascii="Arial" w:eastAsia="Arial" w:hAnsi="Arial" w:cs="Arial"/>
                <w:i/>
                <w:color w:val="000000"/>
                <w:sz w:val="20"/>
              </w:rPr>
              <w:t xml:space="preserve">see </w:t>
            </w:r>
            <w:hyperlink r:id="rId164" w:history="1">
              <w:r>
                <w:rPr>
                  <w:rFonts w:ascii="Arial" w:eastAsia="Arial" w:hAnsi="Arial" w:cs="Arial"/>
                  <w:i/>
                  <w:color w:val="0077CC"/>
                  <w:sz w:val="20"/>
                  <w:u w:val="single"/>
                </w:rPr>
                <w:t>Murphy v. State, 100 Md. App. 131, 640 A.2d 230 (1994).</w:t>
              </w:r>
            </w:hyperlink>
            <w:r>
              <w:rPr>
                <w:rFonts w:ascii="Arial" w:eastAsia="Arial" w:hAnsi="Arial" w:cs="Arial"/>
                <w:color w:val="000000"/>
                <w:sz w:val="20"/>
              </w:rPr>
              <w:t xml:space="preserve"> This limitation on prosecution does not apply to a drawer who has no acco</w:t>
            </w:r>
            <w:r>
              <w:rPr>
                <w:rFonts w:ascii="Arial" w:eastAsia="Arial" w:hAnsi="Arial" w:cs="Arial"/>
                <w:color w:val="000000"/>
                <w:sz w:val="20"/>
              </w:rPr>
              <w:t xml:space="preserve">unt with the drawee bank.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19.8-19.14, at 214-18 (1983 &amp; Supp. 1990); WAYNE R. LAFAVE, CRIMINAL LAW § 20.1, at 1032-35 (5th ed. 2010); ROLLIN M. PERKIN</w:t>
            </w:r>
            <w:r>
              <w:rPr>
                <w:rFonts w:ascii="Arial" w:eastAsia="Arial" w:hAnsi="Arial" w:cs="Arial"/>
                <w:color w:val="000000"/>
                <w:sz w:val="20"/>
              </w:rPr>
              <w:t>S &amp; RONALD N. BOYCE, CRIMINAL LAW 384-88 (3d ed. 1982).</w:t>
            </w:r>
          </w:p>
          <w:p w:rsidR="004D60A9" w:rsidRDefault="00851367">
            <w:pPr>
              <w:spacing w:before="240" w:line="260" w:lineRule="atLeast"/>
              <w:ind w:left="60" w:right="360"/>
              <w:jc w:val="both"/>
            </w:pPr>
            <w:r>
              <w:rPr>
                <w:rFonts w:ascii="Arial" w:eastAsia="Arial" w:hAnsi="Arial" w:cs="Arial"/>
                <w:color w:val="000000"/>
                <w:sz w:val="20"/>
              </w:rPr>
              <w:t>When a drawer has insufficient funds with the drawee to cover the check drawn and all other outstanding checks at the time of presentment, a judge or jury can infer that the defendant had (1) knowledge of the insufficiency, and (2) the intent or belief tha</w:t>
            </w:r>
            <w:r>
              <w:rPr>
                <w:rFonts w:ascii="Arial" w:eastAsia="Arial" w:hAnsi="Arial" w:cs="Arial"/>
                <w:color w:val="000000"/>
                <w:sz w:val="20"/>
              </w:rPr>
              <w:t xml:space="preserve">t the check would be dishonored. CRIM. LAW II § 8-104(a)-(b); </w:t>
            </w:r>
            <w:r>
              <w:rPr>
                <w:rFonts w:ascii="Arial" w:eastAsia="Arial" w:hAnsi="Arial" w:cs="Arial"/>
                <w:i/>
                <w:color w:val="000000"/>
                <w:sz w:val="20"/>
              </w:rPr>
              <w:t>see</w:t>
            </w:r>
            <w:r>
              <w:rPr>
                <w:rFonts w:ascii="Arial" w:eastAsia="Arial" w:hAnsi="Arial" w:cs="Arial"/>
                <w:color w:val="000000"/>
                <w:sz w:val="20"/>
              </w:rPr>
              <w:t xml:space="preserve"> GILBERT &amp; MOYLAN, </w:t>
            </w:r>
            <w:r>
              <w:rPr>
                <w:rFonts w:ascii="Arial" w:eastAsia="Arial" w:hAnsi="Arial" w:cs="Arial"/>
                <w:i/>
                <w:color w:val="000000"/>
                <w:sz w:val="20"/>
              </w:rPr>
              <w:t>supra</w:t>
            </w:r>
            <w:r>
              <w:rPr>
                <w:rFonts w:ascii="Arial" w:eastAsia="Arial" w:hAnsi="Arial" w:cs="Arial"/>
                <w:color w:val="000000"/>
                <w:sz w:val="20"/>
              </w:rPr>
              <w:t xml:space="preserve">, § 19.9, at 215-16. This is not a presumption of law, but rather a permitted inference of fact. </w:t>
            </w:r>
            <w:r>
              <w:rPr>
                <w:rFonts w:ascii="Arial" w:eastAsia="Arial" w:hAnsi="Arial" w:cs="Arial"/>
                <w:i/>
                <w:color w:val="000000"/>
                <w:sz w:val="20"/>
              </w:rPr>
              <w:t xml:space="preserve">See </w:t>
            </w:r>
            <w:hyperlink r:id="rId165" w:history="1">
              <w:r>
                <w:rPr>
                  <w:rFonts w:ascii="Arial" w:eastAsia="Arial" w:hAnsi="Arial" w:cs="Arial"/>
                  <w:i/>
                  <w:color w:val="0077CC"/>
                  <w:sz w:val="20"/>
                  <w:u w:val="single"/>
                </w:rPr>
                <w:t>Evans v. State, 28 Md. App. 640, 702, 349 A.2d 300, 341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66"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JOINT SUBCOMM. ON THEFT RELATED OFFENSES, REVISION OF MARYLAND THEFT LAWS &amp; BAD CHECK LAWS 56 (1978) (stating that presumptions in the theft offense statute are inferences of fact). The State must, of course, prove </w:t>
            </w:r>
            <w:r>
              <w:rPr>
                <w:rFonts w:ascii="Arial" w:eastAsia="Arial" w:hAnsi="Arial" w:cs="Arial"/>
                <w:color w:val="000000"/>
                <w:sz w:val="20"/>
              </w:rPr>
              <w:t xml:space="preserve">both the knowledge element and the intent/belief element, and the permitted inference of fact does not unconstitutionally relieve the State of its burden of persuasion. </w:t>
            </w:r>
            <w:r>
              <w:rPr>
                <w:rFonts w:ascii="Arial" w:eastAsia="Arial" w:hAnsi="Arial" w:cs="Arial"/>
                <w:i/>
                <w:color w:val="000000"/>
                <w:sz w:val="20"/>
              </w:rPr>
              <w:t xml:space="preserve">Cf. </w:t>
            </w:r>
            <w:hyperlink r:id="rId167" w:history="1">
              <w:r>
                <w:rPr>
                  <w:rFonts w:ascii="Arial" w:eastAsia="Arial" w:hAnsi="Arial" w:cs="Arial"/>
                  <w:i/>
                  <w:color w:val="0077CC"/>
                  <w:sz w:val="20"/>
                  <w:u w:val="single"/>
                </w:rPr>
                <w:t>Spencer v. State, 76 Md. App. 71, 83-85, 543 A.2d 851, 857-58 (1988)</w:t>
              </w:r>
            </w:hyperlink>
            <w:r>
              <w:rPr>
                <w:rFonts w:ascii="Arial" w:eastAsia="Arial" w:hAnsi="Arial" w:cs="Arial"/>
                <w:color w:val="000000"/>
                <w:sz w:val="20"/>
              </w:rPr>
              <w:t xml:space="preserve"> (finding constitutional the inference of theft from unexplained possession of recently stolen goods).</w:t>
            </w:r>
          </w:p>
          <w:p w:rsidR="004D60A9" w:rsidRDefault="00851367">
            <w:pPr>
              <w:spacing w:before="240" w:line="260" w:lineRule="atLeast"/>
              <w:ind w:left="60" w:right="360"/>
              <w:jc w:val="both"/>
            </w:pPr>
            <w:r>
              <w:rPr>
                <w:rFonts w:ascii="Arial" w:eastAsia="Arial" w:hAnsi="Arial" w:cs="Arial"/>
                <w:color w:val="000000"/>
                <w:sz w:val="20"/>
              </w:rPr>
              <w:t>When deciding whether to admit a certif</w:t>
            </w:r>
            <w:r>
              <w:rPr>
                <w:rFonts w:ascii="Arial" w:eastAsia="Arial" w:hAnsi="Arial" w:cs="Arial"/>
                <w:color w:val="000000"/>
                <w:sz w:val="20"/>
              </w:rPr>
              <w:t xml:space="preserve">icate under oath by an authorized representative as evidence of the defendant's knowledge of an insufficiency, a court should consider </w:t>
            </w:r>
            <w:hyperlink r:id="rId168" w:history="1">
              <w:r>
                <w:rPr>
                  <w:rFonts w:ascii="Arial" w:eastAsia="Arial" w:hAnsi="Arial" w:cs="Arial"/>
                  <w:i/>
                  <w:color w:val="0077CC"/>
                  <w:sz w:val="20"/>
                  <w:u w:val="single"/>
                </w:rPr>
                <w:t>Melendez-Diaz v. Massachusetts, 557 U.S. 305 (2009).</w:t>
              </w:r>
            </w:hyperlink>
            <w:r>
              <w:rPr>
                <w:rFonts w:ascii="Arial" w:eastAsia="Arial" w:hAnsi="Arial" w:cs="Arial"/>
                <w:color w:val="000000"/>
                <w:sz w:val="20"/>
              </w:rPr>
              <w:t xml:space="preserve"> In </w:t>
            </w:r>
            <w:r>
              <w:rPr>
                <w:rFonts w:ascii="Arial" w:eastAsia="Arial" w:hAnsi="Arial" w:cs="Arial"/>
                <w:i/>
                <w:color w:val="000000"/>
                <w:sz w:val="20"/>
              </w:rPr>
              <w:t>Melendez-Diaz</w:t>
            </w:r>
            <w:r>
              <w:rPr>
                <w:rFonts w:ascii="Arial" w:eastAsia="Arial" w:hAnsi="Arial" w:cs="Arial"/>
                <w:color w:val="000000"/>
                <w:sz w:val="20"/>
              </w:rPr>
              <w:t xml:space="preserve">, the Court held that "certificates of analysis" prepared during the laboratory testing of controlled dangerous substances constitute "testimonial statements" under the </w:t>
            </w:r>
            <w:hyperlink r:id="rId169" w:history="1">
              <w:r>
                <w:rPr>
                  <w:rFonts w:ascii="Arial" w:eastAsia="Arial" w:hAnsi="Arial" w:cs="Arial"/>
                  <w:i/>
                  <w:color w:val="0077CC"/>
                  <w:sz w:val="20"/>
                  <w:u w:val="single"/>
                </w:rPr>
                <w:t>Sixth Amendment's Confrontation Clause. 557 U.S. at 305-307.</w:t>
              </w:r>
            </w:hyperlink>
            <w:r>
              <w:rPr>
                <w:rFonts w:ascii="Arial" w:eastAsia="Arial" w:hAnsi="Arial" w:cs="Arial"/>
                <w:color w:val="000000"/>
                <w:sz w:val="20"/>
              </w:rPr>
              <w:t xml:space="preserve"> As a result, unless the preparer of the certificate is unavailable to testif</w:t>
            </w:r>
            <w:r>
              <w:rPr>
                <w:rFonts w:ascii="Arial" w:eastAsia="Arial" w:hAnsi="Arial" w:cs="Arial"/>
                <w:color w:val="000000"/>
                <w:sz w:val="20"/>
              </w:rPr>
              <w:t xml:space="preserve">y at trial and the defendant was afforded a prior opportunity to cross-examine such person, the certificates are inadmissible regardless of whether they qualify as an exception to the hearsay rule. </w:t>
            </w:r>
            <w:hyperlink r:id="rId170" w:history="1">
              <w:r>
                <w:rPr>
                  <w:rFonts w:ascii="Arial" w:eastAsia="Arial" w:hAnsi="Arial" w:cs="Arial"/>
                  <w:i/>
                  <w:color w:val="0077CC"/>
                  <w:sz w:val="20"/>
                  <w:u w:val="single"/>
                </w:rPr>
                <w:t>Id. at 311;</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171" w:history="1">
              <w:r>
                <w:rPr>
                  <w:rFonts w:ascii="Arial" w:eastAsia="Arial" w:hAnsi="Arial" w:cs="Arial"/>
                  <w:i/>
                  <w:color w:val="0077CC"/>
                  <w:sz w:val="20"/>
                  <w:u w:val="single"/>
                </w:rPr>
                <w:t xml:space="preserve">Bullcoming v. New Mexico, 564 U.S. </w:t>
              </w:r>
              <w:r>
                <w:rPr>
                  <w:rFonts w:ascii="Arial" w:eastAsia="Arial" w:hAnsi="Arial" w:cs="Arial"/>
                  <w:i/>
                  <w:color w:val="0077CC"/>
                  <w:sz w:val="20"/>
                  <w:u w:val="single"/>
                </w:rPr>
                <w:t>647 (2011)</w:t>
              </w:r>
            </w:hyperlink>
            <w:r>
              <w:rPr>
                <w:rFonts w:ascii="Arial" w:eastAsia="Arial" w:hAnsi="Arial" w:cs="Arial"/>
                <w:color w:val="000000"/>
                <w:sz w:val="20"/>
              </w:rPr>
              <w:t xml:space="preserve"> (reversing drug convictions because trial court admitted certificates of lab analysts, which were testimonial affidavits, in violation of the defendant's Sixth Amendment right to confront the witnesses against him).</w:t>
            </w:r>
          </w:p>
          <w:p w:rsidR="004D60A9" w:rsidRDefault="00851367">
            <w:pPr>
              <w:spacing w:before="200" w:line="260" w:lineRule="atLeast"/>
              <w:ind w:left="60" w:right="360"/>
              <w:jc w:val="both"/>
            </w:pPr>
            <w:r>
              <w:rPr>
                <w:rFonts w:ascii="Arial" w:eastAsia="Arial" w:hAnsi="Arial" w:cs="Arial"/>
                <w:color w:val="000000"/>
                <w:sz w:val="20"/>
              </w:rPr>
              <w:t>Note: The Committee deleted f</w:t>
            </w:r>
            <w:r>
              <w:rPr>
                <w:rFonts w:ascii="Arial" w:eastAsia="Arial" w:hAnsi="Arial" w:cs="Arial"/>
                <w:color w:val="000000"/>
                <w:sz w:val="20"/>
              </w:rPr>
              <w:t>ormer MPJI-Cr 4:03.2 (Bad Checks--Inference From Insufficient Funds) because the Committee integrated the substance of it into MPJI-Cr 4:03.</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 xml:space="preserve">Copyright 2018 by The Maryland State Bar </w:t>
      </w:r>
      <w:r>
        <w:rPr>
          <w:rFonts w:ascii="Arial" w:eastAsia="Arial" w:hAnsi="Arial" w:cs="Arial"/>
          <w:color w:val="000000"/>
          <w:sz w:val="16"/>
        </w:rPr>
        <w:t>Association, Inc.</w:t>
      </w:r>
    </w:p>
    <w:p w:rsidR="004D60A9" w:rsidRDefault="004D60A9"/>
    <w:p w:rsidR="004D60A9" w:rsidRDefault="00851367">
      <w:pPr>
        <w:ind w:left="200"/>
        <w:sectPr w:rsidR="004D60A9">
          <w:type w:val="continuous"/>
          <w:pgSz w:w="12240" w:h="15840"/>
          <w:pgMar w:top="840" w:right="1000" w:bottom="840" w:left="1000" w:header="400" w:footer="400" w:gutter="0"/>
          <w:cols w:space="720"/>
        </w:sectPr>
      </w:pPr>
      <w:r>
        <w:br/>
      </w:r>
      <w:r>
        <w:pict>
          <v:line id="_x0000_s1057" style="position:absolute;left:0;text-align:left;z-index:251676672;mso-position-horizontal-relative:text;mso-position-vertical-relative:text" from="0,10pt" to="512pt,10pt" strokeweight="1pt"/>
        </w:pict>
      </w:r>
      <w:r>
        <w:rPr>
          <w:b/>
          <w:color w:val="767676"/>
          <w:sz w:val="16"/>
        </w:rPr>
        <w:t>End of Document</w:t>
      </w:r>
    </w:p>
    <w:p w:rsidR="004D60A9" w:rsidRDefault="004D60A9">
      <w:pPr>
        <w:sectPr w:rsidR="004D60A9">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gutter="0"/>
          <w:cols w:space="720"/>
          <w:titlePg/>
        </w:sectPr>
      </w:pPr>
    </w:p>
    <w:p w:rsidR="004D60A9" w:rsidRDefault="004D60A9">
      <w:bookmarkStart w:id="9" w:name="Bookmark_10"/>
      <w:bookmarkEnd w:id="9"/>
    </w:p>
    <w:p w:rsidR="004D60A9" w:rsidRDefault="00851367">
      <w:r>
        <w:pict>
          <v:shape id="_x0000_i1036" type="#_x0000_t75" alt="LexisNexis®" style="width:147.75pt;height:30pt">
            <v:imagedata r:id="rId6" o:title=""/>
          </v:shape>
        </w:pict>
      </w:r>
      <w:r>
        <w:cr/>
      </w:r>
    </w:p>
    <w:p w:rsidR="004D60A9" w:rsidRDefault="00851367">
      <w:pPr>
        <w:spacing w:before="240" w:after="200" w:line="340" w:lineRule="atLeast"/>
        <w:jc w:val="center"/>
        <w:outlineLvl w:val="0"/>
        <w:rPr>
          <w:rFonts w:ascii="Arial" w:hAnsi="Arial" w:cs="Arial"/>
          <w:b/>
          <w:bCs/>
          <w:kern w:val="32"/>
          <w:sz w:val="32"/>
          <w:szCs w:val="32"/>
        </w:rPr>
      </w:pPr>
      <w:hyperlink r:id="rId178" w:history="1">
        <w:r>
          <w:rPr>
            <w:rFonts w:ascii="Arial" w:eastAsia="Arial" w:hAnsi="Arial" w:cs="Arial"/>
            <w:b/>
            <w:bCs/>
            <w:i/>
            <w:color w:val="0077CC"/>
            <w:kern w:val="32"/>
            <w:sz w:val="28"/>
            <w:szCs w:val="32"/>
            <w:u w:val="single"/>
          </w:rPr>
          <w:t>MPJI-Cr 4:01.2</w:t>
        </w:r>
      </w:hyperlink>
    </w:p>
    <w:p w:rsidR="004D60A9" w:rsidRDefault="004D60A9">
      <w:pPr>
        <w:spacing w:line="240" w:lineRule="atLeast"/>
        <w:jc w:val="both"/>
      </w:pPr>
    </w:p>
    <w:p w:rsidR="004D60A9" w:rsidRDefault="00851367">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xml:space="preserve">ASSAULT ON A LAW </w:t>
      </w:r>
      <w:r>
        <w:rPr>
          <w:rFonts w:ascii="Arial" w:eastAsia="Arial" w:hAnsi="Arial" w:cs="Arial"/>
          <w:b/>
          <w:i/>
          <w:color w:val="000000"/>
          <w:sz w:val="22"/>
        </w:rPr>
        <w:t>ENFORCEMENT OFFICER</w:t>
      </w:r>
    </w:p>
    <w:p w:rsidR="004D60A9" w:rsidRDefault="00851367">
      <w:pPr>
        <w:keepNext/>
        <w:spacing w:before="240" w:line="340" w:lineRule="atLeast"/>
      </w:pPr>
      <w:r>
        <w:br/>
      </w:r>
      <w:r>
        <w:rPr>
          <w:rFonts w:ascii="Arial" w:eastAsia="Arial" w:hAnsi="Arial" w:cs="Arial"/>
          <w:b/>
          <w:color w:val="000000"/>
          <w:sz w:val="28"/>
        </w:rPr>
        <w:t>4:01.2Assault on a Law Enforcement Officer</w:t>
      </w:r>
    </w:p>
    <w:p w:rsidR="004D60A9" w:rsidRDefault="00851367">
      <w:pPr>
        <w:spacing w:line="60" w:lineRule="exact"/>
      </w:pPr>
      <w:r>
        <w:pict>
          <v:line id="_x0000_s1059" style="position:absolute;z-index:251667456" from="0,2pt" to="512pt,2pt" strokecolor="#009ddb" strokeweight="2pt">
            <w10:wrap type="topAndBottom"/>
          </v:line>
        </w:pict>
      </w:r>
    </w:p>
    <w:p w:rsidR="004D60A9" w:rsidRDefault="004D60A9"/>
    <w:p w:rsidR="004D60A9" w:rsidRDefault="00851367">
      <w:pPr>
        <w:spacing w:before="200" w:line="260" w:lineRule="atLeast"/>
        <w:jc w:val="both"/>
      </w:pPr>
      <w:r>
        <w:rPr>
          <w:rFonts w:ascii="Arial" w:eastAsia="Arial" w:hAnsi="Arial" w:cs="Arial"/>
          <w:b/>
          <w:color w:val="000000"/>
          <w:sz w:val="20"/>
        </w:rPr>
        <w:t>The defendant has been charged with second degree assault of a [law enforcement officer] [probation agent] [parole agent]. In order to convict the defendant, the State must prove</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(1) </w:t>
      </w:r>
      <w:r>
        <w:rPr>
          <w:rFonts w:ascii="Arial" w:eastAsia="Arial" w:hAnsi="Arial" w:cs="Arial"/>
          <w:b/>
          <w:color w:val="000000"/>
          <w:sz w:val="20"/>
        </w:rPr>
        <w:t>that the defendant intentionally caused physical injury to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a [law enforcement officer] [probation agent] [parole agent] engaged in the performance of [his] [her] official duties</w:t>
      </w:r>
      <w:r>
        <w:rPr>
          <w:rFonts w:ascii="Arial" w:eastAsia="Arial" w:hAnsi="Arial" w:cs="Arial"/>
          <w:color w:val="000000"/>
          <w:sz w:val="20"/>
        </w:rPr>
        <w:t>;</w:t>
      </w:r>
    </w:p>
    <w:p w:rsidR="004D60A9" w:rsidRDefault="00851367">
      <w:pPr>
        <w:spacing w:before="200" w:line="260" w:lineRule="atLeast"/>
        <w:ind w:left="400"/>
        <w:jc w:val="both"/>
      </w:pPr>
      <w:r>
        <w:rPr>
          <w:rFonts w:ascii="Arial" w:eastAsia="Arial" w:hAnsi="Arial" w:cs="Arial"/>
          <w:b/>
          <w:color w:val="000000"/>
          <w:sz w:val="20"/>
        </w:rPr>
        <w:t xml:space="preserve">(3) that the defendant knew or had reason to </w:t>
      </w:r>
      <w:r>
        <w:rPr>
          <w:rFonts w:ascii="Arial" w:eastAsia="Arial" w:hAnsi="Arial" w:cs="Arial"/>
          <w:b/>
          <w:color w:val="000000"/>
          <w:sz w:val="20"/>
        </w:rPr>
        <w:t>know that (</w:t>
      </w:r>
      <w:r>
        <w:rPr>
          <w:rFonts w:ascii="Arial" w:eastAsia="Arial" w:hAnsi="Arial" w:cs="Arial"/>
          <w:b/>
          <w:color w:val="000000"/>
          <w:sz w:val="20"/>
          <w:u w:val="single"/>
        </w:rPr>
        <w:t>name</w:t>
      </w:r>
      <w:r>
        <w:rPr>
          <w:rFonts w:ascii="Arial" w:eastAsia="Arial" w:hAnsi="Arial" w:cs="Arial"/>
          <w:b/>
          <w:color w:val="000000"/>
          <w:sz w:val="20"/>
        </w:rPr>
        <w:t>) was a [law enforcement officer] [probation agent] [parole agent]; and</w:t>
      </w:r>
    </w:p>
    <w:p w:rsidR="004D60A9" w:rsidRDefault="00851367">
      <w:pPr>
        <w:spacing w:before="200" w:line="260" w:lineRule="atLeast"/>
        <w:ind w:left="400"/>
        <w:jc w:val="both"/>
      </w:pPr>
      <w:r>
        <w:rPr>
          <w:rFonts w:ascii="Arial" w:eastAsia="Arial" w:hAnsi="Arial" w:cs="Arial"/>
          <w:b/>
          <w:color w:val="000000"/>
          <w:sz w:val="20"/>
        </w:rPr>
        <w:t>(4) that the defendant knew or had reason to know that (</w:t>
      </w:r>
      <w:r>
        <w:rPr>
          <w:rFonts w:ascii="Arial" w:eastAsia="Arial" w:hAnsi="Arial" w:cs="Arial"/>
          <w:b/>
          <w:color w:val="000000"/>
          <w:sz w:val="20"/>
          <w:u w:val="single"/>
        </w:rPr>
        <w:t>name</w:t>
      </w:r>
      <w:r>
        <w:rPr>
          <w:rFonts w:ascii="Arial" w:eastAsia="Arial" w:hAnsi="Arial" w:cs="Arial"/>
          <w:b/>
          <w:color w:val="000000"/>
          <w:sz w:val="20"/>
        </w:rPr>
        <w:t>) was engaged in the performance of [his] [her] official duties</w:t>
      </w:r>
      <w:r>
        <w:rPr>
          <w:rFonts w:ascii="Arial" w:eastAsia="Arial" w:hAnsi="Arial" w:cs="Arial"/>
          <w:color w:val="000000"/>
          <w:sz w:val="20"/>
        </w:rPr>
        <w:t>.</w:t>
      </w:r>
    </w:p>
    <w:p w:rsidR="004D60A9" w:rsidRDefault="00851367">
      <w:pPr>
        <w:spacing w:before="200" w:line="260" w:lineRule="atLeast"/>
        <w:jc w:val="both"/>
      </w:pPr>
      <w:r>
        <w:rPr>
          <w:rFonts w:ascii="Arial" w:eastAsia="Arial" w:hAnsi="Arial" w:cs="Arial"/>
          <w:b/>
          <w:color w:val="000000"/>
          <w:sz w:val="20"/>
        </w:rPr>
        <w:t>"Physical injury" means any impairment of ph</w:t>
      </w:r>
      <w:r>
        <w:rPr>
          <w:rFonts w:ascii="Arial" w:eastAsia="Arial" w:hAnsi="Arial" w:cs="Arial"/>
          <w:b/>
          <w:color w:val="000000"/>
          <w:sz w:val="20"/>
        </w:rPr>
        <w:t>ysical condition excluding minor injuries</w:t>
      </w:r>
      <w:r>
        <w:rPr>
          <w:rFonts w:ascii="Arial" w:eastAsia="Arial" w:hAnsi="Arial" w:cs="Arial"/>
          <w:color w:val="000000"/>
          <w:sz w:val="20"/>
        </w:rPr>
        <w:t>.</w:t>
      </w:r>
    </w:p>
    <w:p w:rsidR="004D60A9" w:rsidRDefault="004D60A9"/>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D60A9">
        <w:tc>
          <w:tcPr>
            <w:tcW w:w="10240" w:type="dxa"/>
            <w:vAlign w:val="center"/>
          </w:tcPr>
          <w:p w:rsidR="004D60A9" w:rsidRDefault="00851367">
            <w:pPr>
              <w:spacing w:before="240" w:line="260" w:lineRule="atLeast"/>
              <w:ind w:left="60" w:right="360"/>
            </w:pPr>
            <w:r>
              <w:rPr>
                <w:rFonts w:ascii="Arial" w:eastAsia="Arial" w:hAnsi="Arial" w:cs="Arial"/>
                <w:b/>
                <w:color w:val="000000"/>
                <w:sz w:val="20"/>
              </w:rPr>
              <w:t> </w:t>
            </w:r>
          </w:p>
          <w:p w:rsidR="004D60A9" w:rsidRDefault="00851367">
            <w:pPr>
              <w:spacing w:before="200" w:line="260" w:lineRule="atLeast"/>
              <w:ind w:left="60" w:right="360"/>
              <w:jc w:val="both"/>
            </w:pPr>
            <w:r>
              <w:rPr>
                <w:rFonts w:ascii="Arial" w:eastAsia="Arial" w:hAnsi="Arial" w:cs="Arial"/>
                <w:color w:val="000000"/>
                <w:sz w:val="20"/>
              </w:rPr>
              <w:t>COMMENT</w:t>
            </w:r>
          </w:p>
          <w:p w:rsidR="004D60A9" w:rsidRDefault="00851367">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4:27 (Resisting Arrest (Warrant)) and MPJI-Cr 4:27.1 (Resisting Arrest (Warrantless)), especially for discussions of when a person making an arrest is a law enforcement officer a</w:t>
            </w:r>
            <w:r>
              <w:rPr>
                <w:rFonts w:ascii="Arial" w:eastAsia="Arial" w:hAnsi="Arial" w:cs="Arial"/>
                <w:color w:val="000000"/>
                <w:sz w:val="20"/>
              </w:rPr>
              <w:t>nd acting within the scope of that office.</w:t>
            </w:r>
          </w:p>
          <w:p w:rsidR="004D60A9" w:rsidRDefault="00851367">
            <w:pPr>
              <w:spacing w:before="240" w:line="260" w:lineRule="atLeast"/>
              <w:ind w:left="60" w:right="360"/>
              <w:jc w:val="both"/>
            </w:pPr>
            <w:r>
              <w:rPr>
                <w:rFonts w:ascii="Arial" w:eastAsia="Arial" w:hAnsi="Arial" w:cs="Arial"/>
                <w:color w:val="000000"/>
                <w:sz w:val="20"/>
              </w:rPr>
              <w:t xml:space="preserve">In </w:t>
            </w:r>
            <w:hyperlink r:id="rId179" w:history="1">
              <w:r>
                <w:rPr>
                  <w:rFonts w:ascii="Arial" w:eastAsia="Arial" w:hAnsi="Arial" w:cs="Arial"/>
                  <w:i/>
                  <w:color w:val="0077CC"/>
                  <w:sz w:val="20"/>
                  <w:u w:val="single"/>
                </w:rPr>
                <w:t>Britton v. State, 201 Md. App. 589, 600-01, 30 A.3d 236, 243 (2011),</w:t>
              </w:r>
            </w:hyperlink>
            <w:r>
              <w:rPr>
                <w:rFonts w:ascii="Arial" w:eastAsia="Arial" w:hAnsi="Arial" w:cs="Arial"/>
                <w:color w:val="000000"/>
                <w:sz w:val="20"/>
              </w:rPr>
              <w:t xml:space="preserve"> the Court he</w:t>
            </w:r>
            <w:r>
              <w:rPr>
                <w:rFonts w:ascii="Arial" w:eastAsia="Arial" w:hAnsi="Arial" w:cs="Arial"/>
                <w:color w:val="000000"/>
                <w:sz w:val="20"/>
              </w:rPr>
              <w:t>ld that convictions for second-degree assault on a law enforcement officer under § 3-203(c) and for resisting arrest do not merge. The Court said that, among other distinguishing features, "unlike a conviction for resisting arrest under [CRIM. LAW II] § 9-</w:t>
            </w:r>
            <w:r>
              <w:rPr>
                <w:rFonts w:ascii="Arial" w:eastAsia="Arial" w:hAnsi="Arial" w:cs="Arial"/>
                <w:color w:val="000000"/>
                <w:sz w:val="20"/>
              </w:rPr>
              <w:t xml:space="preserve">408(b), a conviction for second-degree assault under § 3-203(c) requires proof that appellant caused physical injury." </w:t>
            </w:r>
            <w:hyperlink r:id="rId180" w:history="1">
              <w:r>
                <w:rPr>
                  <w:rFonts w:ascii="Arial" w:eastAsia="Arial" w:hAnsi="Arial" w:cs="Arial"/>
                  <w:i/>
                  <w:color w:val="0077CC"/>
                  <w:sz w:val="20"/>
                  <w:u w:val="single"/>
                </w:rPr>
                <w:t xml:space="preserve">201 Md. </w:t>
              </w:r>
              <w:r>
                <w:rPr>
                  <w:rFonts w:ascii="Arial" w:eastAsia="Arial" w:hAnsi="Arial" w:cs="Arial"/>
                  <w:i/>
                  <w:color w:val="0077CC"/>
                  <w:sz w:val="20"/>
                  <w:u w:val="single"/>
                </w:rPr>
                <w:t>App. at 601, 30 A.3d at 243.</w:t>
              </w:r>
            </w:hyperlink>
            <w:r>
              <w:rPr>
                <w:rFonts w:ascii="Arial" w:eastAsia="Arial" w:hAnsi="Arial" w:cs="Arial"/>
                <w:color w:val="000000"/>
                <w:sz w:val="20"/>
              </w:rPr>
              <w:t xml:space="preserve"> In its analysis, the Court set forth the elements of second-degree assault on a law enforcement officer:</w:t>
            </w:r>
          </w:p>
          <w:p w:rsidR="004D60A9" w:rsidRDefault="00851367">
            <w:pPr>
              <w:spacing w:before="60" w:line="260" w:lineRule="atLeast"/>
              <w:ind w:left="460" w:right="360"/>
              <w:jc w:val="both"/>
            </w:pPr>
            <w:r>
              <w:rPr>
                <w:rFonts w:ascii="Arial" w:eastAsia="Arial" w:hAnsi="Arial" w:cs="Arial"/>
                <w:color w:val="000000"/>
                <w:sz w:val="20"/>
              </w:rPr>
              <w:t xml:space="preserve">Unlike second-degree assault under § 3-203(a), which is a misdemeanor, second-degree assault on a law </w:t>
            </w:r>
            <w:r>
              <w:rPr>
                <w:rFonts w:ascii="Arial" w:eastAsia="Arial" w:hAnsi="Arial" w:cs="Arial"/>
                <w:color w:val="000000"/>
                <w:sz w:val="20"/>
              </w:rPr>
              <w:t>enforcement officer under § 3-203(c) is a felony. It also contains four additional elements: first, the assault must be on a law enforcement officer; second, the officer who is assaulted must actually receive a physical injury, which is defined by § 3-203(</w:t>
            </w:r>
            <w:r>
              <w:rPr>
                <w:rFonts w:ascii="Arial" w:eastAsia="Arial" w:hAnsi="Arial" w:cs="Arial"/>
                <w:color w:val="000000"/>
                <w:sz w:val="20"/>
              </w:rPr>
              <w:t>c)(1) as "any impairment of physical condition, excluding minor injuries"; third, the defendant must intend to cause the officer's physical injury; and fourth, the defendant must know or have reason to know that the victim is a law enforcement officer enga</w:t>
            </w:r>
            <w:r>
              <w:rPr>
                <w:rFonts w:ascii="Arial" w:eastAsia="Arial" w:hAnsi="Arial" w:cs="Arial"/>
                <w:color w:val="000000"/>
                <w:sz w:val="20"/>
              </w:rPr>
              <w:t xml:space="preserve">ged in the </w:t>
            </w:r>
            <w:r>
              <w:rPr>
                <w:rFonts w:ascii="Arial" w:eastAsia="Arial" w:hAnsi="Arial" w:cs="Arial"/>
                <w:color w:val="000000"/>
                <w:sz w:val="20"/>
              </w:rPr>
              <w:lastRenderedPageBreak/>
              <w:t>performance of his official duties.</w:t>
            </w:r>
          </w:p>
          <w:p w:rsidR="004D60A9" w:rsidRDefault="00851367">
            <w:pPr>
              <w:spacing w:before="240" w:line="260" w:lineRule="atLeast"/>
              <w:ind w:left="60" w:right="360"/>
              <w:jc w:val="both"/>
            </w:pPr>
            <w:hyperlink r:id="rId181" w:history="1">
              <w:r>
                <w:rPr>
                  <w:rFonts w:ascii="Arial" w:eastAsia="Arial" w:hAnsi="Arial" w:cs="Arial"/>
                  <w:i/>
                  <w:color w:val="0077CC"/>
                  <w:sz w:val="20"/>
                  <w:u w:val="single"/>
                </w:rPr>
                <w:t>Britton, 201 Md. App. at 600-01, 30 A.3d at 243.</w:t>
              </w:r>
            </w:hyperlink>
          </w:p>
          <w:p w:rsidR="004D60A9" w:rsidRDefault="00851367">
            <w:pPr>
              <w:spacing w:before="200" w:line="260" w:lineRule="atLeast"/>
              <w:ind w:left="60" w:right="360"/>
              <w:jc w:val="both"/>
            </w:pPr>
            <w:r>
              <w:rPr>
                <w:rFonts w:ascii="Arial" w:eastAsia="Arial" w:hAnsi="Arial" w:cs="Arial"/>
                <w:color w:val="000000"/>
                <w:sz w:val="20"/>
              </w:rPr>
              <w:t>Assaults on law enforcement off</w:t>
            </w:r>
            <w:r>
              <w:rPr>
                <w:rFonts w:ascii="Arial" w:eastAsia="Arial" w:hAnsi="Arial" w:cs="Arial"/>
                <w:color w:val="000000"/>
                <w:sz w:val="20"/>
              </w:rPr>
              <w:t xml:space="preserve">icers that cause only "minor injuries" are not within the scope of § 3-203(c), but there is no reported Maryland appellate decision that defines the term "minor injuries." There is an unreported decision of the Maryland Court of Special Appeals, </w:t>
            </w:r>
            <w:r>
              <w:rPr>
                <w:rFonts w:ascii="Arial" w:eastAsia="Arial" w:hAnsi="Arial" w:cs="Arial"/>
                <w:i/>
                <w:color w:val="000000"/>
                <w:sz w:val="20"/>
              </w:rPr>
              <w:t>Learned v.</w:t>
            </w:r>
            <w:r>
              <w:rPr>
                <w:rFonts w:ascii="Arial" w:eastAsia="Arial" w:hAnsi="Arial" w:cs="Arial"/>
                <w:i/>
                <w:color w:val="000000"/>
                <w:sz w:val="20"/>
              </w:rPr>
              <w:t xml:space="preserve"> State</w:t>
            </w:r>
            <w:r>
              <w:rPr>
                <w:rFonts w:ascii="Arial" w:eastAsia="Arial" w:hAnsi="Arial" w:cs="Arial"/>
                <w:color w:val="000000"/>
                <w:sz w:val="20"/>
              </w:rPr>
              <w:t xml:space="preserve">, No. 302, Sept. Term 2008 (Aug. 21, 2009), that suggests possible standards for distinguishing "minor" from "major" injuries. In </w:t>
            </w:r>
            <w:r>
              <w:rPr>
                <w:rFonts w:ascii="Arial" w:eastAsia="Arial" w:hAnsi="Arial" w:cs="Arial"/>
                <w:i/>
                <w:color w:val="000000"/>
                <w:sz w:val="20"/>
              </w:rPr>
              <w:t>Learned</w:t>
            </w:r>
            <w:r>
              <w:rPr>
                <w:rFonts w:ascii="Arial" w:eastAsia="Arial" w:hAnsi="Arial" w:cs="Arial"/>
                <w:color w:val="000000"/>
                <w:sz w:val="20"/>
              </w:rPr>
              <w:t>, a police officer suffered a minor cut on his arm. Because the "minor injury" issue was not preserved, the Court</w:t>
            </w:r>
            <w:r>
              <w:rPr>
                <w:rFonts w:ascii="Arial" w:eastAsia="Arial" w:hAnsi="Arial" w:cs="Arial"/>
                <w:color w:val="000000"/>
                <w:sz w:val="20"/>
              </w:rPr>
              <w:t xml:space="preserve"> did not resolve it, but did say:</w:t>
            </w:r>
          </w:p>
          <w:p w:rsidR="004D60A9" w:rsidRDefault="00851367">
            <w:pPr>
              <w:spacing w:before="60" w:line="260" w:lineRule="atLeast"/>
              <w:ind w:left="460" w:right="360"/>
              <w:jc w:val="both"/>
            </w:pPr>
            <w:r>
              <w:rPr>
                <w:rFonts w:ascii="Arial" w:eastAsia="Arial" w:hAnsi="Arial" w:cs="Arial"/>
                <w:color w:val="000000"/>
                <w:sz w:val="20"/>
              </w:rPr>
              <w:t xml:space="preserve">[A]ppellant's argument, that a "minor cut to [the police officer's] arm" is a "minor injury" under C.L. § 3-203(c)(1), does not appear to be a specious argument. See, e.g., Md. Code (2008 Repl. Vol.), § 5-2-5(g)(2)(ii) of </w:t>
            </w:r>
            <w:r>
              <w:rPr>
                <w:rFonts w:ascii="Arial" w:eastAsia="Arial" w:hAnsi="Arial" w:cs="Arial"/>
                <w:color w:val="000000"/>
                <w:sz w:val="20"/>
              </w:rPr>
              <w:t>the Labor and Employment Article ("L.E.") (describing "minor injuries" as those that require "only first aid treatment and do not involve loss of consciousness, medical treatment, restrictions of motion or work, or transfer to another job.").</w:t>
            </w:r>
          </w:p>
          <w:p w:rsidR="004D60A9" w:rsidRDefault="00851367">
            <w:pPr>
              <w:spacing w:before="200" w:line="260" w:lineRule="atLeast"/>
              <w:ind w:left="60" w:right="360"/>
              <w:jc w:val="both"/>
            </w:pPr>
            <w:r>
              <w:rPr>
                <w:rFonts w:ascii="Arial" w:eastAsia="Arial" w:hAnsi="Arial" w:cs="Arial"/>
                <w:i/>
                <w:color w:val="000000"/>
                <w:sz w:val="20"/>
              </w:rPr>
              <w:t>Learned</w:t>
            </w:r>
            <w:r>
              <w:rPr>
                <w:rFonts w:ascii="Arial" w:eastAsia="Arial" w:hAnsi="Arial" w:cs="Arial"/>
                <w:color w:val="000000"/>
                <w:sz w:val="20"/>
              </w:rPr>
              <w:t xml:space="preserve">, No. </w:t>
            </w:r>
            <w:r>
              <w:rPr>
                <w:rFonts w:ascii="Arial" w:eastAsia="Arial" w:hAnsi="Arial" w:cs="Arial"/>
                <w:color w:val="000000"/>
                <w:sz w:val="20"/>
              </w:rPr>
              <w:t>302, Sept. Term 2008, at 25 (Slip. Op.).</w:t>
            </w:r>
          </w:p>
          <w:p w:rsidR="004D60A9" w:rsidRDefault="004D60A9">
            <w:pPr>
              <w:spacing w:after="120"/>
            </w:pPr>
          </w:p>
        </w:tc>
      </w:tr>
    </w:tbl>
    <w:p w:rsidR="004D60A9" w:rsidRDefault="00851367">
      <w:pPr>
        <w:spacing w:before="60" w:line="260" w:lineRule="atLeast"/>
        <w:ind w:left="720"/>
        <w:jc w:val="both"/>
      </w:pPr>
      <w:r>
        <w:rPr>
          <w:rFonts w:ascii="Arial" w:eastAsia="Arial" w:hAnsi="Arial" w:cs="Arial"/>
          <w:color w:val="000000"/>
          <w:sz w:val="20"/>
        </w:rPr>
        <w:lastRenderedPageBreak/>
        <w:t>#MICPEL#</w:t>
      </w:r>
    </w:p>
    <w:p w:rsidR="004D60A9" w:rsidRDefault="00851367">
      <w:pPr>
        <w:keepNext/>
        <w:spacing w:before="240" w:line="340" w:lineRule="atLeast"/>
      </w:pPr>
      <w:r>
        <w:br/>
      </w:r>
      <w:r>
        <w:rPr>
          <w:rFonts w:ascii="Arial" w:eastAsia="Arial" w:hAnsi="Arial" w:cs="Arial"/>
          <w:b/>
          <w:color w:val="000000"/>
          <w:sz w:val="28"/>
        </w:rPr>
        <w:t>Reference</w:t>
      </w:r>
    </w:p>
    <w:p w:rsidR="004D60A9" w:rsidRDefault="00851367">
      <w:pPr>
        <w:spacing w:line="60" w:lineRule="exact"/>
      </w:pPr>
      <w:r>
        <w:pict>
          <v:line id="_x0000_s1060" style="position:absolute;z-index:251677696" from="0,2pt" to="512pt,2pt" strokecolor="#009ddb" strokeweight="2pt">
            <w10:wrap type="topAndBottom"/>
          </v:line>
        </w:pict>
      </w:r>
    </w:p>
    <w:p w:rsidR="004D60A9" w:rsidRDefault="004D60A9">
      <w:pPr>
        <w:spacing w:line="120" w:lineRule="exact"/>
      </w:pPr>
    </w:p>
    <w:p w:rsidR="004D60A9" w:rsidRDefault="00851367">
      <w:pPr>
        <w:spacing w:before="120" w:line="260" w:lineRule="atLeast"/>
      </w:pPr>
      <w:r>
        <w:rPr>
          <w:rFonts w:ascii="Arial" w:eastAsia="Arial" w:hAnsi="Arial" w:cs="Arial"/>
          <w:color w:val="000000"/>
          <w:sz w:val="20"/>
        </w:rPr>
        <w:t>MPJI-Cr 4:01, MPJI-Cr 4:01.1, MPJI-Cr 4:27, MPJI-Cr 4:27.1</w:t>
      </w:r>
    </w:p>
    <w:p w:rsidR="004D60A9" w:rsidRDefault="00851367">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D60A9" w:rsidRDefault="00851367">
      <w:pPr>
        <w:spacing w:before="240" w:line="220" w:lineRule="atLeast"/>
      </w:pPr>
      <w:r>
        <w:rPr>
          <w:rFonts w:ascii="Arial" w:eastAsia="Arial" w:hAnsi="Arial" w:cs="Arial"/>
          <w:color w:val="000000"/>
          <w:sz w:val="16"/>
        </w:rPr>
        <w:t>Maryland Criminal Pattern Jury Instructions</w:t>
      </w:r>
    </w:p>
    <w:p w:rsidR="004D60A9" w:rsidRDefault="00851367">
      <w:pPr>
        <w:spacing w:line="220" w:lineRule="atLeast"/>
      </w:pPr>
      <w:r>
        <w:rPr>
          <w:rFonts w:ascii="Arial" w:eastAsia="Arial" w:hAnsi="Arial" w:cs="Arial"/>
          <w:color w:val="000000"/>
          <w:sz w:val="16"/>
        </w:rPr>
        <w:t>Copyright 2018 by The Maryland State Bar Association, Inc.</w:t>
      </w:r>
    </w:p>
    <w:p w:rsidR="004D60A9" w:rsidRDefault="004D60A9"/>
    <w:p w:rsidR="004729FB" w:rsidRDefault="00851367">
      <w:pPr>
        <w:ind w:left="200"/>
        <w:rPr>
          <w:b/>
          <w:color w:val="767676"/>
          <w:sz w:val="16"/>
        </w:rPr>
      </w:pPr>
      <w:r>
        <w:br/>
      </w:r>
      <w:r>
        <w:pict>
          <v:line id="_x0000_s1061" style="position:absolute;left:0;text-align:left;z-index:251683840;mso-position-horizontal-relative:text;mso-position-vertical-relative:text" from="0,10pt" to="512pt,10pt" strokeweight="1pt"/>
        </w:pict>
      </w:r>
      <w:r>
        <w:rPr>
          <w:b/>
          <w:color w:val="767676"/>
          <w:sz w:val="16"/>
        </w:rPr>
        <w:t xml:space="preserve">End of </w:t>
      </w:r>
      <w:r>
        <w:rPr>
          <w:b/>
          <w:color w:val="767676"/>
          <w:sz w:val="16"/>
        </w:rPr>
        <w:t>Document</w:t>
      </w:r>
    </w:p>
    <w:p w:rsidR="004729FB" w:rsidRDefault="004729FB" w:rsidP="004729FB">
      <w:r>
        <w:rPr>
          <w:b/>
          <w:color w:val="767676"/>
          <w:sz w:val="16"/>
        </w:rPr>
        <w:br w:type="page"/>
      </w:r>
      <w:r>
        <w:rPr>
          <w:noProof/>
        </w:rPr>
        <w:lastRenderedPageBreak/>
        <w:drawing>
          <wp:inline distT="0" distB="0" distL="0" distR="0">
            <wp:extent cx="1876425" cy="38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10:47:00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77923588</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83" w:history="1">
        <w:r>
          <w:rPr>
            <w:rStyle w:val="Hyperlink"/>
            <w:rFonts w:ascii="Arial" w:eastAsia="Arial" w:hAnsi="Arial" w:cs="Arial"/>
            <w:color w:val="000000"/>
            <w:sz w:val="20"/>
          </w:rPr>
          <w:t xml:space="preserve"> </w:t>
        </w:r>
      </w:hyperlink>
      <w:hyperlink r:id="rId184" w:history="1">
        <w:r>
          <w:rPr>
            <w:rStyle w:val="Hyperlink"/>
            <w:rFonts w:ascii="Arial" w:eastAsia="Arial" w:hAnsi="Arial" w:cs="Arial"/>
            <w:i/>
            <w:color w:val="0077CC"/>
            <w:sz w:val="20"/>
          </w:rPr>
          <w:t>Bad Check--Stop Payment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85" w:history="1">
        <w:r>
          <w:rPr>
            <w:rStyle w:val="Hyperlink"/>
            <w:rFonts w:ascii="Arial" w:eastAsia="Arial" w:hAnsi="Arial" w:cs="Arial"/>
            <w:color w:val="000000"/>
            <w:sz w:val="20"/>
          </w:rPr>
          <w:t xml:space="preserve"> </w:t>
        </w:r>
      </w:hyperlink>
      <w:hyperlink r:id="rId186" w:history="1">
        <w:r>
          <w:rPr>
            <w:rStyle w:val="Hyperlink"/>
            <w:rFonts w:ascii="Arial" w:eastAsia="Arial" w:hAnsi="Arial" w:cs="Arial"/>
            <w:i/>
            <w:color w:val="0077CC"/>
            <w:sz w:val="20"/>
          </w:rPr>
          <w:t>Carjacking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87" w:history="1">
        <w:r>
          <w:rPr>
            <w:rStyle w:val="Hyperlink"/>
            <w:rFonts w:ascii="Arial" w:eastAsia="Arial" w:hAnsi="Arial" w:cs="Arial"/>
            <w:color w:val="000000"/>
            <w:sz w:val="20"/>
          </w:rPr>
          <w:t xml:space="preserve"> </w:t>
        </w:r>
      </w:hyperlink>
      <w:hyperlink r:id="rId188" w:history="1">
        <w:r>
          <w:rPr>
            <w:rStyle w:val="Hyperlink"/>
            <w:rFonts w:ascii="Arial" w:eastAsia="Arial" w:hAnsi="Arial" w:cs="Arial"/>
            <w:i/>
            <w:color w:val="0077CC"/>
            <w:sz w:val="20"/>
          </w:rPr>
          <w:t>Armed Carjacking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89" w:history="1">
        <w:r>
          <w:rPr>
            <w:rStyle w:val="Hyperlink"/>
            <w:rFonts w:ascii="Arial" w:eastAsia="Arial" w:hAnsi="Arial" w:cs="Arial"/>
            <w:color w:val="000000"/>
            <w:sz w:val="20"/>
          </w:rPr>
          <w:t xml:space="preserve"> </w:t>
        </w:r>
      </w:hyperlink>
      <w:hyperlink r:id="rId190" w:history="1">
        <w:r>
          <w:rPr>
            <w:rStyle w:val="Hyperlink"/>
            <w:rFonts w:ascii="Arial" w:eastAsia="Arial" w:hAnsi="Arial" w:cs="Arial"/>
            <w:i/>
            <w:color w:val="0077CC"/>
            <w:sz w:val="20"/>
          </w:rPr>
          <w:t>Bribery and Attempted Bribery--Bribers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91" w:history="1">
        <w:r>
          <w:rPr>
            <w:rStyle w:val="Hyperlink"/>
            <w:rFonts w:ascii="Arial" w:eastAsia="Arial" w:hAnsi="Arial" w:cs="Arial"/>
            <w:color w:val="000000"/>
            <w:sz w:val="20"/>
          </w:rPr>
          <w:t xml:space="preserve"> </w:t>
        </w:r>
      </w:hyperlink>
      <w:hyperlink r:id="rId192" w:history="1">
        <w:r>
          <w:rPr>
            <w:rStyle w:val="Hyperlink"/>
            <w:rFonts w:ascii="Arial" w:eastAsia="Arial" w:hAnsi="Arial" w:cs="Arial"/>
            <w:i/>
            <w:color w:val="0077CC"/>
            <w:sz w:val="20"/>
          </w:rPr>
          <w:t>Bribery and Attempted Bribery--Bribees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93" w:history="1">
        <w:r>
          <w:rPr>
            <w:rStyle w:val="Hyperlink"/>
            <w:rFonts w:ascii="Arial" w:eastAsia="Arial" w:hAnsi="Arial" w:cs="Arial"/>
            <w:color w:val="000000"/>
            <w:sz w:val="20"/>
          </w:rPr>
          <w:t xml:space="preserve"> </w:t>
        </w:r>
      </w:hyperlink>
      <w:hyperlink r:id="rId194" w:history="1">
        <w:r>
          <w:rPr>
            <w:rStyle w:val="Hyperlink"/>
            <w:rFonts w:ascii="Arial" w:eastAsia="Arial" w:hAnsi="Arial" w:cs="Arial"/>
            <w:i/>
            <w:color w:val="0077CC"/>
            <w:sz w:val="20"/>
          </w:rPr>
          <w:t>Burglary--First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95" w:history="1">
        <w:r>
          <w:rPr>
            <w:rStyle w:val="Hyperlink"/>
            <w:rFonts w:ascii="Arial" w:eastAsia="Arial" w:hAnsi="Arial" w:cs="Arial"/>
            <w:color w:val="000000"/>
            <w:sz w:val="20"/>
          </w:rPr>
          <w:t xml:space="preserve"> </w:t>
        </w:r>
      </w:hyperlink>
      <w:hyperlink r:id="rId196" w:history="1">
        <w:r>
          <w:rPr>
            <w:rStyle w:val="Hyperlink"/>
            <w:rFonts w:ascii="Arial" w:eastAsia="Arial" w:hAnsi="Arial" w:cs="Arial"/>
            <w:i/>
            <w:color w:val="0077CC"/>
            <w:sz w:val="20"/>
          </w:rPr>
          <w:t>Burglary--Second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97" w:history="1">
        <w:r>
          <w:rPr>
            <w:rStyle w:val="Hyperlink"/>
            <w:rFonts w:ascii="Arial" w:eastAsia="Arial" w:hAnsi="Arial" w:cs="Arial"/>
            <w:color w:val="000000"/>
            <w:sz w:val="20"/>
          </w:rPr>
          <w:t xml:space="preserve"> </w:t>
        </w:r>
      </w:hyperlink>
      <w:hyperlink r:id="rId198" w:history="1">
        <w:r>
          <w:rPr>
            <w:rStyle w:val="Hyperlink"/>
            <w:rFonts w:ascii="Arial" w:eastAsia="Arial" w:hAnsi="Arial" w:cs="Arial"/>
            <w:i/>
            <w:color w:val="0077CC"/>
            <w:sz w:val="20"/>
          </w:rPr>
          <w:t>Burglary--Third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99" w:history="1">
        <w:r>
          <w:rPr>
            <w:rStyle w:val="Hyperlink"/>
            <w:rFonts w:ascii="Arial" w:eastAsia="Arial" w:hAnsi="Arial" w:cs="Arial"/>
            <w:color w:val="000000"/>
            <w:sz w:val="20"/>
          </w:rPr>
          <w:t xml:space="preserve"> </w:t>
        </w:r>
      </w:hyperlink>
      <w:hyperlink r:id="rId200" w:history="1">
        <w:r>
          <w:rPr>
            <w:rStyle w:val="Hyperlink"/>
            <w:rFonts w:ascii="Arial" w:eastAsia="Arial" w:hAnsi="Arial" w:cs="Arial"/>
            <w:i/>
            <w:color w:val="0077CC"/>
            <w:sz w:val="20"/>
          </w:rPr>
          <w:t>Burglary--Fourth Degree (Break And Enter Building)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201" w:history="1">
        <w:r>
          <w:rPr>
            <w:rStyle w:val="Hyperlink"/>
            <w:rFonts w:ascii="Arial" w:eastAsia="Arial" w:hAnsi="Arial" w:cs="Arial"/>
            <w:color w:val="000000"/>
            <w:sz w:val="20"/>
          </w:rPr>
          <w:t xml:space="preserve"> </w:t>
        </w:r>
      </w:hyperlink>
      <w:hyperlink r:id="rId202" w:history="1">
        <w:r>
          <w:rPr>
            <w:rStyle w:val="Hyperlink"/>
            <w:rFonts w:ascii="Arial" w:eastAsia="Arial" w:hAnsi="Arial" w:cs="Arial"/>
            <w:i/>
            <w:color w:val="0077CC"/>
            <w:sz w:val="20"/>
          </w:rPr>
          <w:t>Burglary--Fourth Degree (Break and Enter Dwelling)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rsidSect="004729FB">
          <w:type w:val="continuous"/>
          <w:pgSz w:w="12240" w:h="15840"/>
          <w:pgMar w:top="840" w:right="1080" w:bottom="840" w:left="1080" w:header="0" w:footer="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0" name="Picture 1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03" w:history="1">
        <w:r>
          <w:rPr>
            <w:rStyle w:val="Hyperlink"/>
            <w:rFonts w:ascii="Arial" w:eastAsia="Arial" w:hAnsi="Arial" w:cs="Arial"/>
            <w:b/>
            <w:bCs/>
            <w:i/>
            <w:color w:val="0077CC"/>
            <w:kern w:val="32"/>
            <w:sz w:val="28"/>
            <w:szCs w:val="32"/>
          </w:rPr>
          <w:t>MPJI-Cr 4:03.1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BAD CHECK--STOP PAYMENT</w:t>
      </w:r>
    </w:p>
    <w:p w:rsidR="004729FB" w:rsidRDefault="004729FB" w:rsidP="004729FB">
      <w:pPr>
        <w:keepNext/>
        <w:spacing w:before="240" w:line="340" w:lineRule="atLeast"/>
      </w:pPr>
      <w:r>
        <w:br/>
      </w:r>
      <w:r>
        <w:rPr>
          <w:rFonts w:ascii="Arial" w:eastAsia="Arial" w:hAnsi="Arial" w:cs="Arial"/>
          <w:b/>
          <w:color w:val="000000"/>
          <w:sz w:val="28"/>
        </w:rPr>
        <w:t>4:03.1Bad Check--Stop Payment</w:t>
      </w:r>
    </w:p>
    <w:p w:rsidR="004729FB" w:rsidRDefault="004729FB" w:rsidP="004729FB">
      <w:pPr>
        <w:spacing w:line="60" w:lineRule="exact"/>
      </w:pPr>
      <w:r>
        <w:pict>
          <v:line id="_x0000_s1073" style="position:absolute;z-index:2516858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obtaining property or services by a bad check.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obtained property or services by [passing] [issuing] [</w:t>
      </w:r>
      <w:r>
        <w:rPr>
          <w:rFonts w:ascii="Arial" w:eastAsia="Arial" w:hAnsi="Arial" w:cs="Arial"/>
          <w:b/>
          <w:color w:val="000000"/>
          <w:sz w:val="20"/>
          <w:u w:val="single"/>
        </w:rPr>
        <w:t>describe</w:t>
      </w:r>
      <w:r>
        <w:rPr>
          <w:rFonts w:ascii="Arial" w:eastAsia="Arial" w:hAnsi="Arial" w:cs="Arial"/>
          <w:b/>
          <w:color w:val="000000"/>
          <w:sz w:val="20"/>
        </w:rPr>
        <w:t>] [a check] [checks]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[passed] [issued] [</w:t>
      </w:r>
      <w:r>
        <w:rPr>
          <w:rFonts w:ascii="Arial" w:eastAsia="Arial" w:hAnsi="Arial" w:cs="Arial"/>
          <w:b/>
          <w:color w:val="000000"/>
          <w:sz w:val="20"/>
          <w:u w:val="single"/>
        </w:rPr>
        <w:t>describe</w:t>
      </w:r>
      <w:r>
        <w:rPr>
          <w:rFonts w:ascii="Arial" w:eastAsia="Arial" w:hAnsi="Arial" w:cs="Arial"/>
          <w:b/>
          <w:color w:val="000000"/>
          <w:sz w:val="20"/>
        </w:rPr>
        <w:t>] the [check] [checks] with the intent to stop payment on [it] [them]</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stopped payment [without the consent of the payee]; [and]</w:t>
      </w:r>
    </w:p>
    <w:p w:rsidR="004729FB" w:rsidRDefault="004729FB" w:rsidP="004729FB">
      <w:pPr>
        <w:spacing w:before="200" w:line="260" w:lineRule="atLeast"/>
        <w:ind w:left="400"/>
        <w:jc w:val="both"/>
      </w:pPr>
      <w:r>
        <w:rPr>
          <w:rFonts w:ascii="Arial" w:eastAsia="Arial" w:hAnsi="Arial" w:cs="Arial"/>
          <w:b/>
          <w:color w:val="000000"/>
          <w:sz w:val="20"/>
        </w:rPr>
        <w:t>(4) that the [check was] [checks were] dishonored by the institution on which the [check was] [checks were] drawn[; and] [.]</w:t>
      </w:r>
    </w:p>
    <w:p w:rsidR="004729FB" w:rsidRDefault="004729FB" w:rsidP="004729FB">
      <w:pPr>
        <w:spacing w:before="200" w:line="260" w:lineRule="atLeast"/>
        <w:ind w:left="400"/>
        <w:jc w:val="both"/>
      </w:pPr>
      <w:r>
        <w:rPr>
          <w:rFonts w:ascii="Arial" w:eastAsia="Arial" w:hAnsi="Arial" w:cs="Arial"/>
          <w:b/>
          <w:color w:val="000000"/>
          <w:sz w:val="20"/>
        </w:rPr>
        <w:t>[[(5) [that the value of the property or services obtained was at least $ 500] [that the cumulative value of the property or services obtained was at least $ 500, each check was for less than $ 500, and the checks were issued to the same person within a 30 day period].]]</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4:03 (Bad Checks--Insufficient Funds).</w:t>
            </w:r>
          </w:p>
          <w:p w:rsidR="004729FB" w:rsidRDefault="004729FB">
            <w:pPr>
              <w:spacing w:before="200" w:line="260" w:lineRule="atLeast"/>
              <w:ind w:left="60" w:right="360"/>
              <w:jc w:val="both"/>
            </w:pPr>
            <w:r>
              <w:rPr>
                <w:rFonts w:ascii="Arial" w:eastAsia="Arial" w:hAnsi="Arial" w:cs="Arial"/>
                <w:color w:val="000000"/>
                <w:sz w:val="20"/>
              </w:rPr>
              <w:t>To be criminally liable for a "stop payment," the defendant must know or intend that payment will be refused on the check, CRIM. LAW II § 8-103(b)(1), and payment must be refused, § 8-103(b)(2).</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lastRenderedPageBreak/>
        <w:br/>
      </w:r>
      <w:r>
        <w:pict>
          <v:line id="_x0000_s1083" style="position:absolute;left:0;text-align:left;z-index:251696128;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9" name="Picture 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04" w:history="1">
        <w:r>
          <w:rPr>
            <w:rStyle w:val="Hyperlink"/>
            <w:rFonts w:ascii="Arial" w:eastAsia="Arial" w:hAnsi="Arial" w:cs="Arial"/>
            <w:b/>
            <w:bCs/>
            <w:i/>
            <w:color w:val="0077CC"/>
            <w:kern w:val="32"/>
            <w:sz w:val="28"/>
            <w:szCs w:val="32"/>
          </w:rPr>
          <w:t>MPJI-Cr 4:04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CARJACKING</w:t>
      </w:r>
    </w:p>
    <w:p w:rsidR="004729FB" w:rsidRDefault="004729FB" w:rsidP="004729FB">
      <w:pPr>
        <w:keepNext/>
        <w:spacing w:before="240" w:line="340" w:lineRule="atLeast"/>
      </w:pPr>
      <w:r>
        <w:br/>
      </w:r>
      <w:r>
        <w:rPr>
          <w:rFonts w:ascii="Arial" w:eastAsia="Arial" w:hAnsi="Arial" w:cs="Arial"/>
          <w:b/>
          <w:color w:val="000000"/>
          <w:sz w:val="28"/>
        </w:rPr>
        <w:t>4:04Carjacking</w:t>
      </w:r>
    </w:p>
    <w:p w:rsidR="004729FB" w:rsidRDefault="004729FB" w:rsidP="004729FB">
      <w:pPr>
        <w:spacing w:line="60" w:lineRule="exact"/>
      </w:pPr>
      <w:r>
        <w:pict>
          <v:line id="_x0000_s1074" style="position:absolute;z-index:2516869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carjacking. In order to convict the defendant of carjacking,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obtained unauthorized possession or control of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motor vehicle was in the actual possession of another person at that time; and</w:t>
      </w:r>
    </w:p>
    <w:p w:rsidR="004729FB" w:rsidRDefault="004729FB" w:rsidP="004729FB">
      <w:pPr>
        <w:spacing w:before="200" w:line="260" w:lineRule="atLeast"/>
        <w:ind w:left="400"/>
        <w:jc w:val="both"/>
      </w:pPr>
      <w:r>
        <w:rPr>
          <w:rFonts w:ascii="Arial" w:eastAsia="Arial" w:hAnsi="Arial" w:cs="Arial"/>
          <w:b/>
          <w:color w:val="000000"/>
          <w:sz w:val="20"/>
        </w:rPr>
        <w:t>(3) that the defendant used force or violence against that person or put that person in fear, through intimidation or threat of force or violence, in order to obtain the motor vehicle. [A person is in actual possession of a vehicle when that person has control or possession of the vehicle and is in the vehicle or in the immediate vicinity of the vehicle.]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CRIMINAL LAW I § 3-405(b)(1) provides: "An individual may not take unauthorized possession or control of a motor vehicle from another individual who actually possesses the motor vehicle, by force or violence, or by putting that individual in fear through intimidation or threat of force or violence." The fact that the defendant does not intend to permanently deprive the owner or possessor of the vehicle is not a defense. CRIM. LAW I § 3-405(f).</w:t>
            </w:r>
          </w:p>
          <w:p w:rsidR="004729FB" w:rsidRDefault="004729FB">
            <w:pPr>
              <w:spacing w:before="200" w:line="260" w:lineRule="atLeast"/>
              <w:ind w:left="60" w:right="360"/>
              <w:jc w:val="both"/>
            </w:pPr>
            <w:r>
              <w:rPr>
                <w:rFonts w:ascii="Arial" w:eastAsia="Arial" w:hAnsi="Arial" w:cs="Arial"/>
                <w:color w:val="000000"/>
                <w:sz w:val="20"/>
              </w:rPr>
              <w:t xml:space="preserve">The statutory definition of "motor vehicle" encompasses more than automobiles and includes any vehicle that is "self-propelled or propelled by electric power obtained from overhead electrical wires." MD. CODE. ANN., TRANSPORTATION II § 11-135(a)(1)(i) (2012 &amp; Supp. 2016) (hereinafter TRANSP. II or III). It includes motorboats and motorcycles. </w:t>
            </w:r>
            <w:r>
              <w:rPr>
                <w:rFonts w:ascii="Arial" w:eastAsia="Arial" w:hAnsi="Arial" w:cs="Arial"/>
                <w:i/>
                <w:color w:val="000000"/>
                <w:sz w:val="20"/>
              </w:rPr>
              <w:t>See id.</w:t>
            </w:r>
            <w:r>
              <w:rPr>
                <w:rFonts w:ascii="Arial" w:eastAsia="Arial" w:hAnsi="Arial" w:cs="Arial"/>
                <w:color w:val="000000"/>
                <w:sz w:val="20"/>
              </w:rPr>
              <w:t xml:space="preserve"> It excludes vehicles operated on rails. </w:t>
            </w:r>
            <w:r>
              <w:rPr>
                <w:rFonts w:ascii="Arial" w:eastAsia="Arial" w:hAnsi="Arial" w:cs="Arial"/>
                <w:i/>
                <w:color w:val="000000"/>
                <w:sz w:val="20"/>
              </w:rPr>
              <w:t>Id.</w:t>
            </w:r>
            <w:r>
              <w:rPr>
                <w:rFonts w:ascii="Arial" w:eastAsia="Arial" w:hAnsi="Arial" w:cs="Arial"/>
                <w:color w:val="000000"/>
                <w:sz w:val="20"/>
              </w:rPr>
              <w:t xml:space="preserve"> § 11-135(a)(1)(ii). It also excludes a bicycle, even if equipped with an assisting motor.</w:t>
            </w:r>
          </w:p>
          <w:p w:rsidR="004729FB" w:rsidRDefault="004729FB">
            <w:pPr>
              <w:spacing w:before="240" w:line="260" w:lineRule="atLeast"/>
              <w:ind w:left="60" w:right="360"/>
              <w:jc w:val="both"/>
            </w:pPr>
            <w:r>
              <w:rPr>
                <w:rFonts w:ascii="Arial" w:eastAsia="Arial" w:hAnsi="Arial" w:cs="Arial"/>
                <w:color w:val="000000"/>
                <w:sz w:val="20"/>
              </w:rPr>
              <w:t xml:space="preserve">The Maryland General Assembly did not define "actual possession." In </w:t>
            </w:r>
            <w:hyperlink r:id="rId205" w:history="1">
              <w:r>
                <w:rPr>
                  <w:rStyle w:val="Hyperlink"/>
                  <w:rFonts w:ascii="Arial" w:eastAsia="Arial" w:hAnsi="Arial" w:cs="Arial"/>
                  <w:i/>
                  <w:color w:val="0077CC"/>
                  <w:sz w:val="20"/>
                </w:rPr>
                <w:t>Mobley v. State, 111 Md. App. 446, 681 A.2d 1186,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344 Md. 117, 685 A.2d 452 (1996),</w:t>
            </w:r>
            <w:r>
              <w:rPr>
                <w:rFonts w:ascii="Arial" w:eastAsia="Arial" w:hAnsi="Arial" w:cs="Arial"/>
                <w:color w:val="000000"/>
                <w:sz w:val="20"/>
              </w:rPr>
              <w:t xml:space="preserve"> the Court of Special Appeals explained that, by use of the phrase "actual possession," the legislature meant that "a carjacking occurs when a vehicle is forcibly taken from the care, custody, control, management or possession of one having a right superior to that of the carjacker." </w:t>
            </w:r>
            <w:hyperlink r:id="rId206" w:history="1">
              <w:r>
                <w:rPr>
                  <w:rStyle w:val="Hyperlink"/>
                  <w:rFonts w:ascii="Arial" w:eastAsia="Arial" w:hAnsi="Arial" w:cs="Arial"/>
                  <w:i/>
                  <w:color w:val="0077CC"/>
                  <w:sz w:val="20"/>
                </w:rPr>
                <w:t>Id. at 454, 681 A.2d at 1190.</w:t>
              </w:r>
            </w:hyperlink>
            <w:r>
              <w:rPr>
                <w:rFonts w:ascii="Arial" w:eastAsia="Arial" w:hAnsi="Arial" w:cs="Arial"/>
                <w:color w:val="000000"/>
                <w:sz w:val="20"/>
              </w:rPr>
              <w:t xml:space="preserve"> The Court also stated:</w:t>
            </w:r>
          </w:p>
          <w:p w:rsidR="004729FB" w:rsidRDefault="004729FB">
            <w:pPr>
              <w:spacing w:before="60" w:line="260" w:lineRule="atLeast"/>
              <w:ind w:left="460" w:right="360"/>
              <w:jc w:val="both"/>
            </w:pPr>
            <w:r>
              <w:rPr>
                <w:rFonts w:ascii="Arial" w:eastAsia="Arial" w:hAnsi="Arial" w:cs="Arial"/>
                <w:color w:val="000000"/>
                <w:sz w:val="20"/>
              </w:rPr>
              <w:t xml:space="preserve">[T]he victim need not actually be seated in, or operating the vehicle in order for a carjacking or </w:t>
            </w:r>
            <w:r>
              <w:rPr>
                <w:rFonts w:ascii="Arial" w:eastAsia="Arial" w:hAnsi="Arial" w:cs="Arial"/>
                <w:color w:val="000000"/>
                <w:sz w:val="20"/>
              </w:rPr>
              <w:lastRenderedPageBreak/>
              <w:t>attempted carjacking to be consummated. Rather, the victim need only be entering, alighting from, or otherwise in the immediate vicinity of the vehicle when an individual obtains unauthorized possession or control of the vehicle by intimidation, force, violence, or by threat of force or violence.</w:t>
            </w:r>
          </w:p>
          <w:p w:rsidR="004729FB" w:rsidRDefault="004729FB">
            <w:pPr>
              <w:spacing w:before="240" w:line="260" w:lineRule="atLeast"/>
              <w:ind w:left="60" w:right="360"/>
              <w:jc w:val="both"/>
            </w:pPr>
            <w:hyperlink r:id="rId207" w:history="1">
              <w:r>
                <w:rPr>
                  <w:rStyle w:val="Hyperlink"/>
                  <w:rFonts w:ascii="Arial" w:eastAsia="Arial" w:hAnsi="Arial" w:cs="Arial"/>
                  <w:i/>
                  <w:color w:val="0077CC"/>
                  <w:sz w:val="20"/>
                </w:rPr>
                <w:t>Id. at 455, 681 A.2d at 1190.</w:t>
              </w:r>
            </w:hyperlink>
            <w:r>
              <w:rPr>
                <w:rFonts w:ascii="Arial" w:eastAsia="Arial" w:hAnsi="Arial" w:cs="Arial"/>
                <w:color w:val="000000"/>
                <w:sz w:val="20"/>
              </w:rPr>
              <w:t xml:space="preserve"> In </w:t>
            </w:r>
            <w:hyperlink r:id="rId208" w:history="1">
              <w:r>
                <w:rPr>
                  <w:rStyle w:val="Hyperlink"/>
                  <w:rFonts w:ascii="Arial" w:eastAsia="Arial" w:hAnsi="Arial" w:cs="Arial"/>
                  <w:i/>
                  <w:color w:val="0077CC"/>
                  <w:sz w:val="20"/>
                </w:rPr>
                <w:t>Price v. State, 111 Md. App. 487, 681 A.2d 1206 (1996),</w:t>
              </w:r>
            </w:hyperlink>
            <w:r>
              <w:rPr>
                <w:rFonts w:ascii="Arial" w:eastAsia="Arial" w:hAnsi="Arial" w:cs="Arial"/>
                <w:color w:val="000000"/>
                <w:sz w:val="20"/>
              </w:rPr>
              <w:t xml:space="preserve"> the Court of Special Appeals held that, by standing outside of the vehicle, next to the hood, the driver was in "actual possession" of the vehicle. "[T]he vehicle was so within the victim's reach, inspection, observation and control, that she could, 'if not overcome by violence or prevented by fear, [have] retain[ed] [her] possession of it.'" </w:t>
            </w:r>
            <w:hyperlink r:id="rId209" w:history="1">
              <w:r>
                <w:rPr>
                  <w:rStyle w:val="Hyperlink"/>
                  <w:rFonts w:ascii="Arial" w:eastAsia="Arial" w:hAnsi="Arial" w:cs="Arial"/>
                  <w:i/>
                  <w:color w:val="0077CC"/>
                  <w:sz w:val="20"/>
                </w:rPr>
                <w:t>Id. at 499, 681 A.2d at 1212</w:t>
              </w:r>
            </w:hyperlink>
            <w:r>
              <w:rPr>
                <w:rFonts w:ascii="Arial" w:eastAsia="Arial" w:hAnsi="Arial" w:cs="Arial"/>
                <w:color w:val="000000"/>
                <w:sz w:val="20"/>
              </w:rPr>
              <w:t xml:space="preserve"> (quoting </w:t>
            </w:r>
            <w:hyperlink r:id="rId210" w:history="1">
              <w:r>
                <w:rPr>
                  <w:rStyle w:val="Hyperlink"/>
                  <w:rFonts w:ascii="Arial" w:eastAsia="Arial" w:hAnsi="Arial" w:cs="Arial"/>
                  <w:i/>
                  <w:color w:val="0077CC"/>
                  <w:sz w:val="20"/>
                </w:rPr>
                <w:t>Foster v. State, 297 Md. 191, 213, 464 A.2d 986, 998 (1983));</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211" w:history="1">
              <w:r>
                <w:rPr>
                  <w:rStyle w:val="Hyperlink"/>
                  <w:rFonts w:ascii="Arial" w:eastAsia="Arial" w:hAnsi="Arial" w:cs="Arial"/>
                  <w:i/>
                  <w:color w:val="0077CC"/>
                  <w:sz w:val="20"/>
                </w:rPr>
                <w:t>Reeves v. State, 192 Md. App. 277, 994 A.2d 469 (2010)</w:t>
              </w:r>
            </w:hyperlink>
            <w:r>
              <w:rPr>
                <w:rFonts w:ascii="Arial" w:eastAsia="Arial" w:hAnsi="Arial" w:cs="Arial"/>
                <w:color w:val="000000"/>
                <w:sz w:val="20"/>
              </w:rPr>
              <w:t xml:space="preserve"> (finding that a van owner was in actual possession of his van when he was standing outside his home with the keys in his hand and the car was parked in the adjacent driveway).</w:t>
            </w:r>
          </w:p>
          <w:p w:rsidR="004729FB" w:rsidRDefault="004729FB">
            <w:pPr>
              <w:spacing w:before="240" w:line="260" w:lineRule="atLeast"/>
              <w:ind w:left="60" w:right="360"/>
              <w:jc w:val="both"/>
            </w:pPr>
            <w:r>
              <w:rPr>
                <w:rFonts w:ascii="Arial" w:eastAsia="Arial" w:hAnsi="Arial" w:cs="Arial"/>
                <w:color w:val="000000"/>
                <w:sz w:val="20"/>
              </w:rPr>
              <w:t xml:space="preserve">Carjacking is a general intent crime. In </w:t>
            </w:r>
            <w:hyperlink r:id="rId212" w:history="1">
              <w:r>
                <w:rPr>
                  <w:rStyle w:val="Hyperlink"/>
                  <w:rFonts w:ascii="Arial" w:eastAsia="Arial" w:hAnsi="Arial" w:cs="Arial"/>
                  <w:i/>
                  <w:color w:val="0077CC"/>
                  <w:sz w:val="20"/>
                </w:rPr>
                <w:t>Harris v. State, 353 Md. 596, 728 A.2d 180 (1999),</w:t>
              </w:r>
            </w:hyperlink>
            <w:r>
              <w:rPr>
                <w:rFonts w:ascii="Arial" w:eastAsia="Arial" w:hAnsi="Arial" w:cs="Arial"/>
                <w:color w:val="000000"/>
                <w:sz w:val="20"/>
              </w:rPr>
              <w:t xml:space="preserve"> the Court of Appeals stated: "[T]he Legislature did not intend to require a specific intent to achieve some additional consequence beyond the immediate act of taking the vehicle." </w:t>
            </w:r>
            <w:hyperlink r:id="rId213" w:history="1">
              <w:r>
                <w:rPr>
                  <w:rStyle w:val="Hyperlink"/>
                  <w:rFonts w:ascii="Arial" w:eastAsia="Arial" w:hAnsi="Arial" w:cs="Arial"/>
                  <w:i/>
                  <w:color w:val="0077CC"/>
                  <w:sz w:val="20"/>
                </w:rPr>
                <w:t>Id. at 610, 728 A.2d at 186.</w:t>
              </w:r>
            </w:hyperlink>
            <w:r>
              <w:rPr>
                <w:rFonts w:ascii="Arial" w:eastAsia="Arial" w:hAnsi="Arial" w:cs="Arial"/>
                <w:color w:val="000000"/>
                <w:sz w:val="20"/>
              </w:rPr>
              <w:t xml:space="preserve"> "Unlike robbery, the carjacking statute requires no movement or asportation, only unauthorized possession or control." </w:t>
            </w:r>
            <w:hyperlink r:id="rId214" w:history="1">
              <w:r>
                <w:rPr>
                  <w:rStyle w:val="Hyperlink"/>
                  <w:rFonts w:ascii="Arial" w:eastAsia="Arial" w:hAnsi="Arial" w:cs="Arial"/>
                  <w:i/>
                  <w:color w:val="0077CC"/>
                  <w:sz w:val="20"/>
                </w:rPr>
                <w:t>Id. at 615, 728 A.2d at 189.</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84" style="position:absolute;left:0;text-align:left;z-index:251697152;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8" name="Picture 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15" w:history="1">
        <w:r>
          <w:rPr>
            <w:rStyle w:val="Hyperlink"/>
            <w:rFonts w:ascii="Arial" w:eastAsia="Arial" w:hAnsi="Arial" w:cs="Arial"/>
            <w:b/>
            <w:bCs/>
            <w:i/>
            <w:color w:val="0077CC"/>
            <w:kern w:val="32"/>
            <w:sz w:val="28"/>
            <w:szCs w:val="32"/>
          </w:rPr>
          <w:t>MPJI-Cr 4:04.1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ARMED CARJACKING</w:t>
      </w:r>
    </w:p>
    <w:p w:rsidR="004729FB" w:rsidRDefault="004729FB" w:rsidP="004729FB">
      <w:pPr>
        <w:keepNext/>
        <w:spacing w:before="240" w:line="340" w:lineRule="atLeast"/>
      </w:pPr>
      <w:r>
        <w:br/>
      </w:r>
      <w:r>
        <w:rPr>
          <w:rFonts w:ascii="Arial" w:eastAsia="Arial" w:hAnsi="Arial" w:cs="Arial"/>
          <w:b/>
          <w:color w:val="000000"/>
          <w:sz w:val="28"/>
        </w:rPr>
        <w:t>4:04.1Armed Carjacking</w:t>
      </w:r>
    </w:p>
    <w:p w:rsidR="004729FB" w:rsidRDefault="004729FB" w:rsidP="004729FB">
      <w:pPr>
        <w:spacing w:line="60" w:lineRule="exact"/>
      </w:pPr>
      <w:r>
        <w:pict>
          <v:line id="_x0000_s1075" style="position:absolute;z-index:2516879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also is charged with the crime of armed carjacking. In order to convict the defendant of armed carjacking, the State must prove all of the elements of carjacking and also must prove that the defendant committed the carjacking by using a dangerous weapon. A dangerous weapon is an object that is capable of causing death or serious bodily harm</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4:04 (Carjacking); MPJI-Cr 4:28.1 (Robbery with a Dangerous Weapon).</w:t>
            </w:r>
          </w:p>
          <w:p w:rsidR="004729FB" w:rsidRDefault="004729FB">
            <w:pPr>
              <w:spacing w:before="200" w:line="260" w:lineRule="atLeast"/>
              <w:ind w:left="60" w:right="360"/>
              <w:jc w:val="both"/>
            </w:pPr>
            <w:r>
              <w:rPr>
                <w:rFonts w:ascii="Arial" w:eastAsia="Arial" w:hAnsi="Arial" w:cs="Arial"/>
                <w:color w:val="000000"/>
                <w:sz w:val="20"/>
              </w:rPr>
              <w:t>CRIMINAL LAW I § 3-405(c)(1) provides: "A person may not employ or display a dangerous weapon during the commission of a carjacking."</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85" style="position:absolute;left:0;text-align:left;z-index:251698176;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7" name="Picture 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16" w:history="1">
        <w:r>
          <w:rPr>
            <w:rStyle w:val="Hyperlink"/>
            <w:rFonts w:ascii="Arial" w:eastAsia="Arial" w:hAnsi="Arial" w:cs="Arial"/>
            <w:b/>
            <w:bCs/>
            <w:i/>
            <w:color w:val="0077CC"/>
            <w:kern w:val="32"/>
            <w:sz w:val="28"/>
            <w:szCs w:val="32"/>
          </w:rPr>
          <w:t>MPJI-Cr 4:05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BRIBERY AND ATTEMPTED BRIBERY--BRIBERS</w:t>
      </w:r>
    </w:p>
    <w:p w:rsidR="004729FB" w:rsidRDefault="004729FB" w:rsidP="004729FB">
      <w:pPr>
        <w:keepNext/>
        <w:spacing w:before="240" w:line="340" w:lineRule="atLeast"/>
      </w:pPr>
      <w:r>
        <w:br/>
      </w:r>
      <w:r>
        <w:rPr>
          <w:rFonts w:ascii="Arial" w:eastAsia="Arial" w:hAnsi="Arial" w:cs="Arial"/>
          <w:b/>
          <w:color w:val="000000"/>
          <w:sz w:val="28"/>
        </w:rPr>
        <w:t>4:05Bribery and Attempted Bribery--Bribers</w:t>
      </w:r>
    </w:p>
    <w:p w:rsidR="004729FB" w:rsidRDefault="004729FB" w:rsidP="004729FB">
      <w:pPr>
        <w:spacing w:line="60" w:lineRule="exact"/>
      </w:pPr>
      <w:r>
        <w:pict>
          <v:line id="_x0000_s1076" style="position:absolute;z-index:2516889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[attempted bribery] [bribery]. In order to convict the defendant of [attempted bribery] [bribery],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[offered] [gave] something of value to an officer or employee of (</w:t>
      </w:r>
      <w:r>
        <w:rPr>
          <w:rFonts w:ascii="Arial" w:eastAsia="Arial" w:hAnsi="Arial" w:cs="Arial"/>
          <w:b/>
          <w:color w:val="000000"/>
          <w:sz w:val="20"/>
          <w:u w:val="single"/>
        </w:rPr>
        <w:t>statutory category</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something of value was [offered] [given] for the corrupt purpose of influencing the officer or employee in the performance of [his] [her] official duties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 xml:space="preserve">Bribery consists of "the corrupt payment or receipt of a private price for official action." </w:t>
            </w:r>
            <w:hyperlink r:id="rId217" w:history="1">
              <w:r>
                <w:rPr>
                  <w:rStyle w:val="Hyperlink"/>
                  <w:rFonts w:ascii="Arial" w:eastAsia="Arial" w:hAnsi="Arial" w:cs="Arial"/>
                  <w:i/>
                  <w:color w:val="0077CC"/>
                  <w:sz w:val="20"/>
                </w:rPr>
                <w:t>State v. Canova, 278 Md. 483, 485, 365 A.2d 988, 990 (1976)</w:t>
              </w:r>
            </w:hyperlink>
            <w:r>
              <w:rPr>
                <w:rFonts w:ascii="Arial" w:eastAsia="Arial" w:hAnsi="Arial" w:cs="Arial"/>
                <w:color w:val="000000"/>
                <w:sz w:val="20"/>
              </w:rPr>
              <w:t xml:space="preserve"> (internal quotation marks and citation omitted); ROLLIN M. PERKINS &amp; RONALD N. BOYCE, CRIMINAL LAW § 5.3, at 526-30 (3d ed. 1982).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10 </w:t>
            </w:r>
            <w:r>
              <w:rPr>
                <w:rFonts w:ascii="Arial" w:eastAsia="Arial" w:hAnsi="Arial" w:cs="Arial"/>
                <w:i/>
                <w:color w:val="000000"/>
                <w:sz w:val="20"/>
              </w:rPr>
              <w:t>et seq.</w:t>
            </w:r>
            <w:r>
              <w:rPr>
                <w:rFonts w:ascii="Arial" w:eastAsia="Arial" w:hAnsi="Arial" w:cs="Arial"/>
                <w:color w:val="000000"/>
                <w:sz w:val="20"/>
              </w:rPr>
              <w:t xml:space="preserve">, at 109-15 (1983 &amp; Supp. 1990). A payment is made or received corruptly if it is made illegitimately, in breach of trust or in violation of duty, i.e., for the purpose of improperly influencing official action. PERKINS &amp; BOYCE, </w:t>
            </w:r>
            <w:r>
              <w:rPr>
                <w:rFonts w:ascii="Arial" w:eastAsia="Arial" w:hAnsi="Arial" w:cs="Arial"/>
                <w:i/>
                <w:color w:val="000000"/>
                <w:sz w:val="20"/>
              </w:rPr>
              <w:t>supra</w:t>
            </w:r>
            <w:r>
              <w:rPr>
                <w:rFonts w:ascii="Arial" w:eastAsia="Arial" w:hAnsi="Arial" w:cs="Arial"/>
                <w:color w:val="000000"/>
                <w:sz w:val="20"/>
              </w:rPr>
              <w:t xml:space="preserve">, at 527-28; </w:t>
            </w:r>
            <w:r>
              <w:rPr>
                <w:rFonts w:ascii="Arial" w:eastAsia="Arial" w:hAnsi="Arial" w:cs="Arial"/>
                <w:i/>
                <w:color w:val="000000"/>
                <w:sz w:val="20"/>
              </w:rPr>
              <w:t xml:space="preserve">see </w:t>
            </w:r>
            <w:hyperlink r:id="rId218" w:history="1">
              <w:r>
                <w:rPr>
                  <w:rStyle w:val="Hyperlink"/>
                  <w:rFonts w:ascii="Arial" w:eastAsia="Arial" w:hAnsi="Arial" w:cs="Arial"/>
                  <w:i/>
                  <w:color w:val="0077CC"/>
                  <w:sz w:val="20"/>
                </w:rPr>
                <w:t>Spector v. State, 289 Md. 407, 433, 425 A2d 197, 209,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452 U.S. 906 (1981).</w:t>
            </w:r>
          </w:p>
          <w:p w:rsidR="004729FB" w:rsidRDefault="004729FB">
            <w:pPr>
              <w:spacing w:before="200" w:line="260" w:lineRule="atLeast"/>
              <w:ind w:left="60" w:right="360"/>
              <w:jc w:val="both"/>
            </w:pPr>
            <w:r>
              <w:rPr>
                <w:rFonts w:ascii="Arial" w:eastAsia="Arial" w:hAnsi="Arial" w:cs="Arial"/>
                <w:color w:val="000000"/>
                <w:sz w:val="20"/>
              </w:rPr>
              <w:t>To constitute a bribe, the person to whom the valuable consideration is offered or given, or by whom it was demanded or received, must fall within one of the classes specifically designated by the statute. These classes consist of any executive or judicial officer of the State, any General Assembly member, any officer or employee of the State, any county, municipality or other political subdivision of the State or any bi-county or multi-county agency, any member or officer of any municipal corporation and any member of the Baltimore City or State Police. CRIM. LAW II § 9-201(a). Additionally, sections 202 through 205 cover bribery of jurors, voters, athletic contest participants, and witnesses.</w:t>
            </w:r>
          </w:p>
          <w:p w:rsidR="004729FB" w:rsidRDefault="004729FB">
            <w:pPr>
              <w:spacing w:before="240" w:line="260" w:lineRule="atLeast"/>
              <w:ind w:left="60" w:right="360"/>
              <w:jc w:val="both"/>
            </w:pPr>
            <w:r>
              <w:rPr>
                <w:rFonts w:ascii="Arial" w:eastAsia="Arial" w:hAnsi="Arial" w:cs="Arial"/>
                <w:color w:val="000000"/>
                <w:sz w:val="20"/>
              </w:rPr>
              <w:t>If a payment is shown, it is not necessary for the State to prove that the payment was a "</w:t>
            </w:r>
            <w:r>
              <w:rPr>
                <w:rFonts w:ascii="Arial" w:eastAsia="Arial" w:hAnsi="Arial" w:cs="Arial"/>
                <w:i/>
                <w:color w:val="000000"/>
                <w:sz w:val="20"/>
              </w:rPr>
              <w:t>quid pro quo</w:t>
            </w:r>
            <w:r>
              <w:rPr>
                <w:rFonts w:ascii="Arial" w:eastAsia="Arial" w:hAnsi="Arial" w:cs="Arial"/>
                <w:color w:val="000000"/>
                <w:sz w:val="20"/>
              </w:rPr>
              <w:t xml:space="preserve"> for specific action." </w:t>
            </w:r>
            <w:hyperlink r:id="rId219" w:history="1">
              <w:r>
                <w:rPr>
                  <w:rStyle w:val="Hyperlink"/>
                  <w:rFonts w:ascii="Arial" w:eastAsia="Arial" w:hAnsi="Arial" w:cs="Arial"/>
                  <w:i/>
                  <w:color w:val="0077CC"/>
                  <w:sz w:val="20"/>
                </w:rPr>
                <w:t>Spector, 289 Md. at 433, 425 A.2d at 209</w:t>
              </w:r>
            </w:hyperlink>
            <w:r>
              <w:rPr>
                <w:rFonts w:ascii="Arial" w:eastAsia="Arial" w:hAnsi="Arial" w:cs="Arial"/>
                <w:color w:val="000000"/>
                <w:sz w:val="20"/>
              </w:rPr>
              <w:t xml:space="preserve"> (quoting </w:t>
            </w:r>
            <w:hyperlink r:id="rId220" w:history="1">
              <w:r>
                <w:rPr>
                  <w:rStyle w:val="Hyperlink"/>
                  <w:rFonts w:ascii="Arial" w:eastAsia="Arial" w:hAnsi="Arial" w:cs="Arial"/>
                  <w:i/>
                  <w:color w:val="0077CC"/>
                  <w:sz w:val="20"/>
                </w:rPr>
                <w:t>United States v. L'Hoste, 609 F.2d 796, 807-08 (5th Cir. 1980)).</w:t>
              </w:r>
            </w:hyperlink>
            <w:r>
              <w:rPr>
                <w:rFonts w:ascii="Arial" w:eastAsia="Arial" w:hAnsi="Arial" w:cs="Arial"/>
                <w:color w:val="000000"/>
                <w:sz w:val="20"/>
              </w:rPr>
              <w:t xml:space="preserve"> Rather, the State must prove that the payment was made "with the intent to influence the conduct of the public servant in relation to his position, employment, or duty." </w:t>
            </w:r>
            <w:r>
              <w:rPr>
                <w:rFonts w:ascii="Arial" w:eastAsia="Arial" w:hAnsi="Arial" w:cs="Arial"/>
                <w:i/>
                <w:color w:val="000000"/>
                <w:sz w:val="20"/>
              </w:rPr>
              <w:t>Id.</w:t>
            </w:r>
            <w:r>
              <w:rPr>
                <w:rFonts w:ascii="Arial" w:eastAsia="Arial" w:hAnsi="Arial" w:cs="Arial"/>
                <w:color w:val="000000"/>
                <w:sz w:val="20"/>
              </w:rPr>
              <w:t xml:space="preserve"> (quoting </w:t>
            </w:r>
            <w:hyperlink r:id="rId221" w:history="1">
              <w:r>
                <w:rPr>
                  <w:rStyle w:val="Hyperlink"/>
                  <w:rFonts w:ascii="Arial" w:eastAsia="Arial" w:hAnsi="Arial" w:cs="Arial"/>
                  <w:i/>
                  <w:color w:val="0077CC"/>
                  <w:sz w:val="20"/>
                </w:rPr>
                <w:t>L'Hoste, 609 F.2d at 807-08).</w:t>
              </w:r>
            </w:hyperlink>
          </w:p>
          <w:p w:rsidR="004729FB" w:rsidRDefault="004729FB">
            <w:pPr>
              <w:spacing w:before="240" w:line="260" w:lineRule="atLeast"/>
              <w:ind w:left="60" w:right="360"/>
              <w:jc w:val="both"/>
            </w:pPr>
            <w:r>
              <w:rPr>
                <w:rFonts w:ascii="Arial" w:eastAsia="Arial" w:hAnsi="Arial" w:cs="Arial"/>
                <w:color w:val="000000"/>
                <w:sz w:val="20"/>
              </w:rPr>
              <w:t xml:space="preserve">It is not a defense to bribery that the public official, acting in his official capacity, did not have the authority or power to perform the act envisioned by the briber. </w:t>
            </w:r>
            <w:hyperlink r:id="rId222" w:history="1">
              <w:r>
                <w:rPr>
                  <w:rStyle w:val="Hyperlink"/>
                  <w:rFonts w:ascii="Arial" w:eastAsia="Arial" w:hAnsi="Arial" w:cs="Arial"/>
                  <w:i/>
                  <w:color w:val="0077CC"/>
                  <w:sz w:val="20"/>
                </w:rPr>
                <w:t>Thomas v. State, 413 Md. 247, 257-61, 992 A.2d 423, 429-31 (2010).</w:t>
              </w:r>
            </w:hyperlink>
            <w:r>
              <w:rPr>
                <w:rFonts w:ascii="Arial" w:eastAsia="Arial" w:hAnsi="Arial" w:cs="Arial"/>
                <w:color w:val="000000"/>
                <w:sz w:val="20"/>
              </w:rPr>
              <w:t xml:space="preserve"> Rather, the "lack of actual authority" may be a defense "only when the act that is the object of bribery is completely and utterly unrelated to a public employee's official duties." </w:t>
            </w:r>
            <w:hyperlink r:id="rId223" w:history="1">
              <w:r>
                <w:rPr>
                  <w:rStyle w:val="Hyperlink"/>
                  <w:rFonts w:ascii="Arial" w:eastAsia="Arial" w:hAnsi="Arial" w:cs="Arial"/>
                  <w:i/>
                  <w:color w:val="0077CC"/>
                  <w:sz w:val="20"/>
                </w:rPr>
                <w:t>Id. at 259, 992 A.2d at 430.</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86" style="position:absolute;z-index:25169920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4:05.1.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3" style="position:absolute;left:0;text-align:left;z-index:251706368;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6" name="Picture 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24" w:history="1">
        <w:r>
          <w:rPr>
            <w:rStyle w:val="Hyperlink"/>
            <w:rFonts w:ascii="Arial" w:eastAsia="Arial" w:hAnsi="Arial" w:cs="Arial"/>
            <w:b/>
            <w:bCs/>
            <w:i/>
            <w:color w:val="0077CC"/>
            <w:kern w:val="32"/>
            <w:sz w:val="28"/>
            <w:szCs w:val="32"/>
          </w:rPr>
          <w:t>MPJI-Cr 4:05.1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BRIBERY AND ATTEMPTED BRIBERY--BRIBEES</w:t>
      </w:r>
    </w:p>
    <w:p w:rsidR="004729FB" w:rsidRDefault="004729FB" w:rsidP="004729FB">
      <w:pPr>
        <w:keepNext/>
        <w:spacing w:before="240" w:line="340" w:lineRule="atLeast"/>
      </w:pPr>
      <w:r>
        <w:br/>
      </w:r>
      <w:r>
        <w:rPr>
          <w:rFonts w:ascii="Arial" w:eastAsia="Arial" w:hAnsi="Arial" w:cs="Arial"/>
          <w:b/>
          <w:color w:val="000000"/>
          <w:sz w:val="28"/>
        </w:rPr>
        <w:t>4:05.1Bribery and Attempted Bribery--Bribees</w:t>
      </w:r>
    </w:p>
    <w:p w:rsidR="004729FB" w:rsidRDefault="004729FB" w:rsidP="004729FB">
      <w:pPr>
        <w:spacing w:line="60" w:lineRule="exact"/>
      </w:pPr>
      <w:r>
        <w:pict>
          <v:line id="_x0000_s1077" style="position:absolute;z-index:2516899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bribery. In order to convict the defendant of bribery,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an officer or employee of (</w:t>
      </w:r>
      <w:r>
        <w:rPr>
          <w:rFonts w:ascii="Arial" w:eastAsia="Arial" w:hAnsi="Arial" w:cs="Arial"/>
          <w:b/>
          <w:color w:val="000000"/>
          <w:sz w:val="20"/>
          <w:u w:val="single"/>
        </w:rPr>
        <w:t>statutory category</w:t>
      </w:r>
      <w:r>
        <w:rPr>
          <w:rFonts w:ascii="Arial" w:eastAsia="Arial" w:hAnsi="Arial" w:cs="Arial"/>
          <w:b/>
          <w:color w:val="000000"/>
          <w:sz w:val="20"/>
        </w:rPr>
        <w:t>) who corruptly [demanded] [received] something of value from another;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for the purpose of influencing the defendant in the performance of [his] [her] official duties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4:05 (Bribery and Attempted Bribery--Bribers).</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87" style="position:absolute;z-index:25170022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4" style="position:absolute;left:0;text-align:left;z-index:251707392;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5" name="Picture 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25" w:history="1">
        <w:r>
          <w:rPr>
            <w:rStyle w:val="Hyperlink"/>
            <w:rFonts w:ascii="Arial" w:eastAsia="Arial" w:hAnsi="Arial" w:cs="Arial"/>
            <w:b/>
            <w:bCs/>
            <w:i/>
            <w:color w:val="0077CC"/>
            <w:kern w:val="32"/>
            <w:sz w:val="28"/>
            <w:szCs w:val="32"/>
          </w:rPr>
          <w:t>MPJI-Cr 4:06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BURGLARY--FIRST DEGREE</w:t>
      </w:r>
    </w:p>
    <w:p w:rsidR="004729FB" w:rsidRDefault="004729FB" w:rsidP="004729FB">
      <w:pPr>
        <w:keepNext/>
        <w:spacing w:before="240" w:line="340" w:lineRule="atLeast"/>
      </w:pPr>
      <w:r>
        <w:br/>
      </w:r>
      <w:r>
        <w:rPr>
          <w:rFonts w:ascii="Arial" w:eastAsia="Arial" w:hAnsi="Arial" w:cs="Arial"/>
          <w:b/>
          <w:color w:val="000000"/>
          <w:sz w:val="28"/>
        </w:rPr>
        <w:t>4:06Burglary--First Degree</w:t>
      </w:r>
    </w:p>
    <w:p w:rsidR="004729FB" w:rsidRDefault="004729FB" w:rsidP="004729FB">
      <w:pPr>
        <w:spacing w:line="60" w:lineRule="exact"/>
      </w:pPr>
      <w:r>
        <w:pict>
          <v:line id="_x0000_s1078" style="position:absolute;z-index:25169100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burglary in the first degree. Burglary in the first degree is the breaking and entering of someone else's dwelling with the intent to commit theft. In order to convict the defendant of burglary in the first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theft inside the dwelling; 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In 2014, the Maryland General Assembly distinguished burglary with the intent to commit theft (called "burglary in the first degree") from burglary with the intent to commit a crime of violence (called "home invasion"), and provided an enhanced twenty-five year sentence for home invasion. Md. Laws 2014, ch. 218. MPJI-Cr 4:06 addresses burglary in the first degree. MPJI-Cr 4:06A addresses home invasion.</w:t>
            </w:r>
          </w:p>
          <w:p w:rsidR="004729FB" w:rsidRDefault="004729FB">
            <w:pPr>
              <w:spacing w:before="200" w:line="260" w:lineRule="atLeast"/>
              <w:ind w:left="60" w:right="360"/>
              <w:jc w:val="both"/>
            </w:pPr>
            <w:r>
              <w:rPr>
                <w:rFonts w:ascii="Arial" w:eastAsia="Arial" w:hAnsi="Arial" w:cs="Arial"/>
                <w:color w:val="000000"/>
                <w:sz w:val="20"/>
              </w:rPr>
              <w:t xml:space="preserve">Common law burglary is the breaking and entering of the dwelling house of another in the nighttime with the intent to commit a felony therein. </w:t>
            </w:r>
            <w:hyperlink r:id="rId226" w:history="1">
              <w:r>
                <w:rPr>
                  <w:rStyle w:val="Hyperlink"/>
                  <w:rFonts w:ascii="Arial" w:eastAsia="Arial" w:hAnsi="Arial" w:cs="Arial"/>
                  <w:i/>
                  <w:color w:val="0077CC"/>
                  <w:sz w:val="20"/>
                </w:rPr>
                <w:t>Muir v. State, 64 Md. App. 648, 498 A.2d 666 (1985),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27" w:history="1">
              <w:r>
                <w:rPr>
                  <w:rStyle w:val="Hyperlink"/>
                  <w:rFonts w:ascii="Arial" w:eastAsia="Arial" w:hAnsi="Arial" w:cs="Arial"/>
                  <w:i/>
                  <w:color w:val="0077CC"/>
                  <w:sz w:val="20"/>
                </w:rPr>
                <w:t>308 Md. 208, 517 A.2d 1105 (1986).</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WAYNE R. LAFAVE, CRIMINAL LAW § 21.1, at 1069-79 (5th ed. 2010); ROLLIN M. PERKINS &amp; RONALD N. BOYCE, CRIMINAL LAW 246-69 (3d ed. 1982). This crime has been codified in CRIM. LAW I § 6-202. Under the statute, first degree burglary is common law burglary, but (1) with the nighttime requirement eliminated and (2) with the mental state modified to "with the intent to </w:t>
            </w:r>
            <w:r>
              <w:rPr>
                <w:rFonts w:ascii="Arial" w:eastAsia="Arial" w:hAnsi="Arial" w:cs="Arial"/>
                <w:color w:val="000000"/>
                <w:sz w:val="20"/>
              </w:rPr>
              <w:lastRenderedPageBreak/>
              <w:t xml:space="preserve">commit theft or a crime of violence." CRIM. LAW I § 6-202(a); </w:t>
            </w:r>
            <w:r>
              <w:rPr>
                <w:rFonts w:ascii="Arial" w:eastAsia="Arial" w:hAnsi="Arial" w:cs="Arial"/>
                <w:i/>
                <w:color w:val="000000"/>
                <w:sz w:val="20"/>
              </w:rPr>
              <w:t xml:space="preserve">see </w:t>
            </w:r>
            <w:hyperlink r:id="rId228" w:history="1">
              <w:r>
                <w:rPr>
                  <w:rStyle w:val="Hyperlink"/>
                  <w:rFonts w:ascii="Arial" w:eastAsia="Arial" w:hAnsi="Arial" w:cs="Arial"/>
                  <w:i/>
                  <w:color w:val="0077CC"/>
                  <w:sz w:val="20"/>
                </w:rPr>
                <w:t>Mitchell v. State, 132 Md. App. 312, 357, 752 A.2d 653, 678 (2000),</w:t>
              </w:r>
            </w:hyperlink>
            <w:r>
              <w:rPr>
                <w:rFonts w:ascii="Arial" w:eastAsia="Arial" w:hAnsi="Arial" w:cs="Arial"/>
                <w:color w:val="000000"/>
                <w:sz w:val="20"/>
              </w:rPr>
              <w:t xml:space="preserve"> </w:t>
            </w:r>
            <w:r>
              <w:rPr>
                <w:rFonts w:ascii="Arial" w:eastAsia="Arial" w:hAnsi="Arial" w:cs="Arial"/>
                <w:i/>
                <w:color w:val="000000"/>
                <w:sz w:val="20"/>
              </w:rPr>
              <w:t>rev'd on other grounds</w:t>
            </w:r>
            <w:r>
              <w:rPr>
                <w:rFonts w:ascii="Arial" w:eastAsia="Arial" w:hAnsi="Arial" w:cs="Arial"/>
                <w:color w:val="000000"/>
                <w:sz w:val="20"/>
              </w:rPr>
              <w:t xml:space="preserve">, </w:t>
            </w:r>
            <w:hyperlink r:id="rId229" w:history="1">
              <w:r>
                <w:rPr>
                  <w:rStyle w:val="Hyperlink"/>
                  <w:rFonts w:ascii="Arial" w:eastAsia="Arial" w:hAnsi="Arial" w:cs="Arial"/>
                  <w:i/>
                  <w:color w:val="0077CC"/>
                  <w:sz w:val="20"/>
                </w:rPr>
                <w:t>363 Md. 130, 767 A.2d 844 (2001);</w:t>
              </w:r>
            </w:hyperlink>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21.1(d), at 1077-78. The statute provides that the terms "break," "enter," and "dwelling" retain their "judicially determined meaning[s] except to the extent that [such] meanings [are] expressly or impliedly changed" by the statute. CRIM. LAW I § 6-201(b), (e)-(f).</w:t>
            </w:r>
          </w:p>
          <w:p w:rsidR="004729FB" w:rsidRDefault="004729FB">
            <w:pPr>
              <w:spacing w:before="240" w:line="260" w:lineRule="atLeast"/>
              <w:ind w:left="60" w:right="360"/>
              <w:jc w:val="both"/>
            </w:pPr>
            <w:r>
              <w:rPr>
                <w:rFonts w:ascii="Arial" w:eastAsia="Arial" w:hAnsi="Arial" w:cs="Arial"/>
                <w:color w:val="000000"/>
                <w:sz w:val="20"/>
              </w:rPr>
              <w:t xml:space="preserve">Breaking may be actual or constructive. Actual breaking means the creation of an opening, e.g., breaking a window, opening a closed but unlocked door, or enlarging an opening already created, such as pushing further open a half-opened door. </w:t>
            </w:r>
            <w:hyperlink r:id="rId230" w:history="1">
              <w:r>
                <w:rPr>
                  <w:rStyle w:val="Hyperlink"/>
                  <w:rFonts w:ascii="Arial" w:eastAsia="Arial" w:hAnsi="Arial" w:cs="Arial"/>
                  <w:i/>
                  <w:color w:val="0077CC"/>
                  <w:sz w:val="20"/>
                </w:rPr>
                <w:t>Robinson v. State, 67 Md. App. 445, 458, 508 A.2d 159, 165-66,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307 Md. 261, 513 A.2d 314 (1986);</w:t>
            </w:r>
            <w:r>
              <w:rPr>
                <w:rFonts w:ascii="Arial" w:eastAsia="Arial" w:hAnsi="Arial" w:cs="Arial"/>
                <w:color w:val="000000"/>
                <w:sz w:val="20"/>
              </w:rPr>
              <w:t xml:space="preserve"> </w:t>
            </w:r>
            <w:hyperlink r:id="rId231" w:history="1">
              <w:r>
                <w:rPr>
                  <w:rStyle w:val="Hyperlink"/>
                  <w:rFonts w:ascii="Arial" w:eastAsia="Arial" w:hAnsi="Arial" w:cs="Arial"/>
                  <w:i/>
                  <w:color w:val="0077CC"/>
                  <w:sz w:val="20"/>
                </w:rPr>
                <w:t>Jones v. State, 2 Md. App. 356, 360, 234 A.2d 625, 627 (1967);</w:t>
              </w:r>
            </w:hyperlink>
            <w:r>
              <w:rPr>
                <w:rFonts w:ascii="Arial" w:eastAsia="Arial" w:hAnsi="Arial" w:cs="Arial"/>
                <w:color w:val="000000"/>
                <w:sz w:val="20"/>
              </w:rPr>
              <w:t xml:space="preserve"> </w:t>
            </w:r>
            <w:hyperlink r:id="rId232" w:history="1">
              <w:r>
                <w:rPr>
                  <w:rStyle w:val="Hyperlink"/>
                  <w:rFonts w:ascii="Arial" w:eastAsia="Arial" w:hAnsi="Arial" w:cs="Arial"/>
                  <w:i/>
                  <w:color w:val="0077CC"/>
                  <w:sz w:val="20"/>
                </w:rPr>
                <w:t>Reagan v. State, 2 Md. App. 262, 267-68, 234 A.2d 278, 281 (1967).</w:t>
              </w:r>
            </w:hyperlink>
            <w:r>
              <w:rPr>
                <w:rFonts w:ascii="Arial" w:eastAsia="Arial" w:hAnsi="Arial" w:cs="Arial"/>
                <w:color w:val="000000"/>
                <w:sz w:val="20"/>
              </w:rPr>
              <w:t xml:space="preserve"> Constructive breaking means either the use of force, threat of force, fraud, or trickery to gain entry. </w:t>
            </w:r>
            <w:hyperlink r:id="rId233" w:history="1">
              <w:r>
                <w:rPr>
                  <w:rStyle w:val="Hyperlink"/>
                  <w:rFonts w:ascii="Arial" w:eastAsia="Arial" w:hAnsi="Arial" w:cs="Arial"/>
                  <w:i/>
                  <w:color w:val="0077CC"/>
                  <w:sz w:val="20"/>
                </w:rPr>
                <w:t>Brooks v. State, 25 Md. App. 194, 198, 333 A.2d 352, 354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34" w:history="1">
              <w:r>
                <w:rPr>
                  <w:rStyle w:val="Hyperlink"/>
                  <w:rFonts w:ascii="Arial" w:eastAsia="Arial" w:hAnsi="Arial" w:cs="Arial"/>
                  <w:i/>
                  <w:color w:val="0077CC"/>
                  <w:sz w:val="20"/>
                </w:rPr>
                <w:t>277 Md. 155, 353 A.2d 217 (1976).</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235" w:history="1">
              <w:r>
                <w:rPr>
                  <w:rStyle w:val="Hyperlink"/>
                  <w:rFonts w:ascii="Arial" w:eastAsia="Arial" w:hAnsi="Arial" w:cs="Arial"/>
                  <w:i/>
                  <w:color w:val="0077CC"/>
                  <w:sz w:val="20"/>
                </w:rPr>
                <w:t>Pryor v. State, 195 Md. App. 311, 322, 6 A.3d 343, 355 (2010)</w:t>
              </w:r>
            </w:hyperlink>
            <w:r>
              <w:rPr>
                <w:rFonts w:ascii="Arial" w:eastAsia="Arial" w:hAnsi="Arial" w:cs="Arial"/>
                <w:color w:val="000000"/>
                <w:sz w:val="20"/>
              </w:rPr>
              <w:t xml:space="preserve"> (finding a breaking despite the fact that defendant had keys to the dwelling, because defendant did not have permission to enter); </w:t>
            </w:r>
            <w:hyperlink r:id="rId236" w:history="1">
              <w:r>
                <w:rPr>
                  <w:rStyle w:val="Hyperlink"/>
                  <w:rFonts w:ascii="Arial" w:eastAsia="Arial" w:hAnsi="Arial" w:cs="Arial"/>
                  <w:i/>
                  <w:color w:val="0077CC"/>
                  <w:sz w:val="20"/>
                </w:rPr>
                <w:t>Holland v. State, 154 Md. App. 351, 364-72, 839 A.2d 806, 814-18 (2003)</w:t>
              </w:r>
            </w:hyperlink>
            <w:r>
              <w:rPr>
                <w:rFonts w:ascii="Arial" w:eastAsia="Arial" w:hAnsi="Arial" w:cs="Arial"/>
                <w:color w:val="000000"/>
                <w:sz w:val="20"/>
              </w:rPr>
              <w:t xml:space="preserve"> (finding no actual or constructive breaking where occupant invited defendant into dwelling after defendant knocked on door). </w:t>
            </w:r>
            <w:r>
              <w:rPr>
                <w:rFonts w:ascii="Arial" w:eastAsia="Arial" w:hAnsi="Arial" w:cs="Arial"/>
                <w:i/>
                <w:color w:val="000000"/>
                <w:sz w:val="20"/>
              </w:rPr>
              <w:t xml:space="preserve">Compare </w:t>
            </w:r>
            <w:hyperlink r:id="rId237" w:history="1">
              <w:r>
                <w:rPr>
                  <w:rStyle w:val="Hyperlink"/>
                  <w:rFonts w:ascii="Arial" w:eastAsia="Arial" w:hAnsi="Arial" w:cs="Arial"/>
                  <w:i/>
                  <w:color w:val="0077CC"/>
                  <w:sz w:val="20"/>
                </w:rPr>
                <w:t>Conyers v. State, 345 Md. 525, 557-58, 693 A.2d 781, 796 (1997)</w:t>
              </w:r>
            </w:hyperlink>
            <w:r>
              <w:rPr>
                <w:rFonts w:ascii="Arial" w:eastAsia="Arial" w:hAnsi="Arial" w:cs="Arial"/>
                <w:color w:val="000000"/>
                <w:sz w:val="20"/>
              </w:rPr>
              <w:t xml:space="preserve"> (insufficient evidence of constructive breaking), </w:t>
            </w:r>
            <w:r>
              <w:rPr>
                <w:rFonts w:ascii="Arial" w:eastAsia="Arial" w:hAnsi="Arial" w:cs="Arial"/>
                <w:i/>
                <w:color w:val="000000"/>
                <w:sz w:val="20"/>
              </w:rPr>
              <w:t xml:space="preserve">with </w:t>
            </w:r>
            <w:hyperlink r:id="rId238" w:history="1">
              <w:r>
                <w:rPr>
                  <w:rStyle w:val="Hyperlink"/>
                  <w:rFonts w:ascii="Arial" w:eastAsia="Arial" w:hAnsi="Arial" w:cs="Arial"/>
                  <w:i/>
                  <w:color w:val="0077CC"/>
                  <w:sz w:val="20"/>
                </w:rPr>
                <w:t>Oken v. State, 327 Md. 628, 632, 612 A.2d 258, 274-75 (1992)</w:t>
              </w:r>
            </w:hyperlink>
            <w:r>
              <w:rPr>
                <w:rFonts w:ascii="Arial" w:eastAsia="Arial" w:hAnsi="Arial" w:cs="Arial"/>
                <w:color w:val="000000"/>
                <w:sz w:val="20"/>
              </w:rPr>
              <w:t xml:space="preserve"> (constructive breaking inferred from fraudulent misrepresentation),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507 U.S. 931 (1993).</w:t>
            </w:r>
            <w:r>
              <w:rPr>
                <w:rFonts w:ascii="Arial" w:eastAsia="Arial" w:hAnsi="Arial" w:cs="Arial"/>
                <w:color w:val="000000"/>
                <w:sz w:val="20"/>
              </w:rPr>
              <w:t xml:space="preserve"> The Court of Special Appeals has indicated that the breaking may be for the purpose of exiting for some burglary-related crimes. </w:t>
            </w:r>
            <w:r>
              <w:rPr>
                <w:rFonts w:ascii="Arial" w:eastAsia="Arial" w:hAnsi="Arial" w:cs="Arial"/>
                <w:i/>
                <w:color w:val="000000"/>
                <w:sz w:val="20"/>
              </w:rPr>
              <w:t xml:space="preserve">See </w:t>
            </w:r>
            <w:hyperlink r:id="rId239" w:history="1">
              <w:r>
                <w:rPr>
                  <w:rStyle w:val="Hyperlink"/>
                  <w:rFonts w:ascii="Arial" w:eastAsia="Arial" w:hAnsi="Arial" w:cs="Arial"/>
                  <w:i/>
                  <w:color w:val="0077CC"/>
                  <w:sz w:val="20"/>
                </w:rPr>
                <w:t>Sample v. State, 33 Md. App. 398, 400-03, 365 A.2d 773, 775-77 (1976)</w:t>
              </w:r>
            </w:hyperlink>
            <w:r>
              <w:rPr>
                <w:rFonts w:ascii="Arial" w:eastAsia="Arial" w:hAnsi="Arial" w:cs="Arial"/>
                <w:color w:val="000000"/>
                <w:sz w:val="20"/>
              </w:rPr>
              <w:t xml:space="preserve"> ("We conclude, therefore, that the trial judge, having found that the defendant broke out of the tavern, was correct in his holding that the element of breaking as used in the statute could be satisfied by a breaking out.").</w:t>
            </w:r>
          </w:p>
          <w:p w:rsidR="004729FB" w:rsidRDefault="004729FB">
            <w:pPr>
              <w:spacing w:before="200" w:line="260" w:lineRule="atLeast"/>
              <w:ind w:left="60" w:right="360"/>
              <w:jc w:val="both"/>
            </w:pPr>
            <w:r>
              <w:rPr>
                <w:rFonts w:ascii="Arial" w:eastAsia="Arial" w:hAnsi="Arial" w:cs="Arial"/>
                <w:color w:val="000000"/>
                <w:sz w:val="20"/>
              </w:rPr>
              <w:t xml:space="preserve">Entering may be effectuated by any part of the defendant's body or by an instrumentality. If entry is by an instrumentality, it must be for the purpose of committing the prohibited act therein, e.g., a bullet to kill someone inside or a coat hanger to retrieve goods, and not merely for the purpose of gaining entry, e.g., a stick to unlatch a door. Entry may be at a time different from the breaking, but it must be made through the opening created by the breaking. </w:t>
            </w:r>
            <w:r>
              <w:rPr>
                <w:rFonts w:ascii="Arial" w:eastAsia="Arial" w:hAnsi="Arial" w:cs="Arial"/>
                <w:i/>
                <w:color w:val="000000"/>
                <w:sz w:val="20"/>
              </w:rPr>
              <w:t>See generally</w:t>
            </w:r>
            <w:r>
              <w:rPr>
                <w:rFonts w:ascii="Arial" w:eastAsia="Arial" w:hAnsi="Arial" w:cs="Arial"/>
                <w:color w:val="000000"/>
                <w:sz w:val="20"/>
              </w:rPr>
              <w:t xml:space="preserve"> PERKINS &amp; BOYCE, </w:t>
            </w:r>
            <w:r>
              <w:rPr>
                <w:rFonts w:ascii="Arial" w:eastAsia="Arial" w:hAnsi="Arial" w:cs="Arial"/>
                <w:i/>
                <w:color w:val="000000"/>
                <w:sz w:val="20"/>
              </w:rPr>
              <w:t>supra</w:t>
            </w:r>
            <w:r>
              <w:rPr>
                <w:rFonts w:ascii="Arial" w:eastAsia="Arial" w:hAnsi="Arial" w:cs="Arial"/>
                <w:color w:val="000000"/>
                <w:sz w:val="20"/>
              </w:rPr>
              <w:t xml:space="preserve">, at 252-55; LAFAVE, </w:t>
            </w:r>
            <w:r>
              <w:rPr>
                <w:rFonts w:ascii="Arial" w:eastAsia="Arial" w:hAnsi="Arial" w:cs="Arial"/>
                <w:i/>
                <w:color w:val="000000"/>
                <w:sz w:val="20"/>
              </w:rPr>
              <w:t>supra</w:t>
            </w:r>
            <w:r>
              <w:rPr>
                <w:rFonts w:ascii="Arial" w:eastAsia="Arial" w:hAnsi="Arial" w:cs="Arial"/>
                <w:color w:val="000000"/>
                <w:sz w:val="20"/>
              </w:rPr>
              <w:t>, § 21.1(b), (d), at 1072-74, 1077-78.</w:t>
            </w:r>
          </w:p>
          <w:p w:rsidR="004729FB" w:rsidRDefault="004729FB">
            <w:pPr>
              <w:spacing w:before="200" w:line="260" w:lineRule="atLeast"/>
              <w:ind w:left="60" w:right="360"/>
              <w:jc w:val="both"/>
            </w:pPr>
            <w:r>
              <w:rPr>
                <w:rFonts w:ascii="Arial" w:eastAsia="Arial" w:hAnsi="Arial" w:cs="Arial"/>
                <w:color w:val="000000"/>
                <w:sz w:val="20"/>
              </w:rPr>
              <w:t xml:space="preserve">Dwelling house means a structure where someone regularly sleeps. </w:t>
            </w:r>
            <w:hyperlink r:id="rId240" w:history="1">
              <w:r>
                <w:rPr>
                  <w:rStyle w:val="Hyperlink"/>
                  <w:rFonts w:ascii="Arial" w:eastAsia="Arial" w:hAnsi="Arial" w:cs="Arial"/>
                  <w:i/>
                  <w:color w:val="0077CC"/>
                  <w:sz w:val="20"/>
                </w:rPr>
                <w:t>Marston v. State, 9 Md. App. 360, 363, 264 A.2d 127, 128 (1970).</w:t>
              </w:r>
            </w:hyperlink>
            <w:r>
              <w:rPr>
                <w:rFonts w:ascii="Arial" w:eastAsia="Arial" w:hAnsi="Arial" w:cs="Arial"/>
                <w:color w:val="000000"/>
                <w:sz w:val="20"/>
              </w:rPr>
              <w:t xml:space="preserve"> The fact that a structure is actually used for sleep on a given night is not determinative. </w:t>
            </w:r>
            <w:r>
              <w:rPr>
                <w:rFonts w:ascii="Arial" w:eastAsia="Arial" w:hAnsi="Arial" w:cs="Arial"/>
                <w:i/>
                <w:color w:val="000000"/>
                <w:sz w:val="20"/>
              </w:rPr>
              <w:t xml:space="preserve">See </w:t>
            </w:r>
            <w:hyperlink r:id="rId241" w:history="1">
              <w:r>
                <w:rPr>
                  <w:rStyle w:val="Hyperlink"/>
                  <w:rFonts w:ascii="Arial" w:eastAsia="Arial" w:hAnsi="Arial" w:cs="Arial"/>
                  <w:i/>
                  <w:color w:val="0077CC"/>
                  <w:sz w:val="20"/>
                </w:rPr>
                <w:t>Kanaras v. State, 54 Md. App. 568, 585, 460 A.2d 61, 71 (1983)</w:t>
              </w:r>
            </w:hyperlink>
            <w:r>
              <w:rPr>
                <w:rFonts w:ascii="Arial" w:eastAsia="Arial" w:hAnsi="Arial" w:cs="Arial"/>
                <w:color w:val="000000"/>
                <w:sz w:val="20"/>
              </w:rPr>
              <w:t xml:space="preserve"> (finding that a motor home is not a dwelling house, even if it is sometime used for sleeping, provided its primary purpose is transportation), </w:t>
            </w:r>
            <w:r>
              <w:rPr>
                <w:rFonts w:ascii="Arial" w:eastAsia="Arial" w:hAnsi="Arial" w:cs="Arial"/>
                <w:i/>
                <w:color w:val="000000"/>
                <w:sz w:val="20"/>
              </w:rPr>
              <w:t>rev'd on other grounds</w:t>
            </w:r>
            <w:r>
              <w:rPr>
                <w:rFonts w:ascii="Arial" w:eastAsia="Arial" w:hAnsi="Arial" w:cs="Arial"/>
                <w:color w:val="000000"/>
                <w:sz w:val="20"/>
              </w:rPr>
              <w:t xml:space="preserve">, </w:t>
            </w:r>
            <w:hyperlink r:id="rId242" w:history="1">
              <w:r>
                <w:rPr>
                  <w:rStyle w:val="Hyperlink"/>
                  <w:rFonts w:ascii="Arial" w:eastAsia="Arial" w:hAnsi="Arial" w:cs="Arial"/>
                  <w:i/>
                  <w:color w:val="0077CC"/>
                  <w:sz w:val="20"/>
                </w:rPr>
                <w:t>357 Md. 170, 742 A.2d 508 (1999).</w:t>
              </w:r>
            </w:hyperlink>
            <w:r>
              <w:rPr>
                <w:rFonts w:ascii="Arial" w:eastAsia="Arial" w:hAnsi="Arial" w:cs="Arial"/>
                <w:color w:val="000000"/>
                <w:sz w:val="20"/>
              </w:rPr>
              <w:t xml:space="preserve"> A structure does not attain dwelling house status until the first dweller moves in. For example, a workman sleeping in a house under construction does not make it a dwelling house. LAFAVE, </w:t>
            </w:r>
            <w:r>
              <w:rPr>
                <w:rFonts w:ascii="Arial" w:eastAsia="Arial" w:hAnsi="Arial" w:cs="Arial"/>
                <w:i/>
                <w:color w:val="000000"/>
                <w:sz w:val="20"/>
              </w:rPr>
              <w:t>supra</w:t>
            </w:r>
            <w:r>
              <w:rPr>
                <w:rFonts w:ascii="Arial" w:eastAsia="Arial" w:hAnsi="Arial" w:cs="Arial"/>
                <w:color w:val="000000"/>
                <w:sz w:val="20"/>
              </w:rPr>
              <w:t xml:space="preserve">, § 21.1(c), at 1074-75. Once a structure is a dwelling house, the fact that it is temporarily unoccupied does not terminate its dwelling house character, e.g., a residence not slept in during vacation, a summer residence not slept in during the winter. Likewise, "an unoccupied apartment that is between rentals, but is suitable for occupancy, is a 'dwelling' for purpose of statutory burglary." </w:t>
            </w:r>
            <w:hyperlink r:id="rId243" w:history="1">
              <w:r>
                <w:rPr>
                  <w:rStyle w:val="Hyperlink"/>
                  <w:rFonts w:ascii="Arial" w:eastAsia="Arial" w:hAnsi="Arial" w:cs="Arial"/>
                  <w:i/>
                  <w:color w:val="0077CC"/>
                  <w:sz w:val="20"/>
                </w:rPr>
                <w:t>McKenzie v. State, 407 Md. 120, 135, 962 A.2d 998, 1007 (2008).</w:t>
              </w:r>
            </w:hyperlink>
            <w:r>
              <w:rPr>
                <w:rFonts w:ascii="Arial" w:eastAsia="Arial" w:hAnsi="Arial" w:cs="Arial"/>
                <w:color w:val="000000"/>
                <w:sz w:val="20"/>
              </w:rPr>
              <w:t xml:space="preserve"> However, if the occupants have left with no intention of returning, it ceases to be a dwelling house until the next dweller begins to live there. </w:t>
            </w:r>
            <w:r>
              <w:rPr>
                <w:rFonts w:ascii="Arial" w:eastAsia="Arial" w:hAnsi="Arial" w:cs="Arial"/>
                <w:i/>
                <w:color w:val="000000"/>
                <w:sz w:val="20"/>
              </w:rPr>
              <w:t xml:space="preserve">See </w:t>
            </w:r>
            <w:hyperlink r:id="rId244" w:history="1">
              <w:r>
                <w:rPr>
                  <w:rStyle w:val="Hyperlink"/>
                  <w:rFonts w:ascii="Arial" w:eastAsia="Arial" w:hAnsi="Arial" w:cs="Arial"/>
                  <w:i/>
                  <w:color w:val="0077CC"/>
                  <w:sz w:val="20"/>
                </w:rPr>
                <w:t>Wallace v. State, 63 Md. App. 399, 405-07, 492 A.2d 970, 974-75</w:t>
              </w:r>
            </w:hyperlink>
            <w:r>
              <w:rPr>
                <w:rFonts w:ascii="Arial" w:eastAsia="Arial" w:hAnsi="Arial" w:cs="Arial"/>
                <w:color w:val="000000"/>
                <w:sz w:val="20"/>
              </w:rPr>
              <w:t xml:space="preserve"> (holding that an apartment was not a dwelling house where the tenant vacated the dwelling and there was no evidence that the owner ever lived, or intended to live, in the apartment),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301, 498 A.2d 1186 (1985).</w:t>
            </w:r>
            <w:r>
              <w:rPr>
                <w:rFonts w:ascii="Arial" w:eastAsia="Arial" w:hAnsi="Arial" w:cs="Arial"/>
                <w:color w:val="000000"/>
                <w:sz w:val="20"/>
              </w:rPr>
              <w:t xml:space="preserve"> Hotel and motel rooms are dwelling houses, even though someone different may sleep there every night and even though a given room may be unoccupied for a considerable period of time. </w:t>
            </w:r>
            <w:hyperlink r:id="rId245" w:history="1">
              <w:r>
                <w:rPr>
                  <w:rStyle w:val="Hyperlink"/>
                  <w:rFonts w:ascii="Arial" w:eastAsia="Arial" w:hAnsi="Arial" w:cs="Arial"/>
                  <w:i/>
                  <w:color w:val="0077CC"/>
                  <w:sz w:val="20"/>
                </w:rPr>
                <w:t>Herbert v. State, 31 Md. App. 48, 51-52, 354 A.2d 449, 451 (1976).</w:t>
              </w:r>
            </w:hyperlink>
            <w:r>
              <w:rPr>
                <w:rFonts w:ascii="Arial" w:eastAsia="Arial" w:hAnsi="Arial" w:cs="Arial"/>
                <w:color w:val="000000"/>
                <w:sz w:val="20"/>
              </w:rPr>
              <w:t xml:space="preserve"> A storehouse may be deemed a dwelling house if there is an internal passage between the storehouse and a dwelling house. </w:t>
            </w:r>
            <w:hyperlink r:id="rId246" w:history="1">
              <w:r>
                <w:rPr>
                  <w:rStyle w:val="Hyperlink"/>
                  <w:rFonts w:ascii="Arial" w:eastAsia="Arial" w:hAnsi="Arial" w:cs="Arial"/>
                  <w:i/>
                  <w:color w:val="0077CC"/>
                  <w:sz w:val="20"/>
                </w:rPr>
                <w:t>Smith v. State, 31 Md. App. 106, 115, 355 A.2d 527, 533 (1976);</w:t>
              </w:r>
            </w:hyperlink>
            <w:r>
              <w:rPr>
                <w:rFonts w:ascii="Arial" w:eastAsia="Arial" w:hAnsi="Arial" w:cs="Arial"/>
                <w:color w:val="000000"/>
                <w:sz w:val="20"/>
              </w:rPr>
              <w:t xml:space="preserve"> </w:t>
            </w:r>
            <w:hyperlink r:id="rId247" w:history="1">
              <w:r>
                <w:rPr>
                  <w:rStyle w:val="Hyperlink"/>
                  <w:rFonts w:ascii="Arial" w:eastAsia="Arial" w:hAnsi="Arial" w:cs="Arial"/>
                  <w:i/>
                  <w:color w:val="0077CC"/>
                  <w:sz w:val="20"/>
                </w:rPr>
                <w:t>Rizia v. State, 16 Md. App. 326, 295 A.2d 818 (1972),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267 Md. 744 (1973).</w:t>
            </w:r>
            <w:r>
              <w:rPr>
                <w:rFonts w:ascii="Arial" w:eastAsia="Arial" w:hAnsi="Arial" w:cs="Arial"/>
                <w:color w:val="000000"/>
                <w:sz w:val="20"/>
              </w:rPr>
              <w:t xml:space="preserve"> For example, a first floor storehouse may be deemed a dwelling house if the owner can enter his or </w:t>
            </w:r>
            <w:r>
              <w:rPr>
                <w:rFonts w:ascii="Arial" w:eastAsia="Arial" w:hAnsi="Arial" w:cs="Arial"/>
                <w:color w:val="000000"/>
                <w:sz w:val="20"/>
              </w:rPr>
              <w:lastRenderedPageBreak/>
              <w:t xml:space="preserve">her apartment on the second floor from inside the store without the need to go outside. Any part of the realty of a dwelling house will suffice. Thus, breaking and entering doors between rooms or closet doors is burglary. </w:t>
            </w:r>
            <w:r>
              <w:rPr>
                <w:rFonts w:ascii="Arial" w:eastAsia="Arial" w:hAnsi="Arial" w:cs="Arial"/>
                <w:i/>
                <w:color w:val="000000"/>
                <w:sz w:val="20"/>
              </w:rPr>
              <w:t xml:space="preserve">See </w:t>
            </w:r>
            <w:hyperlink r:id="rId248" w:history="1">
              <w:r>
                <w:rPr>
                  <w:rStyle w:val="Hyperlink"/>
                  <w:rFonts w:ascii="Arial" w:eastAsia="Arial" w:hAnsi="Arial" w:cs="Arial"/>
                  <w:i/>
                  <w:color w:val="0077CC"/>
                  <w:sz w:val="20"/>
                </w:rPr>
                <w:t>Sizemore v. State, 10 Md. App. 682, 690, 272 A.2d 824, 828,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261 Md. 728 (1971).</w:t>
            </w:r>
            <w:r>
              <w:rPr>
                <w:rFonts w:ascii="Arial" w:eastAsia="Arial" w:hAnsi="Arial" w:cs="Arial"/>
                <w:color w:val="000000"/>
                <w:sz w:val="20"/>
              </w:rPr>
              <w:t xml:space="preserve"> The dwelling house extends to its curtilage, i.e., those outbuildings within the area reasonably close to the dwelling house and capable of being fenced in. LAFAVE, </w:t>
            </w:r>
            <w:r>
              <w:rPr>
                <w:rFonts w:ascii="Arial" w:eastAsia="Arial" w:hAnsi="Arial" w:cs="Arial"/>
                <w:i/>
                <w:color w:val="000000"/>
                <w:sz w:val="20"/>
              </w:rPr>
              <w:t>supra</w:t>
            </w:r>
            <w:r>
              <w:rPr>
                <w:rFonts w:ascii="Arial" w:eastAsia="Arial" w:hAnsi="Arial" w:cs="Arial"/>
                <w:color w:val="000000"/>
                <w:sz w:val="20"/>
              </w:rPr>
              <w:t>, § 21.1(c), at 1074-77.</w:t>
            </w:r>
          </w:p>
          <w:p w:rsidR="004729FB" w:rsidRDefault="004729FB">
            <w:pPr>
              <w:spacing w:before="240" w:line="260" w:lineRule="atLeast"/>
              <w:ind w:left="60" w:right="360"/>
              <w:jc w:val="both"/>
            </w:pPr>
            <w:r>
              <w:rPr>
                <w:rFonts w:ascii="Arial" w:eastAsia="Arial" w:hAnsi="Arial" w:cs="Arial"/>
                <w:color w:val="000000"/>
                <w:sz w:val="20"/>
              </w:rPr>
              <w:t xml:space="preserve">The requirement that the dwelling be that of another means that someone has a right of habitation in the dwelling house greater than that of the defendant. For example, a rented apartment or house may be of another, as against the owner, if the tenant has a superior right of habitation. </w:t>
            </w:r>
            <w:hyperlink r:id="rId249" w:history="1">
              <w:r>
                <w:rPr>
                  <w:rStyle w:val="Hyperlink"/>
                  <w:rFonts w:ascii="Arial" w:eastAsia="Arial" w:hAnsi="Arial" w:cs="Arial"/>
                  <w:i/>
                  <w:color w:val="0077CC"/>
                  <w:sz w:val="20"/>
                </w:rPr>
                <w:t>Hackley v. State, 237 Md. 566, 569, 207 A.2d 475, 477 (1965);</w:t>
              </w:r>
            </w:hyperlink>
            <w:r>
              <w:rPr>
                <w:rFonts w:ascii="Arial" w:eastAsia="Arial" w:hAnsi="Arial" w:cs="Arial"/>
                <w:color w:val="000000"/>
                <w:sz w:val="20"/>
              </w:rPr>
              <w:t xml:space="preserve"> </w:t>
            </w:r>
            <w:hyperlink r:id="rId250" w:history="1">
              <w:r>
                <w:rPr>
                  <w:rStyle w:val="Hyperlink"/>
                  <w:rFonts w:ascii="Arial" w:eastAsia="Arial" w:hAnsi="Arial" w:cs="Arial"/>
                  <w:i/>
                  <w:color w:val="0077CC"/>
                  <w:sz w:val="20"/>
                </w:rPr>
                <w:t>Melia v. State, 5 Md. App. 354, 364-65, 247 A.2d 554, 560 (1968).</w:t>
              </w:r>
            </w:hyperlink>
          </w:p>
          <w:p w:rsidR="004729FB" w:rsidRDefault="004729FB">
            <w:pPr>
              <w:spacing w:before="240" w:line="260" w:lineRule="atLeast"/>
              <w:ind w:left="60" w:right="360"/>
              <w:jc w:val="both"/>
            </w:pPr>
            <w:r>
              <w:rPr>
                <w:rFonts w:ascii="Arial" w:eastAsia="Arial" w:hAnsi="Arial" w:cs="Arial"/>
                <w:color w:val="000000"/>
                <w:sz w:val="20"/>
              </w:rPr>
              <w:t xml:space="preserve">The defendant must intend to commit theft or a crime of violence at the time of the breaking and entry, or at the time of the entry if the breaking and entry are accomplished at different times. </w:t>
            </w:r>
            <w:r>
              <w:rPr>
                <w:rFonts w:ascii="Arial" w:eastAsia="Arial" w:hAnsi="Arial" w:cs="Arial"/>
                <w:i/>
                <w:color w:val="000000"/>
                <w:sz w:val="20"/>
              </w:rPr>
              <w:t xml:space="preserve">See </w:t>
            </w:r>
            <w:hyperlink r:id="rId251" w:history="1">
              <w:r>
                <w:rPr>
                  <w:rStyle w:val="Hyperlink"/>
                  <w:rFonts w:ascii="Arial" w:eastAsia="Arial" w:hAnsi="Arial" w:cs="Arial"/>
                  <w:i/>
                  <w:color w:val="0077CC"/>
                  <w:sz w:val="20"/>
                </w:rPr>
                <w:t>Winder v. State, 362 Md. 275, 328-329, 765 A.2d 97, 126 (2001);</w:t>
              </w:r>
            </w:hyperlink>
            <w:r>
              <w:rPr>
                <w:rFonts w:ascii="Arial" w:eastAsia="Arial" w:hAnsi="Arial" w:cs="Arial"/>
                <w:color w:val="000000"/>
                <w:sz w:val="20"/>
              </w:rPr>
              <w:t xml:space="preserve"> </w:t>
            </w:r>
            <w:hyperlink r:id="rId252" w:history="1">
              <w:r>
                <w:rPr>
                  <w:rStyle w:val="Hyperlink"/>
                  <w:rFonts w:ascii="Arial" w:eastAsia="Arial" w:hAnsi="Arial" w:cs="Arial"/>
                  <w:i/>
                  <w:color w:val="0077CC"/>
                  <w:sz w:val="20"/>
                </w:rPr>
                <w:t>Sample, 33 Md. App. at 404, 365 A.2d at 777;</w:t>
              </w:r>
            </w:hyperlink>
            <w:r>
              <w:rPr>
                <w:rFonts w:ascii="Arial" w:eastAsia="Arial" w:hAnsi="Arial" w:cs="Arial"/>
                <w:color w:val="000000"/>
                <w:sz w:val="20"/>
              </w:rPr>
              <w:t xml:space="preserve"> </w:t>
            </w:r>
            <w:hyperlink r:id="rId253" w:history="1">
              <w:r>
                <w:rPr>
                  <w:rStyle w:val="Hyperlink"/>
                  <w:rFonts w:ascii="Arial" w:eastAsia="Arial" w:hAnsi="Arial" w:cs="Arial"/>
                  <w:i/>
                  <w:color w:val="0077CC"/>
                  <w:sz w:val="20"/>
                </w:rPr>
                <w:t>Pearre v. State, 237 Md. 622, 624, 206 A.2d 249, 250 (1965)</w:t>
              </w:r>
            </w:hyperlink>
            <w:r>
              <w:rPr>
                <w:rFonts w:ascii="Arial" w:eastAsia="Arial" w:hAnsi="Arial" w:cs="Arial"/>
                <w:color w:val="000000"/>
                <w:sz w:val="20"/>
              </w:rPr>
              <w:t xml:space="preserve"> ("The actual intention at the time of the breaking is controlling, and we have held that a felonious intent to take whatever the offender could get can be inferred from the hour of the entering, the ransacking of drawers, and other similar circumstances."). However, burglary does not require that the theft or crime of violence actually be accomplished. </w:t>
            </w:r>
            <w:r>
              <w:rPr>
                <w:rFonts w:ascii="Arial" w:eastAsia="Arial" w:hAnsi="Arial" w:cs="Arial"/>
                <w:i/>
                <w:color w:val="000000"/>
                <w:sz w:val="20"/>
              </w:rPr>
              <w:t xml:space="preserve">See </w:t>
            </w:r>
            <w:hyperlink r:id="rId254" w:history="1">
              <w:r>
                <w:rPr>
                  <w:rStyle w:val="Hyperlink"/>
                  <w:rFonts w:ascii="Arial" w:eastAsia="Arial" w:hAnsi="Arial" w:cs="Arial"/>
                  <w:i/>
                  <w:color w:val="0077CC"/>
                  <w:sz w:val="20"/>
                </w:rPr>
                <w:t>Robinson v. State, 4 Md. App. 515, 530-31, 243 A.2d 879, 888-89 (1968);</w:t>
              </w:r>
            </w:hyperlink>
            <w:r>
              <w:rPr>
                <w:rFonts w:ascii="Arial" w:eastAsia="Arial" w:hAnsi="Arial" w:cs="Arial"/>
                <w:color w:val="000000"/>
                <w:sz w:val="20"/>
              </w:rPr>
              <w:t xml:space="preserve"> </w:t>
            </w:r>
            <w:hyperlink r:id="rId255" w:history="1">
              <w:r>
                <w:rPr>
                  <w:rStyle w:val="Hyperlink"/>
                  <w:rFonts w:ascii="Arial" w:eastAsia="Arial" w:hAnsi="Arial" w:cs="Arial"/>
                  <w:i/>
                  <w:color w:val="0077CC"/>
                  <w:sz w:val="20"/>
                </w:rPr>
                <w:t>O'Brien v. State, 1 Md. App. 94, 97, 227 A.2d 362, 363-64 (1967).</w:t>
              </w:r>
            </w:hyperlink>
            <w:r>
              <w:rPr>
                <w:rFonts w:ascii="Arial" w:eastAsia="Arial" w:hAnsi="Arial" w:cs="Arial"/>
                <w:color w:val="000000"/>
                <w:sz w:val="20"/>
              </w:rPr>
              <w:t xml:space="preserve"> On the other hand, the accomplishment of a theft or crime of violence therein, if not intended at the time of the entry, does not constitute a burglary. In </w:t>
            </w:r>
            <w:hyperlink r:id="rId256" w:history="1">
              <w:r>
                <w:rPr>
                  <w:rStyle w:val="Hyperlink"/>
                  <w:rFonts w:ascii="Arial" w:eastAsia="Arial" w:hAnsi="Arial" w:cs="Arial"/>
                  <w:i/>
                  <w:color w:val="0077CC"/>
                  <w:sz w:val="20"/>
                </w:rPr>
                <w:t>Reed v. State, 316 Md. 521, 560 A.2d 1104 (1989),</w:t>
              </w:r>
            </w:hyperlink>
            <w:r>
              <w:rPr>
                <w:rFonts w:ascii="Arial" w:eastAsia="Arial" w:hAnsi="Arial" w:cs="Arial"/>
                <w:color w:val="000000"/>
                <w:sz w:val="20"/>
              </w:rPr>
              <w:t xml:space="preserve"> the Court of Appeals found that there was insufficient evidence of intent at the time of the breaking. Although the defendant lied to get into the building, he gave his real name, went to his father's apartment, mopped the floor, and did not steal until thirty minutes later after a chance encounter with an open door. </w:t>
            </w:r>
            <w:hyperlink r:id="rId257" w:history="1">
              <w:r>
                <w:rPr>
                  <w:rStyle w:val="Hyperlink"/>
                  <w:rFonts w:ascii="Arial" w:eastAsia="Arial" w:hAnsi="Arial" w:cs="Arial"/>
                  <w:i/>
                  <w:color w:val="0077CC"/>
                  <w:sz w:val="20"/>
                </w:rPr>
                <w:t>Id. at 523-28, 560 A.2d at 1105-07;</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258" w:history="1">
              <w:r>
                <w:rPr>
                  <w:rStyle w:val="Hyperlink"/>
                  <w:rFonts w:ascii="Arial" w:eastAsia="Arial" w:hAnsi="Arial" w:cs="Arial"/>
                  <w:i/>
                  <w:color w:val="0077CC"/>
                  <w:sz w:val="20"/>
                </w:rPr>
                <w:t>Ridley v. State, 228 Md. 281, 179 A.2d 710 (1962);</w:t>
              </w:r>
            </w:hyperlink>
            <w:r>
              <w:rPr>
                <w:rFonts w:ascii="Arial" w:eastAsia="Arial" w:hAnsi="Arial" w:cs="Arial"/>
                <w:color w:val="000000"/>
                <w:sz w:val="20"/>
              </w:rPr>
              <w:t xml:space="preserve"> </w:t>
            </w:r>
            <w:hyperlink r:id="rId259" w:history="1">
              <w:r>
                <w:rPr>
                  <w:rStyle w:val="Hyperlink"/>
                  <w:rFonts w:ascii="Arial" w:eastAsia="Arial" w:hAnsi="Arial" w:cs="Arial"/>
                  <w:i/>
                  <w:color w:val="0077CC"/>
                  <w:sz w:val="20"/>
                </w:rPr>
                <w:t>Johnson v. State, 5 Md. App. 540, 248 A.2d 663 (1968).</w:t>
              </w:r>
            </w:hyperlink>
            <w:r>
              <w:rPr>
                <w:rFonts w:ascii="Arial" w:eastAsia="Arial" w:hAnsi="Arial" w:cs="Arial"/>
                <w:color w:val="000000"/>
                <w:sz w:val="20"/>
              </w:rPr>
              <w:t xml:space="preserve"> A crime of violence is abduction, arson in the first degree, kidnapping, voluntary manslaughter, mayhem and maiming, murder, rape, robbery, carjacking, armed carjacking, first and second degree sexual offense, use of a handgun in the commission of a felony or crime of violence, child abuse in the first degree, sexual abuse of a minor, attempts thereto, continuing course of sexual offense related conduct with a child under 14 years old, and first degree assault, and assault with intent to rape, rob, or commit a sexual offense in the first or second degree. CRIM. LAW I &amp; II §§ 6-201(d), 14-101.</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88" style="position:absolute;z-index:25170124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4:06A, MPJI-Cr 4:06.2, MPJI-Cr 4:06.3, MPJI-Cr 4:32.</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5" style="position:absolute;left:0;text-align:left;z-index:251708416;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4" name="Picture 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60" w:history="1">
        <w:r>
          <w:rPr>
            <w:rStyle w:val="Hyperlink"/>
            <w:rFonts w:ascii="Arial" w:eastAsia="Arial" w:hAnsi="Arial" w:cs="Arial"/>
            <w:b/>
            <w:bCs/>
            <w:i/>
            <w:color w:val="0077CC"/>
            <w:kern w:val="32"/>
            <w:sz w:val="28"/>
            <w:szCs w:val="32"/>
          </w:rPr>
          <w:t>MPJI-Cr 4:06.1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BURGLARY--SECOND DEGREE</w:t>
      </w:r>
    </w:p>
    <w:p w:rsidR="004729FB" w:rsidRDefault="004729FB" w:rsidP="004729FB">
      <w:pPr>
        <w:keepNext/>
        <w:spacing w:before="240" w:line="340" w:lineRule="atLeast"/>
      </w:pPr>
      <w:r>
        <w:br/>
      </w:r>
      <w:r>
        <w:rPr>
          <w:rFonts w:ascii="Arial" w:eastAsia="Arial" w:hAnsi="Arial" w:cs="Arial"/>
          <w:b/>
          <w:color w:val="000000"/>
          <w:sz w:val="28"/>
        </w:rPr>
        <w:t>4:06.1Burglary--Second Degree</w:t>
      </w:r>
    </w:p>
    <w:p w:rsidR="004729FB" w:rsidRDefault="004729FB" w:rsidP="004729FB">
      <w:pPr>
        <w:spacing w:line="60" w:lineRule="exact"/>
      </w:pPr>
      <w:r>
        <w:pict>
          <v:line id="_x0000_s1079" style="position:absolute;z-index:2516920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second degree. Burglary in the second degree is the breaking and entering of someone else's building with the intent to commit (</w:t>
      </w:r>
      <w:r>
        <w:rPr>
          <w:rFonts w:ascii="Arial" w:eastAsia="Arial" w:hAnsi="Arial" w:cs="Arial"/>
          <w:b/>
          <w:color w:val="000000"/>
          <w:sz w:val="20"/>
          <w:u w:val="single"/>
        </w:rPr>
        <w:t>insert "theft," and/or the particular "crime of violence", and/or "arson in the second degree"</w:t>
      </w:r>
      <w:r>
        <w:rPr>
          <w:rFonts w:ascii="Arial" w:eastAsia="Arial" w:hAnsi="Arial" w:cs="Arial"/>
          <w:b/>
          <w:color w:val="000000"/>
          <w:sz w:val="20"/>
        </w:rPr>
        <w:t>). In order to convict the defendant of burglary in the second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[building] [structure, including (</w:t>
      </w:r>
      <w:r>
        <w:rPr>
          <w:rFonts w:ascii="Arial" w:eastAsia="Arial" w:hAnsi="Arial" w:cs="Arial"/>
          <w:b/>
          <w:color w:val="000000"/>
          <w:sz w:val="20"/>
          <w:u w:val="single"/>
        </w:rPr>
        <w:t>insert type of structure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w:t>
      </w:r>
      <w:r>
        <w:rPr>
          <w:rFonts w:ascii="Arial" w:eastAsia="Arial" w:hAnsi="Arial" w:cs="Arial"/>
          <w:b/>
          <w:color w:val="000000"/>
          <w:sz w:val="20"/>
          <w:u w:val="single"/>
        </w:rPr>
        <w:t>insert "theft" and/or the particular crime of violence and/or "arson in the second degree"</w:t>
      </w:r>
      <w:r>
        <w:rPr>
          <w:rFonts w:ascii="Arial" w:eastAsia="Arial" w:hAnsi="Arial" w:cs="Arial"/>
          <w:b/>
          <w:color w:val="000000"/>
          <w:sz w:val="20"/>
        </w:rPr>
        <w:t>) inside the [building] [structure, including (</w:t>
      </w:r>
      <w:r>
        <w:rPr>
          <w:rFonts w:ascii="Arial" w:eastAsia="Arial" w:hAnsi="Arial" w:cs="Arial"/>
          <w:b/>
          <w:color w:val="000000"/>
          <w:sz w:val="20"/>
          <w:u w:val="single"/>
        </w:rPr>
        <w:t>insert type of structure</w:t>
      </w:r>
      <w:r>
        <w:rPr>
          <w:rFonts w:ascii="Arial" w:eastAsia="Arial" w:hAnsi="Arial" w:cs="Arial"/>
          <w:b/>
          <w:color w:val="000000"/>
          <w:sz w:val="20"/>
        </w:rPr>
        <w:t>)]</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4:06 (Burglary--First Degree).</w:t>
            </w:r>
          </w:p>
          <w:p w:rsidR="004729FB" w:rsidRDefault="004729FB">
            <w:pPr>
              <w:spacing w:before="200" w:line="260" w:lineRule="atLeast"/>
              <w:ind w:left="60" w:right="360"/>
              <w:jc w:val="both"/>
            </w:pPr>
            <w:r>
              <w:rPr>
                <w:rFonts w:ascii="Arial" w:eastAsia="Arial" w:hAnsi="Arial" w:cs="Arial"/>
                <w:color w:val="000000"/>
                <w:sz w:val="20"/>
              </w:rPr>
              <w:t>Second degree burglary is the breaking and entering of the storehouse of another with the intent to commit theft, a crime of violence, or second degree arson. CRIM. LAW I § 6-203. The Maryland Code provides that:</w:t>
            </w:r>
          </w:p>
          <w:p w:rsidR="004729FB" w:rsidRDefault="004729FB">
            <w:pPr>
              <w:spacing w:before="60" w:line="260" w:lineRule="atLeast"/>
              <w:ind w:left="460" w:right="360"/>
              <w:jc w:val="both"/>
            </w:pPr>
            <w:r>
              <w:rPr>
                <w:rFonts w:ascii="Arial" w:eastAsia="Arial" w:hAnsi="Arial" w:cs="Arial"/>
                <w:color w:val="000000"/>
                <w:sz w:val="20"/>
              </w:rPr>
              <w:t>(1) "Storehouse" retains its judicially determined meaning.</w:t>
            </w:r>
          </w:p>
          <w:p w:rsidR="004729FB" w:rsidRDefault="004729FB">
            <w:pPr>
              <w:spacing w:before="60" w:line="260" w:lineRule="atLeast"/>
              <w:ind w:left="460" w:right="360"/>
              <w:jc w:val="both"/>
            </w:pPr>
            <w:r>
              <w:rPr>
                <w:rFonts w:ascii="Arial" w:eastAsia="Arial" w:hAnsi="Arial" w:cs="Arial"/>
                <w:color w:val="000000"/>
                <w:sz w:val="20"/>
              </w:rPr>
              <w:t>(2) "Storehouse" includes:</w:t>
            </w:r>
          </w:p>
          <w:p w:rsidR="004729FB" w:rsidRDefault="004729FB">
            <w:pPr>
              <w:spacing w:before="60" w:line="260" w:lineRule="atLeast"/>
              <w:ind w:left="860" w:right="360"/>
              <w:jc w:val="both"/>
            </w:pPr>
            <w:r>
              <w:rPr>
                <w:rFonts w:ascii="Arial" w:eastAsia="Arial" w:hAnsi="Arial" w:cs="Arial"/>
                <w:color w:val="000000"/>
                <w:sz w:val="20"/>
              </w:rPr>
              <w:t>(i) a building or other construction, or a watercraft;</w:t>
            </w:r>
          </w:p>
          <w:p w:rsidR="004729FB" w:rsidRDefault="004729FB">
            <w:pPr>
              <w:spacing w:before="60" w:line="260" w:lineRule="atLeast"/>
              <w:ind w:left="860" w:right="360"/>
              <w:jc w:val="both"/>
            </w:pPr>
            <w:r>
              <w:rPr>
                <w:rFonts w:ascii="Arial" w:eastAsia="Arial" w:hAnsi="Arial" w:cs="Arial"/>
                <w:color w:val="000000"/>
                <w:sz w:val="20"/>
              </w:rPr>
              <w:t>(ii) a barn, stable, pier, wharf, and any facility attached to a pier or wharf;</w:t>
            </w:r>
          </w:p>
          <w:p w:rsidR="004729FB" w:rsidRDefault="004729FB">
            <w:pPr>
              <w:spacing w:before="60" w:line="260" w:lineRule="atLeast"/>
              <w:ind w:left="860" w:right="360"/>
              <w:jc w:val="both"/>
            </w:pPr>
            <w:r>
              <w:rPr>
                <w:rFonts w:ascii="Arial" w:eastAsia="Arial" w:hAnsi="Arial" w:cs="Arial"/>
                <w:color w:val="000000"/>
                <w:sz w:val="20"/>
              </w:rPr>
              <w:lastRenderedPageBreak/>
              <w:t>(iii) a storeroom or public building; and</w:t>
            </w:r>
          </w:p>
          <w:p w:rsidR="004729FB" w:rsidRDefault="004729FB">
            <w:pPr>
              <w:spacing w:before="60" w:line="260" w:lineRule="atLeast"/>
              <w:ind w:left="860" w:right="360"/>
              <w:jc w:val="both"/>
            </w:pPr>
            <w:r>
              <w:rPr>
                <w:rFonts w:ascii="Arial" w:eastAsia="Arial" w:hAnsi="Arial" w:cs="Arial"/>
                <w:color w:val="000000"/>
                <w:sz w:val="20"/>
              </w:rPr>
              <w:t>(iv) a trailer, aircraft, vessel, or railroad car.</w:t>
            </w:r>
          </w:p>
          <w:p w:rsidR="004729FB" w:rsidRDefault="004729FB">
            <w:pPr>
              <w:spacing w:before="24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 6-201(h); </w:t>
            </w:r>
            <w:r>
              <w:rPr>
                <w:rFonts w:ascii="Arial" w:eastAsia="Arial" w:hAnsi="Arial" w:cs="Arial"/>
                <w:i/>
                <w:color w:val="000000"/>
                <w:sz w:val="20"/>
              </w:rPr>
              <w:t xml:space="preserve">see, e.g., </w:t>
            </w:r>
            <w:hyperlink r:id="rId261" w:history="1">
              <w:r>
                <w:rPr>
                  <w:rStyle w:val="Hyperlink"/>
                  <w:rFonts w:ascii="Arial" w:eastAsia="Arial" w:hAnsi="Arial" w:cs="Arial"/>
                  <w:i/>
                  <w:color w:val="0077CC"/>
                  <w:sz w:val="20"/>
                </w:rPr>
                <w:t>Bane v. State, 327 Md. 305, 609 A.2d 313 (1992)</w:t>
              </w:r>
            </w:hyperlink>
            <w:r>
              <w:rPr>
                <w:rFonts w:ascii="Arial" w:eastAsia="Arial" w:hAnsi="Arial" w:cs="Arial"/>
                <w:color w:val="000000"/>
                <w:sz w:val="20"/>
              </w:rPr>
              <w:t xml:space="preserve"> (building converted from residential to commercial use); </w:t>
            </w:r>
            <w:hyperlink r:id="rId262" w:history="1">
              <w:r>
                <w:rPr>
                  <w:rStyle w:val="Hyperlink"/>
                  <w:rFonts w:ascii="Arial" w:eastAsia="Arial" w:hAnsi="Arial" w:cs="Arial"/>
                  <w:i/>
                  <w:color w:val="0077CC"/>
                  <w:sz w:val="20"/>
                </w:rPr>
                <w:t>Springfield v. State, 238 Md. 611, 208 A.2d 603 (1965)</w:t>
              </w:r>
            </w:hyperlink>
            <w:r>
              <w:rPr>
                <w:rFonts w:ascii="Arial" w:eastAsia="Arial" w:hAnsi="Arial" w:cs="Arial"/>
                <w:color w:val="000000"/>
                <w:sz w:val="20"/>
              </w:rPr>
              <w:t xml:space="preserve"> (per curiam) (schoolhouse); </w:t>
            </w:r>
            <w:hyperlink r:id="rId263" w:history="1">
              <w:r>
                <w:rPr>
                  <w:rStyle w:val="Hyperlink"/>
                  <w:rFonts w:ascii="Arial" w:eastAsia="Arial" w:hAnsi="Arial" w:cs="Arial"/>
                  <w:i/>
                  <w:color w:val="0077CC"/>
                  <w:sz w:val="20"/>
                </w:rPr>
                <w:t>Hardison v. State, 226 Md. 53, 58-59, 172 A.2d 407, 409-10 (1961)</w:t>
              </w:r>
            </w:hyperlink>
            <w:r>
              <w:rPr>
                <w:rFonts w:ascii="Arial" w:eastAsia="Arial" w:hAnsi="Arial" w:cs="Arial"/>
                <w:color w:val="000000"/>
                <w:sz w:val="20"/>
              </w:rPr>
              <w:t xml:space="preserve"> (supermarket); </w:t>
            </w:r>
            <w:hyperlink r:id="rId264" w:history="1">
              <w:r>
                <w:rPr>
                  <w:rStyle w:val="Hyperlink"/>
                  <w:rFonts w:ascii="Arial" w:eastAsia="Arial" w:hAnsi="Arial" w:cs="Arial"/>
                  <w:i/>
                  <w:color w:val="0077CC"/>
                  <w:sz w:val="20"/>
                </w:rPr>
                <w:t>Woodard v. State, 13 Md. App. 114, 282 A.2d 9</w:t>
              </w:r>
            </w:hyperlink>
            <w:r>
              <w:rPr>
                <w:rFonts w:ascii="Arial" w:eastAsia="Arial" w:hAnsi="Arial" w:cs="Arial"/>
                <w:color w:val="000000"/>
                <w:sz w:val="20"/>
              </w:rPr>
              <w:t xml:space="preserve"> (trailer or semi-trailer),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723 (1971);</w:t>
            </w:r>
            <w:r>
              <w:rPr>
                <w:rFonts w:ascii="Arial" w:eastAsia="Arial" w:hAnsi="Arial" w:cs="Arial"/>
                <w:color w:val="000000"/>
                <w:sz w:val="20"/>
              </w:rPr>
              <w:t xml:space="preserve"> </w:t>
            </w:r>
            <w:hyperlink r:id="rId265" w:history="1">
              <w:r>
                <w:rPr>
                  <w:rStyle w:val="Hyperlink"/>
                  <w:rFonts w:ascii="Arial" w:eastAsia="Arial" w:hAnsi="Arial" w:cs="Arial"/>
                  <w:i/>
                  <w:color w:val="0077CC"/>
                  <w:sz w:val="20"/>
                </w:rPr>
                <w:t>Sizemore v. State, 10 Md. App. 682, 272 A.2d 824</w:t>
              </w:r>
            </w:hyperlink>
            <w:r>
              <w:rPr>
                <w:rFonts w:ascii="Arial" w:eastAsia="Arial" w:hAnsi="Arial" w:cs="Arial"/>
                <w:color w:val="000000"/>
                <w:sz w:val="20"/>
              </w:rPr>
              <w:t xml:space="preserve"> (church),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261 Md. 728 (1971);</w:t>
            </w:r>
            <w:r>
              <w:rPr>
                <w:rFonts w:ascii="Arial" w:eastAsia="Arial" w:hAnsi="Arial" w:cs="Arial"/>
                <w:color w:val="000000"/>
                <w:sz w:val="20"/>
              </w:rPr>
              <w:t xml:space="preserve"> </w:t>
            </w:r>
            <w:hyperlink r:id="rId266" w:history="1">
              <w:r>
                <w:rPr>
                  <w:rStyle w:val="Hyperlink"/>
                  <w:rFonts w:ascii="Arial" w:eastAsia="Arial" w:hAnsi="Arial" w:cs="Arial"/>
                  <w:i/>
                  <w:color w:val="0077CC"/>
                  <w:sz w:val="20"/>
                </w:rPr>
                <w:t>Buckley v. State, 2 Md. App. 508, 235 A.2d 754 (1967)</w:t>
              </w:r>
            </w:hyperlink>
            <w:r>
              <w:rPr>
                <w:rFonts w:ascii="Arial" w:eastAsia="Arial" w:hAnsi="Arial" w:cs="Arial"/>
                <w:color w:val="000000"/>
                <w:sz w:val="20"/>
              </w:rPr>
              <w:t xml:space="preserve"> (fraternity house used as a meeting and recreational facility). In </w:t>
            </w:r>
            <w:r>
              <w:rPr>
                <w:rFonts w:ascii="Arial" w:eastAsia="Arial" w:hAnsi="Arial" w:cs="Arial"/>
                <w:i/>
                <w:color w:val="000000"/>
                <w:sz w:val="20"/>
              </w:rPr>
              <w:t>Bane</w:t>
            </w:r>
            <w:r>
              <w:rPr>
                <w:rFonts w:ascii="Arial" w:eastAsia="Arial" w:hAnsi="Arial" w:cs="Arial"/>
                <w:color w:val="000000"/>
                <w:sz w:val="20"/>
              </w:rPr>
              <w:t xml:space="preserve">, the Court of Appeals stated: "[W]here two businesses, with different owners, operate in the same building with offices separated only by a hallway and a door and not otherwise identified as separate, there is only one identifiable unit, an office building; hence, there is but one storehouse." </w:t>
            </w:r>
            <w:hyperlink r:id="rId267" w:history="1">
              <w:r>
                <w:rPr>
                  <w:rStyle w:val="Hyperlink"/>
                  <w:rFonts w:ascii="Arial" w:eastAsia="Arial" w:hAnsi="Arial" w:cs="Arial"/>
                  <w:i/>
                  <w:color w:val="0077CC"/>
                  <w:sz w:val="20"/>
                </w:rPr>
                <w:t>327 Md. at 315, 609 A.2d at 318-19.</w:t>
              </w:r>
            </w:hyperlink>
          </w:p>
          <w:p w:rsidR="004729FB" w:rsidRDefault="004729FB">
            <w:pPr>
              <w:spacing w:before="200" w:line="260" w:lineRule="atLeast"/>
              <w:ind w:left="60" w:right="360"/>
              <w:jc w:val="both"/>
            </w:pPr>
            <w:r>
              <w:rPr>
                <w:rFonts w:ascii="Arial" w:eastAsia="Arial" w:hAnsi="Arial" w:cs="Arial"/>
                <w:color w:val="000000"/>
                <w:sz w:val="20"/>
              </w:rPr>
              <w:t>This instruction uses the word "building," instead of the word "storehouse," because the statutory definition for second degree burglary includes not only "storehouse," but also includes any building. Additionally, storehouse includes structures that may not even be a building, e.g., a watercraft, pier, wharf, any facility attached to a pier or wharf, trailer, aircraft, vessel, or railroad car. CRIM. LAW I § 6-201(h)(2).</w:t>
            </w:r>
          </w:p>
          <w:p w:rsidR="004729FB" w:rsidRDefault="004729FB">
            <w:pPr>
              <w:spacing w:before="200" w:line="260" w:lineRule="atLeast"/>
              <w:ind w:left="60" w:right="360"/>
              <w:jc w:val="both"/>
            </w:pPr>
            <w:r>
              <w:rPr>
                <w:rFonts w:ascii="Arial" w:eastAsia="Arial" w:hAnsi="Arial" w:cs="Arial"/>
                <w:color w:val="000000"/>
                <w:sz w:val="20"/>
              </w:rPr>
              <w:t xml:space="preserve">The scope of a storehouse, within the meaning of burglary, and the scope of structure, within the meaning of arson, are similar but not identical. For example, in arson, a structure includes a vehicle, tent, or public bridge, but in burglary, storehouse does not. </w:t>
            </w:r>
            <w:r>
              <w:rPr>
                <w:rFonts w:ascii="Arial" w:eastAsia="Arial" w:hAnsi="Arial" w:cs="Arial"/>
                <w:i/>
                <w:color w:val="000000"/>
                <w:sz w:val="20"/>
              </w:rPr>
              <w:t>See id.</w:t>
            </w:r>
            <w:r>
              <w:rPr>
                <w:rFonts w:ascii="Arial" w:eastAsia="Arial" w:hAnsi="Arial" w:cs="Arial"/>
                <w:color w:val="000000"/>
                <w:sz w:val="20"/>
              </w:rPr>
              <w:t xml:space="preserve"> §§ 6-101(d)(2)(ii), 6-201(h)(2). On the other hand, in burglary, storehouse includes a trailer, but in arson, structure does not. </w:t>
            </w:r>
            <w:r>
              <w:rPr>
                <w:rFonts w:ascii="Arial" w:eastAsia="Arial" w:hAnsi="Arial" w:cs="Arial"/>
                <w:i/>
                <w:color w:val="000000"/>
                <w:sz w:val="20"/>
              </w:rPr>
              <w:t>See id.</w:t>
            </w:r>
            <w:r>
              <w:rPr>
                <w:rFonts w:ascii="Arial" w:eastAsia="Arial" w:hAnsi="Arial" w:cs="Arial"/>
                <w:color w:val="000000"/>
                <w:sz w:val="20"/>
              </w:rPr>
              <w:t xml:space="preserve"> §§ 6-101(d), 6-201(h)(2)(iv).</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89" style="position:absolute;z-index:25170227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4:00.1, MPJI-Cr 4:06.4, MPJI-Cr 4:32.</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6" style="position:absolute;left:0;text-align:left;z-index:251709440;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3" name="Picture 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68" w:history="1">
        <w:r>
          <w:rPr>
            <w:rStyle w:val="Hyperlink"/>
            <w:rFonts w:ascii="Arial" w:eastAsia="Arial" w:hAnsi="Arial" w:cs="Arial"/>
            <w:b/>
            <w:bCs/>
            <w:i/>
            <w:color w:val="0077CC"/>
            <w:kern w:val="32"/>
            <w:sz w:val="28"/>
            <w:szCs w:val="32"/>
          </w:rPr>
          <w:t>MPJI-Cr 4:06.2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BURGLARY--THIRD DEGREE</w:t>
      </w:r>
    </w:p>
    <w:p w:rsidR="004729FB" w:rsidRDefault="004729FB" w:rsidP="004729FB">
      <w:pPr>
        <w:keepNext/>
        <w:spacing w:before="240" w:line="340" w:lineRule="atLeast"/>
      </w:pPr>
      <w:r>
        <w:br/>
      </w:r>
      <w:r>
        <w:rPr>
          <w:rFonts w:ascii="Arial" w:eastAsia="Arial" w:hAnsi="Arial" w:cs="Arial"/>
          <w:b/>
          <w:color w:val="000000"/>
          <w:sz w:val="28"/>
        </w:rPr>
        <w:t>4:06.2Burglary--Third Degree</w:t>
      </w:r>
    </w:p>
    <w:p w:rsidR="004729FB" w:rsidRDefault="004729FB" w:rsidP="004729FB">
      <w:pPr>
        <w:spacing w:line="60" w:lineRule="exact"/>
      </w:pPr>
      <w:r>
        <w:pict>
          <v:line id="_x0000_s1080" style="position:absolute;z-index:25169305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third degree. Burglary in the third degree is the breaking and entering of someone else's dwelling with the intent to commit any crime. In order to convict the defendant of burglary in the third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a crime inside</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4:06 (Burglary--First Degree).</w:t>
            </w:r>
          </w:p>
          <w:p w:rsidR="004729FB" w:rsidRDefault="004729FB">
            <w:pPr>
              <w:spacing w:before="200" w:line="260" w:lineRule="atLeast"/>
              <w:ind w:left="60" w:right="360"/>
              <w:jc w:val="both"/>
            </w:pPr>
            <w:r>
              <w:rPr>
                <w:rFonts w:ascii="Arial" w:eastAsia="Arial" w:hAnsi="Arial" w:cs="Arial"/>
                <w:color w:val="000000"/>
                <w:sz w:val="20"/>
              </w:rPr>
              <w:t>It is third degree burglary to "break and enter the dwelling of another with the intent to commit any crime." CRIM. LAW I § 6-204. Third degree burglary is the same as first degree burglary, except for the intent element, which is expanded to include the intent to commit any crime.</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lastRenderedPageBreak/>
        <w:br/>
      </w:r>
      <w:r>
        <w:rPr>
          <w:rFonts w:ascii="Arial" w:eastAsia="Arial" w:hAnsi="Arial" w:cs="Arial"/>
          <w:b/>
          <w:color w:val="000000"/>
          <w:sz w:val="28"/>
        </w:rPr>
        <w:t>Reference</w:t>
      </w:r>
    </w:p>
    <w:p w:rsidR="004729FB" w:rsidRDefault="004729FB" w:rsidP="004729FB">
      <w:pPr>
        <w:spacing w:line="60" w:lineRule="exact"/>
      </w:pPr>
      <w:r>
        <w:pict>
          <v:line id="_x0000_s1090" style="position:absolute;z-index:25170329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7" style="position:absolute;left:0;text-align:left;z-index:251710464;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2" name="Picture 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69" w:history="1">
        <w:r>
          <w:rPr>
            <w:rStyle w:val="Hyperlink"/>
            <w:rFonts w:ascii="Arial" w:eastAsia="Arial" w:hAnsi="Arial" w:cs="Arial"/>
            <w:b/>
            <w:bCs/>
            <w:i/>
            <w:color w:val="0077CC"/>
            <w:kern w:val="32"/>
            <w:sz w:val="28"/>
            <w:szCs w:val="32"/>
          </w:rPr>
          <w:t>MPJI-Cr 4:06.4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BURGLARY--FOURTH DEGREE (BREAK AND ENTER BUILDING)</w:t>
      </w:r>
    </w:p>
    <w:p w:rsidR="004729FB" w:rsidRDefault="004729FB" w:rsidP="004729FB">
      <w:pPr>
        <w:keepNext/>
        <w:spacing w:before="240" w:line="340" w:lineRule="atLeast"/>
      </w:pPr>
      <w:r>
        <w:br/>
      </w:r>
      <w:r>
        <w:rPr>
          <w:rFonts w:ascii="Arial" w:eastAsia="Arial" w:hAnsi="Arial" w:cs="Arial"/>
          <w:b/>
          <w:color w:val="000000"/>
          <w:sz w:val="28"/>
        </w:rPr>
        <w:t>4:06.4Burglary--Fourth Degree (Break And Enter Building)</w:t>
      </w:r>
    </w:p>
    <w:p w:rsidR="004729FB" w:rsidRDefault="004729FB" w:rsidP="004729FB">
      <w:pPr>
        <w:spacing w:line="60" w:lineRule="exact"/>
      </w:pPr>
      <w:r>
        <w:pict>
          <v:line id="_x0000_s1081" style="position:absolute;z-index:25169408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fourth degree. Burglary in the fourth degree is the breaking and entering of someone else's building. In order to convict the defendant of burglary in the fourth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building; and</w:t>
      </w:r>
    </w:p>
    <w:p w:rsidR="004729FB" w:rsidRDefault="004729FB" w:rsidP="004729FB">
      <w:pPr>
        <w:spacing w:before="200" w:line="260" w:lineRule="atLeast"/>
        <w:ind w:left="400"/>
        <w:jc w:val="both"/>
      </w:pPr>
      <w:r>
        <w:rPr>
          <w:rFonts w:ascii="Arial" w:eastAsia="Arial" w:hAnsi="Arial" w:cs="Arial"/>
          <w:b/>
          <w:color w:val="000000"/>
          <w:sz w:val="20"/>
        </w:rPr>
        <w:t>(4) that the defendant was the person who committed the act; [and]</w:t>
      </w:r>
    </w:p>
    <w:p w:rsidR="004729FB" w:rsidRDefault="004729FB" w:rsidP="004729FB">
      <w:pPr>
        <w:spacing w:before="200" w:line="260" w:lineRule="atLeast"/>
        <w:ind w:left="400"/>
        <w:jc w:val="both"/>
      </w:pPr>
      <w:r>
        <w:rPr>
          <w:rFonts w:ascii="Arial" w:eastAsia="Arial" w:hAnsi="Arial" w:cs="Arial"/>
          <w:b/>
          <w:color w:val="000000"/>
          <w:sz w:val="20"/>
        </w:rPr>
        <w:t>[(5) that the defendant did not honestly and reasonably believe that [he] [she] had the right or invitation to enter the premises.]</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building</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4:06 (Burglary--First Degree); MPJI-Cr 4:06.1 (Burglary--Second degree); MPJI-Cr 4:06.3 (Burglary--Fourth Degree (Dwelling)).</w:t>
            </w:r>
          </w:p>
          <w:p w:rsidR="004729FB" w:rsidRDefault="004729FB">
            <w:pPr>
              <w:spacing w:before="240" w:line="260" w:lineRule="atLeast"/>
              <w:ind w:left="60" w:right="360"/>
              <w:jc w:val="both"/>
            </w:pPr>
            <w:r>
              <w:rPr>
                <w:rFonts w:ascii="Arial" w:eastAsia="Arial" w:hAnsi="Arial" w:cs="Arial"/>
                <w:color w:val="000000"/>
                <w:sz w:val="20"/>
              </w:rPr>
              <w:t xml:space="preserve">It is fourth degree burglary to break and enter the storehouse of another. CRIM. LAW I § 6-205(b). Even though the statute makes no reference to mental state, § 6-205(b), like § 6-205(a), is a criminal trespass statute, requiring a general intent to break and enter, which is neither inadvertent nor done with a reasonable belief of authorization. </w:t>
            </w:r>
            <w:r>
              <w:rPr>
                <w:rFonts w:ascii="Arial" w:eastAsia="Arial" w:hAnsi="Arial" w:cs="Arial"/>
                <w:i/>
                <w:color w:val="000000"/>
                <w:sz w:val="20"/>
              </w:rPr>
              <w:t xml:space="preserve">See </w:t>
            </w:r>
            <w:hyperlink r:id="rId270" w:history="1">
              <w:r>
                <w:rPr>
                  <w:rStyle w:val="Hyperlink"/>
                  <w:rFonts w:ascii="Arial" w:eastAsia="Arial" w:hAnsi="Arial" w:cs="Arial"/>
                  <w:i/>
                  <w:color w:val="0077CC"/>
                  <w:sz w:val="20"/>
                </w:rPr>
                <w:t>Herd v. State, 125 Md. App. 77, 724 A.2d 693 (1999);</w:t>
              </w:r>
            </w:hyperlink>
            <w:r>
              <w:rPr>
                <w:rFonts w:ascii="Arial" w:eastAsia="Arial" w:hAnsi="Arial" w:cs="Arial"/>
                <w:color w:val="000000"/>
                <w:sz w:val="20"/>
              </w:rPr>
              <w:t xml:space="preserve"> </w:t>
            </w:r>
            <w:hyperlink r:id="rId271" w:history="1">
              <w:r>
                <w:rPr>
                  <w:rStyle w:val="Hyperlink"/>
                  <w:rFonts w:ascii="Arial" w:eastAsia="Arial" w:hAnsi="Arial" w:cs="Arial"/>
                  <w:i/>
                  <w:color w:val="0077CC"/>
                  <w:sz w:val="20"/>
                </w:rPr>
                <w:t>Green v. State, 119 Md. App. 547, 705 A.2d 133 (1998);</w:t>
              </w:r>
            </w:hyperlink>
            <w:r>
              <w:rPr>
                <w:rFonts w:ascii="Arial" w:eastAsia="Arial" w:hAnsi="Arial" w:cs="Arial"/>
                <w:color w:val="000000"/>
                <w:sz w:val="20"/>
              </w:rPr>
              <w:t xml:space="preserve"> </w:t>
            </w:r>
            <w:hyperlink r:id="rId272" w:history="1">
              <w:r>
                <w:rPr>
                  <w:rStyle w:val="Hyperlink"/>
                  <w:rFonts w:ascii="Arial" w:eastAsia="Arial" w:hAnsi="Arial" w:cs="Arial"/>
                  <w:i/>
                  <w:color w:val="0077CC"/>
                  <w:sz w:val="20"/>
                </w:rPr>
                <w:t>Warfield v. State, 315 Md. 474, 554 A.2d 1238 (1989).</w:t>
              </w:r>
            </w:hyperlink>
          </w:p>
          <w:p w:rsidR="004729FB" w:rsidRDefault="004729FB">
            <w:pPr>
              <w:spacing w:before="200" w:line="260" w:lineRule="atLeast"/>
              <w:ind w:left="60" w:right="360"/>
              <w:jc w:val="both"/>
            </w:pPr>
            <w:r>
              <w:rPr>
                <w:rFonts w:ascii="Arial" w:eastAsia="Arial" w:hAnsi="Arial" w:cs="Arial"/>
                <w:color w:val="000000"/>
                <w:sz w:val="20"/>
              </w:rPr>
              <w:t>This instruction was updated in June 2018 to correct a scrivener's error.</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91" style="position:absolute;z-index:25170432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4:06.1,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8" style="position:absolute;left:0;text-align:left;z-index:251711488;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 name="Picture 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273" w:history="1">
        <w:r>
          <w:rPr>
            <w:rStyle w:val="Hyperlink"/>
            <w:rFonts w:ascii="Arial" w:eastAsia="Arial" w:hAnsi="Arial" w:cs="Arial"/>
            <w:b/>
            <w:bCs/>
            <w:i/>
            <w:color w:val="0077CC"/>
            <w:kern w:val="32"/>
            <w:sz w:val="28"/>
            <w:szCs w:val="32"/>
          </w:rPr>
          <w:t>MPJI-Cr 4:06.3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BURGLARY--FOURTH DEGREE (BREAK AND ENTER DWELLING)</w:t>
      </w:r>
    </w:p>
    <w:p w:rsidR="004729FB" w:rsidRDefault="004729FB" w:rsidP="004729FB">
      <w:pPr>
        <w:keepNext/>
        <w:spacing w:before="240" w:line="340" w:lineRule="atLeast"/>
      </w:pPr>
      <w:r>
        <w:br/>
      </w:r>
      <w:r>
        <w:rPr>
          <w:rFonts w:ascii="Arial" w:eastAsia="Arial" w:hAnsi="Arial" w:cs="Arial"/>
          <w:b/>
          <w:color w:val="000000"/>
          <w:sz w:val="28"/>
        </w:rPr>
        <w:t>4:06.3Burglary--Fourth Degree (Break and Enter Dwelling)</w:t>
      </w:r>
    </w:p>
    <w:p w:rsidR="004729FB" w:rsidRDefault="004729FB" w:rsidP="004729FB">
      <w:pPr>
        <w:spacing w:line="60" w:lineRule="exact"/>
      </w:pPr>
      <w:r>
        <w:pict>
          <v:line id="_x0000_s1082" style="position:absolute;z-index:25169510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fourth degree. Burglary in the fourth degree is the breaking and entering of someone else's dwelling. In order to convict the defendant of burglary in the fourth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 and</w:t>
      </w:r>
    </w:p>
    <w:p w:rsidR="004729FB" w:rsidRDefault="004729FB" w:rsidP="004729FB">
      <w:pPr>
        <w:spacing w:before="200" w:line="260" w:lineRule="atLeast"/>
        <w:ind w:left="400"/>
        <w:jc w:val="both"/>
      </w:pPr>
      <w:r>
        <w:rPr>
          <w:rFonts w:ascii="Arial" w:eastAsia="Arial" w:hAnsi="Arial" w:cs="Arial"/>
          <w:b/>
          <w:color w:val="000000"/>
          <w:sz w:val="20"/>
        </w:rPr>
        <w:t>(4) that the defendant was the person who broke and entered; [and]</w:t>
      </w:r>
    </w:p>
    <w:p w:rsidR="004729FB" w:rsidRDefault="004729FB" w:rsidP="004729FB">
      <w:pPr>
        <w:spacing w:before="200" w:line="260" w:lineRule="atLeast"/>
        <w:ind w:left="400"/>
        <w:jc w:val="both"/>
      </w:pPr>
      <w:r>
        <w:rPr>
          <w:rFonts w:ascii="Arial" w:eastAsia="Arial" w:hAnsi="Arial" w:cs="Arial"/>
          <w:b/>
          <w:color w:val="000000"/>
          <w:sz w:val="20"/>
        </w:rPr>
        <w:t>[(5) that the defendant did not honestly and reasonably believe that [he] [she] had the right or invitation to enter the premises.]</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4:06 (Burglary--First Degree); MPJI-Cr 4:06.2 (Burglary--Third Degree).</w:t>
            </w:r>
          </w:p>
          <w:p w:rsidR="004729FB" w:rsidRDefault="004729FB">
            <w:pPr>
              <w:spacing w:before="200" w:line="260" w:lineRule="atLeast"/>
              <w:ind w:left="60" w:right="360"/>
              <w:jc w:val="both"/>
            </w:pPr>
            <w:r>
              <w:rPr>
                <w:rFonts w:ascii="Arial" w:eastAsia="Arial" w:hAnsi="Arial" w:cs="Arial"/>
                <w:color w:val="000000"/>
                <w:sz w:val="20"/>
              </w:rPr>
              <w:t xml:space="preserve">It is fourth degree burglary to break and enter the dwelling of another. CRIM. LAW I § 6-205(a). Even though the statute makes no reference to mental state, the statute is not one of strict liability. Breaking and entering a dwelling house is malum in se and not wrong solely because it is prohibited by the legislature. </w:t>
            </w:r>
            <w:r>
              <w:rPr>
                <w:rFonts w:ascii="Arial" w:eastAsia="Arial" w:hAnsi="Arial" w:cs="Arial"/>
                <w:i/>
                <w:color w:val="000000"/>
                <w:sz w:val="20"/>
              </w:rPr>
              <w:t xml:space="preserve">See </w:t>
            </w:r>
            <w:hyperlink r:id="rId274" w:history="1">
              <w:r>
                <w:rPr>
                  <w:rStyle w:val="Hyperlink"/>
                  <w:rFonts w:ascii="Arial" w:eastAsia="Arial" w:hAnsi="Arial" w:cs="Arial"/>
                  <w:i/>
                  <w:color w:val="0077CC"/>
                  <w:sz w:val="20"/>
                </w:rPr>
                <w:t>Warfield v. State, 315 Md. 474, 495-97, 554 A.2d 1238, 1248-50 (1989).</w:t>
              </w:r>
            </w:hyperlink>
            <w:r>
              <w:rPr>
                <w:rFonts w:ascii="Arial" w:eastAsia="Arial" w:hAnsi="Arial" w:cs="Arial"/>
                <w:color w:val="000000"/>
                <w:sz w:val="20"/>
              </w:rPr>
              <w:t xml:space="preserve"> In </w:t>
            </w:r>
            <w:r>
              <w:rPr>
                <w:rFonts w:ascii="Arial" w:eastAsia="Arial" w:hAnsi="Arial" w:cs="Arial"/>
                <w:i/>
                <w:color w:val="000000"/>
                <w:sz w:val="20"/>
              </w:rPr>
              <w:t>Warfield</w:t>
            </w:r>
            <w:r>
              <w:rPr>
                <w:rFonts w:ascii="Arial" w:eastAsia="Arial" w:hAnsi="Arial" w:cs="Arial"/>
                <w:color w:val="000000"/>
                <w:sz w:val="20"/>
              </w:rPr>
              <w:t>, the Court of Appeals stated:</w:t>
            </w:r>
          </w:p>
          <w:p w:rsidR="004729FB" w:rsidRDefault="004729FB">
            <w:pPr>
              <w:spacing w:before="60" w:line="260" w:lineRule="atLeast"/>
              <w:ind w:left="460" w:right="360"/>
              <w:jc w:val="both"/>
            </w:pPr>
            <w:r>
              <w:rPr>
                <w:rFonts w:ascii="Arial" w:eastAsia="Arial" w:hAnsi="Arial" w:cs="Arial"/>
                <w:color w:val="000000"/>
                <w:sz w:val="20"/>
              </w:rPr>
              <w:t>[W]hen an act malum in se is made a crime by statute, the statute is to be construed in the light of the common law, and the existence of criminal intent is essential. … [A]lthough [the statute] does not call for a specific intent, it does require proof of a general intent to break and enter.</w:t>
            </w:r>
          </w:p>
          <w:p w:rsidR="004729FB" w:rsidRDefault="004729FB">
            <w:pPr>
              <w:spacing w:before="240" w:line="260" w:lineRule="atLeast"/>
              <w:ind w:left="60" w:right="360"/>
              <w:jc w:val="both"/>
            </w:pPr>
            <w:hyperlink r:id="rId275" w:history="1">
              <w:r>
                <w:rPr>
                  <w:rStyle w:val="Hyperlink"/>
                  <w:rFonts w:ascii="Arial" w:eastAsia="Arial" w:hAnsi="Arial" w:cs="Arial"/>
                  <w:i/>
                  <w:color w:val="0077CC"/>
                  <w:sz w:val="20"/>
                </w:rPr>
                <w:t>Id. at 497, 554 A.2d at 1249-50</w:t>
              </w:r>
            </w:hyperlink>
            <w:r>
              <w:rPr>
                <w:rFonts w:ascii="Arial" w:eastAsia="Arial" w:hAnsi="Arial" w:cs="Arial"/>
                <w:color w:val="000000"/>
                <w:sz w:val="20"/>
              </w:rPr>
              <w:t xml:space="preserve"> (citation omitted). The statute is a criminal trespass statute. The Court held as follows:</w:t>
            </w:r>
          </w:p>
          <w:p w:rsidR="004729FB" w:rsidRDefault="004729FB">
            <w:pPr>
              <w:spacing w:before="60" w:line="260" w:lineRule="atLeast"/>
              <w:ind w:left="460" w:right="360"/>
              <w:jc w:val="both"/>
            </w:pPr>
            <w:r>
              <w:rPr>
                <w:rFonts w:ascii="Arial" w:eastAsia="Arial" w:hAnsi="Arial" w:cs="Arial"/>
                <w:color w:val="000000"/>
                <w:sz w:val="20"/>
              </w:rPr>
              <w:t>[T]he intrusion, to be culpable, [must] be with an awareness that it was unwarranted--lacking authority, license, privilege, invitation, or legality. To make culpable the inadvertent trespasser and the trespasser who entertains a reasonable belief that his conduct was proper would be unreasonable, illogical, inconsistent with common sense, and contrary to the interests of justice.</w:t>
            </w:r>
          </w:p>
          <w:p w:rsidR="004729FB" w:rsidRDefault="004729FB">
            <w:pPr>
              <w:spacing w:before="240" w:line="260" w:lineRule="atLeast"/>
              <w:ind w:left="60" w:right="360"/>
              <w:jc w:val="both"/>
            </w:pPr>
            <w:hyperlink r:id="rId276" w:history="1">
              <w:r>
                <w:rPr>
                  <w:rStyle w:val="Hyperlink"/>
                  <w:rFonts w:ascii="Arial" w:eastAsia="Arial" w:hAnsi="Arial" w:cs="Arial"/>
                  <w:i/>
                  <w:color w:val="0077CC"/>
                  <w:sz w:val="20"/>
                </w:rPr>
                <w:t>Id. at 500-01, 554 A.2d at 1251</w:t>
              </w:r>
            </w:hyperlink>
            <w:r>
              <w:rPr>
                <w:rFonts w:ascii="Arial" w:eastAsia="Arial" w:hAnsi="Arial" w:cs="Arial"/>
                <w:color w:val="000000"/>
                <w:sz w:val="20"/>
              </w:rPr>
              <w:t xml:space="preserve"> (holding that a person hired to shovel the property owner's walk, beginning at the closed, but unlocked, garage door, without instructions regarding the garage, was not a trespasser).</w:t>
            </w:r>
          </w:p>
          <w:p w:rsidR="004729FB" w:rsidRDefault="004729FB">
            <w:pPr>
              <w:spacing w:before="240" w:line="260" w:lineRule="atLeast"/>
              <w:ind w:left="60" w:right="360"/>
              <w:jc w:val="both"/>
            </w:pPr>
            <w:r>
              <w:rPr>
                <w:rFonts w:ascii="Arial" w:eastAsia="Arial" w:hAnsi="Arial" w:cs="Arial"/>
                <w:color w:val="000000"/>
                <w:sz w:val="20"/>
              </w:rPr>
              <w:t xml:space="preserve">The instruction includes a mental state component, which must be included whenever the issue is generated by the evidence. In </w:t>
            </w:r>
            <w:hyperlink r:id="rId277" w:history="1">
              <w:r>
                <w:rPr>
                  <w:rStyle w:val="Hyperlink"/>
                  <w:rFonts w:ascii="Arial" w:eastAsia="Arial" w:hAnsi="Arial" w:cs="Arial"/>
                  <w:i/>
                  <w:color w:val="0077CC"/>
                  <w:sz w:val="20"/>
                </w:rPr>
                <w:t>Green v. State, 119 Md. App. 547, 705 A.2d 133 (1998),</w:t>
              </w:r>
            </w:hyperlink>
            <w:r>
              <w:rPr>
                <w:rFonts w:ascii="Arial" w:eastAsia="Arial" w:hAnsi="Arial" w:cs="Arial"/>
                <w:color w:val="000000"/>
                <w:sz w:val="20"/>
              </w:rPr>
              <w:t xml:space="preserve"> the Court of Special Appeals, applying </w:t>
            </w:r>
            <w:r>
              <w:rPr>
                <w:rFonts w:ascii="Arial" w:eastAsia="Arial" w:hAnsi="Arial" w:cs="Arial"/>
                <w:i/>
                <w:color w:val="000000"/>
                <w:sz w:val="20"/>
              </w:rPr>
              <w:t>Warfield</w:t>
            </w:r>
            <w:r>
              <w:rPr>
                <w:rFonts w:ascii="Arial" w:eastAsia="Arial" w:hAnsi="Arial" w:cs="Arial"/>
                <w:color w:val="000000"/>
                <w:sz w:val="20"/>
              </w:rPr>
              <w:t xml:space="preserve">, reversed a conviction for the failure to include mental state in the instruction when that issue was generated by the evidence, i.e., the defendant was aware he was making an unauthorized entry. In </w:t>
            </w:r>
            <w:hyperlink r:id="rId278" w:history="1">
              <w:r>
                <w:rPr>
                  <w:rStyle w:val="Hyperlink"/>
                  <w:rFonts w:ascii="Arial" w:eastAsia="Arial" w:hAnsi="Arial" w:cs="Arial"/>
                  <w:i/>
                  <w:color w:val="0077CC"/>
                  <w:sz w:val="20"/>
                </w:rPr>
                <w:t>Herd v. State, 125 Md. App. 77, 724 A.2d 693 (1999),</w:t>
              </w:r>
            </w:hyperlink>
            <w:r>
              <w:rPr>
                <w:rFonts w:ascii="Arial" w:eastAsia="Arial" w:hAnsi="Arial" w:cs="Arial"/>
                <w:color w:val="000000"/>
                <w:sz w:val="20"/>
              </w:rPr>
              <w:t xml:space="preserve"> the Court of Special Appeals held that there is a rebuttable presumption that the defendant's entry is not authorized, licensed, or privileged, placing the burden of production on the defendant. If the defendant produces evidence of an honest and reasonable belief that his presence was authorized, licensed, or privileged, the State bears the burden of persuasion, beyond a reasonable doubt, to prove that the defendant lacked either an honest belief or a reasonable belief that his entry was authorized, licensed, or privileged. </w:t>
            </w:r>
            <w:hyperlink r:id="rId279" w:history="1">
              <w:r>
                <w:rPr>
                  <w:rStyle w:val="Hyperlink"/>
                  <w:rFonts w:ascii="Arial" w:eastAsia="Arial" w:hAnsi="Arial" w:cs="Arial"/>
                  <w:i/>
                  <w:color w:val="0077CC"/>
                  <w:sz w:val="20"/>
                </w:rPr>
                <w:t>Id. at 93-109, 724 A.2d at 701-09.</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092" style="position:absolute;z-index:25170534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4:06.2,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099" style="position:absolute;left:0;text-align:left;z-index:251712512;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10:47:00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77923588</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280" w:history="1">
        <w:r>
          <w:rPr>
            <w:rStyle w:val="Hyperlink"/>
            <w:rFonts w:ascii="Arial" w:eastAsia="Arial" w:hAnsi="Arial" w:cs="Arial"/>
            <w:color w:val="000000"/>
            <w:sz w:val="20"/>
          </w:rPr>
          <w:t xml:space="preserve"> </w:t>
        </w:r>
      </w:hyperlink>
      <w:hyperlink r:id="rId281" w:history="1">
        <w:r>
          <w:rPr>
            <w:rStyle w:val="Hyperlink"/>
            <w:rFonts w:ascii="Arial" w:eastAsia="Arial" w:hAnsi="Arial" w:cs="Arial"/>
            <w:i/>
            <w:color w:val="0077CC"/>
            <w:sz w:val="20"/>
          </w:rPr>
          <w:t>Bad Check--Stop Payment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282" w:history="1">
        <w:r>
          <w:rPr>
            <w:rStyle w:val="Hyperlink"/>
            <w:rFonts w:ascii="Arial" w:eastAsia="Arial" w:hAnsi="Arial" w:cs="Arial"/>
            <w:color w:val="000000"/>
            <w:sz w:val="20"/>
          </w:rPr>
          <w:t xml:space="preserve"> </w:t>
        </w:r>
      </w:hyperlink>
      <w:hyperlink r:id="rId283" w:history="1">
        <w:r>
          <w:rPr>
            <w:rStyle w:val="Hyperlink"/>
            <w:rFonts w:ascii="Arial" w:eastAsia="Arial" w:hAnsi="Arial" w:cs="Arial"/>
            <w:i/>
            <w:color w:val="0077CC"/>
            <w:sz w:val="20"/>
          </w:rPr>
          <w:t>Carjacking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284" w:history="1">
        <w:r>
          <w:rPr>
            <w:rStyle w:val="Hyperlink"/>
            <w:rFonts w:ascii="Arial" w:eastAsia="Arial" w:hAnsi="Arial" w:cs="Arial"/>
            <w:color w:val="000000"/>
            <w:sz w:val="20"/>
          </w:rPr>
          <w:t xml:space="preserve"> </w:t>
        </w:r>
      </w:hyperlink>
      <w:hyperlink r:id="rId285" w:history="1">
        <w:r>
          <w:rPr>
            <w:rStyle w:val="Hyperlink"/>
            <w:rFonts w:ascii="Arial" w:eastAsia="Arial" w:hAnsi="Arial" w:cs="Arial"/>
            <w:i/>
            <w:color w:val="0077CC"/>
            <w:sz w:val="20"/>
          </w:rPr>
          <w:t>Armed Carjacking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286" w:history="1">
        <w:r>
          <w:rPr>
            <w:rStyle w:val="Hyperlink"/>
            <w:rFonts w:ascii="Arial" w:eastAsia="Arial" w:hAnsi="Arial" w:cs="Arial"/>
            <w:color w:val="000000"/>
            <w:sz w:val="20"/>
          </w:rPr>
          <w:t xml:space="preserve"> </w:t>
        </w:r>
      </w:hyperlink>
      <w:hyperlink r:id="rId287" w:history="1">
        <w:r>
          <w:rPr>
            <w:rStyle w:val="Hyperlink"/>
            <w:rFonts w:ascii="Arial" w:eastAsia="Arial" w:hAnsi="Arial" w:cs="Arial"/>
            <w:i/>
            <w:color w:val="0077CC"/>
            <w:sz w:val="20"/>
          </w:rPr>
          <w:t>Bribery and Attempted Bribery--Bribers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288" w:history="1">
        <w:r>
          <w:rPr>
            <w:rStyle w:val="Hyperlink"/>
            <w:rFonts w:ascii="Arial" w:eastAsia="Arial" w:hAnsi="Arial" w:cs="Arial"/>
            <w:color w:val="000000"/>
            <w:sz w:val="20"/>
          </w:rPr>
          <w:t xml:space="preserve"> </w:t>
        </w:r>
      </w:hyperlink>
      <w:hyperlink r:id="rId289" w:history="1">
        <w:r>
          <w:rPr>
            <w:rStyle w:val="Hyperlink"/>
            <w:rFonts w:ascii="Arial" w:eastAsia="Arial" w:hAnsi="Arial" w:cs="Arial"/>
            <w:i/>
            <w:color w:val="0077CC"/>
            <w:sz w:val="20"/>
          </w:rPr>
          <w:t>Bribery and Attempted Bribery--Bribees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290" w:history="1">
        <w:r>
          <w:rPr>
            <w:rStyle w:val="Hyperlink"/>
            <w:rFonts w:ascii="Arial" w:eastAsia="Arial" w:hAnsi="Arial" w:cs="Arial"/>
            <w:color w:val="000000"/>
            <w:sz w:val="20"/>
          </w:rPr>
          <w:t xml:space="preserve"> </w:t>
        </w:r>
      </w:hyperlink>
      <w:hyperlink r:id="rId291" w:history="1">
        <w:r>
          <w:rPr>
            <w:rStyle w:val="Hyperlink"/>
            <w:rFonts w:ascii="Arial" w:eastAsia="Arial" w:hAnsi="Arial" w:cs="Arial"/>
            <w:i/>
            <w:color w:val="0077CC"/>
            <w:sz w:val="20"/>
          </w:rPr>
          <w:t>Burglary--First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292" w:history="1">
        <w:r>
          <w:rPr>
            <w:rStyle w:val="Hyperlink"/>
            <w:rFonts w:ascii="Arial" w:eastAsia="Arial" w:hAnsi="Arial" w:cs="Arial"/>
            <w:color w:val="000000"/>
            <w:sz w:val="20"/>
          </w:rPr>
          <w:t xml:space="preserve"> </w:t>
        </w:r>
      </w:hyperlink>
      <w:hyperlink r:id="rId293" w:history="1">
        <w:r>
          <w:rPr>
            <w:rStyle w:val="Hyperlink"/>
            <w:rFonts w:ascii="Arial" w:eastAsia="Arial" w:hAnsi="Arial" w:cs="Arial"/>
            <w:i/>
            <w:color w:val="0077CC"/>
            <w:sz w:val="20"/>
          </w:rPr>
          <w:t>Burglary--Second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294" w:history="1">
        <w:r>
          <w:rPr>
            <w:rStyle w:val="Hyperlink"/>
            <w:rFonts w:ascii="Arial" w:eastAsia="Arial" w:hAnsi="Arial" w:cs="Arial"/>
            <w:color w:val="000000"/>
            <w:sz w:val="20"/>
          </w:rPr>
          <w:t xml:space="preserve"> </w:t>
        </w:r>
      </w:hyperlink>
      <w:hyperlink r:id="rId295" w:history="1">
        <w:r>
          <w:rPr>
            <w:rStyle w:val="Hyperlink"/>
            <w:rFonts w:ascii="Arial" w:eastAsia="Arial" w:hAnsi="Arial" w:cs="Arial"/>
            <w:i/>
            <w:color w:val="0077CC"/>
            <w:sz w:val="20"/>
          </w:rPr>
          <w:t>Burglary--Third Degree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296" w:history="1">
        <w:r>
          <w:rPr>
            <w:rStyle w:val="Hyperlink"/>
            <w:rFonts w:ascii="Arial" w:eastAsia="Arial" w:hAnsi="Arial" w:cs="Arial"/>
            <w:color w:val="000000"/>
            <w:sz w:val="20"/>
          </w:rPr>
          <w:t xml:space="preserve"> </w:t>
        </w:r>
      </w:hyperlink>
      <w:hyperlink r:id="rId297" w:history="1">
        <w:r>
          <w:rPr>
            <w:rStyle w:val="Hyperlink"/>
            <w:rFonts w:ascii="Arial" w:eastAsia="Arial" w:hAnsi="Arial" w:cs="Arial"/>
            <w:i/>
            <w:color w:val="0077CC"/>
            <w:sz w:val="20"/>
          </w:rPr>
          <w:t>Burglary--Fourth Degree (Break And Enter Building)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298" w:history="1">
        <w:r>
          <w:rPr>
            <w:rStyle w:val="Hyperlink"/>
            <w:rFonts w:ascii="Arial" w:eastAsia="Arial" w:hAnsi="Arial" w:cs="Arial"/>
            <w:color w:val="000000"/>
            <w:sz w:val="20"/>
          </w:rPr>
          <w:t xml:space="preserve"> </w:t>
        </w:r>
      </w:hyperlink>
      <w:hyperlink r:id="rId299" w:history="1">
        <w:r>
          <w:rPr>
            <w:rStyle w:val="Hyperlink"/>
            <w:rFonts w:ascii="Arial" w:eastAsia="Arial" w:hAnsi="Arial" w:cs="Arial"/>
            <w:i/>
            <w:color w:val="0077CC"/>
            <w:sz w:val="20"/>
          </w:rPr>
          <w:t>Burglary--Fourth Degree (Break and Enter Dwelling)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rsidSect="004729FB">
          <w:type w:val="continuous"/>
          <w:pgSz w:w="12240" w:h="15840"/>
          <w:pgMar w:top="840" w:right="1080" w:bottom="840" w:left="1080" w:header="0" w:footer="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21" name="Picture 2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00" w:history="1">
        <w:r>
          <w:rPr>
            <w:rStyle w:val="Hyperlink"/>
            <w:rFonts w:ascii="Arial" w:eastAsia="Arial" w:hAnsi="Arial" w:cs="Arial"/>
            <w:b/>
            <w:bCs/>
            <w:i/>
            <w:color w:val="0077CC"/>
            <w:kern w:val="32"/>
            <w:sz w:val="28"/>
            <w:szCs w:val="32"/>
          </w:rPr>
          <w:t>MPJI-Cr 4:03.1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BAD CHECK--STOP PAYMENT</w:t>
      </w:r>
    </w:p>
    <w:p w:rsidR="004729FB" w:rsidRDefault="004729FB" w:rsidP="004729FB">
      <w:pPr>
        <w:keepNext/>
        <w:spacing w:before="240" w:line="340" w:lineRule="atLeast"/>
      </w:pPr>
      <w:r>
        <w:br/>
      </w:r>
      <w:r>
        <w:rPr>
          <w:rFonts w:ascii="Arial" w:eastAsia="Arial" w:hAnsi="Arial" w:cs="Arial"/>
          <w:b/>
          <w:color w:val="000000"/>
          <w:sz w:val="28"/>
        </w:rPr>
        <w:t>4:03.1Bad Check--Stop Payment</w:t>
      </w:r>
    </w:p>
    <w:p w:rsidR="004729FB" w:rsidRDefault="004729FB" w:rsidP="004729FB">
      <w:pPr>
        <w:spacing w:line="60" w:lineRule="exact"/>
      </w:pPr>
      <w:r>
        <w:pict>
          <v:line id="_x0000_s1100" style="position:absolute;z-index:2517145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obtaining property or services by a bad check.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obtained property or services by [passing] [issuing] [</w:t>
      </w:r>
      <w:r>
        <w:rPr>
          <w:rFonts w:ascii="Arial" w:eastAsia="Arial" w:hAnsi="Arial" w:cs="Arial"/>
          <w:b/>
          <w:color w:val="000000"/>
          <w:sz w:val="20"/>
          <w:u w:val="single"/>
        </w:rPr>
        <w:t>describe</w:t>
      </w:r>
      <w:r>
        <w:rPr>
          <w:rFonts w:ascii="Arial" w:eastAsia="Arial" w:hAnsi="Arial" w:cs="Arial"/>
          <w:b/>
          <w:color w:val="000000"/>
          <w:sz w:val="20"/>
        </w:rPr>
        <w:t>] [a check] [checks]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[passed] [issued] [</w:t>
      </w:r>
      <w:r>
        <w:rPr>
          <w:rFonts w:ascii="Arial" w:eastAsia="Arial" w:hAnsi="Arial" w:cs="Arial"/>
          <w:b/>
          <w:color w:val="000000"/>
          <w:sz w:val="20"/>
          <w:u w:val="single"/>
        </w:rPr>
        <w:t>describe</w:t>
      </w:r>
      <w:r>
        <w:rPr>
          <w:rFonts w:ascii="Arial" w:eastAsia="Arial" w:hAnsi="Arial" w:cs="Arial"/>
          <w:b/>
          <w:color w:val="000000"/>
          <w:sz w:val="20"/>
        </w:rPr>
        <w:t>] the [check] [checks] with the intent to stop payment on [it] [them]</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stopped payment [without the consent of the payee]; [and]</w:t>
      </w:r>
    </w:p>
    <w:p w:rsidR="004729FB" w:rsidRDefault="004729FB" w:rsidP="004729FB">
      <w:pPr>
        <w:spacing w:before="200" w:line="260" w:lineRule="atLeast"/>
        <w:ind w:left="400"/>
        <w:jc w:val="both"/>
      </w:pPr>
      <w:r>
        <w:rPr>
          <w:rFonts w:ascii="Arial" w:eastAsia="Arial" w:hAnsi="Arial" w:cs="Arial"/>
          <w:b/>
          <w:color w:val="000000"/>
          <w:sz w:val="20"/>
        </w:rPr>
        <w:t>(4) that the [check was] [checks were] dishonored by the institution on which the [check was] [checks were] drawn[; and] [.]</w:t>
      </w:r>
    </w:p>
    <w:p w:rsidR="004729FB" w:rsidRDefault="004729FB" w:rsidP="004729FB">
      <w:pPr>
        <w:spacing w:before="200" w:line="260" w:lineRule="atLeast"/>
        <w:ind w:left="400"/>
        <w:jc w:val="both"/>
      </w:pPr>
      <w:r>
        <w:rPr>
          <w:rFonts w:ascii="Arial" w:eastAsia="Arial" w:hAnsi="Arial" w:cs="Arial"/>
          <w:b/>
          <w:color w:val="000000"/>
          <w:sz w:val="20"/>
        </w:rPr>
        <w:t>[[(5) [that the value of the property or services obtained was at least $ 500] [that the cumulative value of the property or services obtained was at least $ 500, each check was for less than $ 500, and the checks were issued to the same person within a 30 day period].]]</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4:03 (Bad Checks--Insufficient Funds).</w:t>
            </w:r>
          </w:p>
          <w:p w:rsidR="004729FB" w:rsidRDefault="004729FB">
            <w:pPr>
              <w:spacing w:before="200" w:line="260" w:lineRule="atLeast"/>
              <w:ind w:left="60" w:right="360"/>
              <w:jc w:val="both"/>
            </w:pPr>
            <w:r>
              <w:rPr>
                <w:rFonts w:ascii="Arial" w:eastAsia="Arial" w:hAnsi="Arial" w:cs="Arial"/>
                <w:color w:val="000000"/>
                <w:sz w:val="20"/>
              </w:rPr>
              <w:t>To be criminally liable for a "stop payment," the defendant must know or intend that payment will be refused on the check, CRIM. LAW II § 8-103(b)(1), and payment must be refused, § 8-103(b)(2).</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lastRenderedPageBreak/>
        <w:br/>
      </w:r>
      <w:r>
        <w:pict>
          <v:line id="_x0000_s1110" style="position:absolute;left:0;text-align:left;z-index:251724800;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20" name="Picture 2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01" w:history="1">
        <w:r>
          <w:rPr>
            <w:rStyle w:val="Hyperlink"/>
            <w:rFonts w:ascii="Arial" w:eastAsia="Arial" w:hAnsi="Arial" w:cs="Arial"/>
            <w:b/>
            <w:bCs/>
            <w:i/>
            <w:color w:val="0077CC"/>
            <w:kern w:val="32"/>
            <w:sz w:val="28"/>
            <w:szCs w:val="32"/>
          </w:rPr>
          <w:t>MPJI-Cr 4:04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CARJACKING</w:t>
      </w:r>
    </w:p>
    <w:p w:rsidR="004729FB" w:rsidRDefault="004729FB" w:rsidP="004729FB">
      <w:pPr>
        <w:keepNext/>
        <w:spacing w:before="240" w:line="340" w:lineRule="atLeast"/>
      </w:pPr>
      <w:r>
        <w:br/>
      </w:r>
      <w:r>
        <w:rPr>
          <w:rFonts w:ascii="Arial" w:eastAsia="Arial" w:hAnsi="Arial" w:cs="Arial"/>
          <w:b/>
          <w:color w:val="000000"/>
          <w:sz w:val="28"/>
        </w:rPr>
        <w:t>4:04Carjacking</w:t>
      </w:r>
    </w:p>
    <w:p w:rsidR="004729FB" w:rsidRDefault="004729FB" w:rsidP="004729FB">
      <w:pPr>
        <w:spacing w:line="60" w:lineRule="exact"/>
      </w:pPr>
      <w:r>
        <w:pict>
          <v:line id="_x0000_s1101" style="position:absolute;z-index:2517155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carjacking. In order to convict the defendant of carjacking,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obtained unauthorized possession or control of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motor vehicle was in the actual possession of another person at that time; and</w:t>
      </w:r>
    </w:p>
    <w:p w:rsidR="004729FB" w:rsidRDefault="004729FB" w:rsidP="004729FB">
      <w:pPr>
        <w:spacing w:before="200" w:line="260" w:lineRule="atLeast"/>
        <w:ind w:left="400"/>
        <w:jc w:val="both"/>
      </w:pPr>
      <w:r>
        <w:rPr>
          <w:rFonts w:ascii="Arial" w:eastAsia="Arial" w:hAnsi="Arial" w:cs="Arial"/>
          <w:b/>
          <w:color w:val="000000"/>
          <w:sz w:val="20"/>
        </w:rPr>
        <w:t>(3) that the defendant used force or violence against that person or put that person in fear, through intimidation or threat of force or violence, in order to obtain the motor vehicle. [A person is in actual possession of a vehicle when that person has control or possession of the vehicle and is in the vehicle or in the immediate vicinity of the vehicle.]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CRIMINAL LAW I § 3-405(b)(1) provides: "An individual may not take unauthorized possession or control of a motor vehicle from another individual who actually possesses the motor vehicle, by force or violence, or by putting that individual in fear through intimidation or threat of force or violence." The fact that the defendant does not intend to permanently deprive the owner or possessor of the vehicle is not a defense. CRIM. LAW I § 3-405(f).</w:t>
            </w:r>
          </w:p>
          <w:p w:rsidR="004729FB" w:rsidRDefault="004729FB">
            <w:pPr>
              <w:spacing w:before="200" w:line="260" w:lineRule="atLeast"/>
              <w:ind w:left="60" w:right="360"/>
              <w:jc w:val="both"/>
            </w:pPr>
            <w:r>
              <w:rPr>
                <w:rFonts w:ascii="Arial" w:eastAsia="Arial" w:hAnsi="Arial" w:cs="Arial"/>
                <w:color w:val="000000"/>
                <w:sz w:val="20"/>
              </w:rPr>
              <w:t xml:space="preserve">The statutory definition of "motor vehicle" encompasses more than automobiles and includes any vehicle that is "self-propelled or propelled by electric power obtained from overhead electrical wires." MD. CODE. ANN., TRANSPORTATION II § 11-135(a)(1)(i) (2012 &amp; Supp. 2016) (hereinafter TRANSP. II or III). It includes motorboats and motorcycles. </w:t>
            </w:r>
            <w:r>
              <w:rPr>
                <w:rFonts w:ascii="Arial" w:eastAsia="Arial" w:hAnsi="Arial" w:cs="Arial"/>
                <w:i/>
                <w:color w:val="000000"/>
                <w:sz w:val="20"/>
              </w:rPr>
              <w:t>See id.</w:t>
            </w:r>
            <w:r>
              <w:rPr>
                <w:rFonts w:ascii="Arial" w:eastAsia="Arial" w:hAnsi="Arial" w:cs="Arial"/>
                <w:color w:val="000000"/>
                <w:sz w:val="20"/>
              </w:rPr>
              <w:t xml:space="preserve"> It excludes vehicles operated on rails. </w:t>
            </w:r>
            <w:r>
              <w:rPr>
                <w:rFonts w:ascii="Arial" w:eastAsia="Arial" w:hAnsi="Arial" w:cs="Arial"/>
                <w:i/>
                <w:color w:val="000000"/>
                <w:sz w:val="20"/>
              </w:rPr>
              <w:t>Id.</w:t>
            </w:r>
            <w:r>
              <w:rPr>
                <w:rFonts w:ascii="Arial" w:eastAsia="Arial" w:hAnsi="Arial" w:cs="Arial"/>
                <w:color w:val="000000"/>
                <w:sz w:val="20"/>
              </w:rPr>
              <w:t xml:space="preserve"> § 11-135(a)(1)(ii). It also excludes a bicycle, even if equipped with an assisting motor.</w:t>
            </w:r>
          </w:p>
          <w:p w:rsidR="004729FB" w:rsidRDefault="004729FB">
            <w:pPr>
              <w:spacing w:before="240" w:line="260" w:lineRule="atLeast"/>
              <w:ind w:left="60" w:right="360"/>
              <w:jc w:val="both"/>
            </w:pPr>
            <w:r>
              <w:rPr>
                <w:rFonts w:ascii="Arial" w:eastAsia="Arial" w:hAnsi="Arial" w:cs="Arial"/>
                <w:color w:val="000000"/>
                <w:sz w:val="20"/>
              </w:rPr>
              <w:t xml:space="preserve">The Maryland General Assembly did not define "actual possession." In </w:t>
            </w:r>
            <w:hyperlink r:id="rId302" w:history="1">
              <w:r>
                <w:rPr>
                  <w:rStyle w:val="Hyperlink"/>
                  <w:rFonts w:ascii="Arial" w:eastAsia="Arial" w:hAnsi="Arial" w:cs="Arial"/>
                  <w:i/>
                  <w:color w:val="0077CC"/>
                  <w:sz w:val="20"/>
                </w:rPr>
                <w:t>Mobley v. State, 111 Md. App. 446, 681 A.2d 1186,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344 Md. 117, 685 A.2d 452 (1996),</w:t>
            </w:r>
            <w:r>
              <w:rPr>
                <w:rFonts w:ascii="Arial" w:eastAsia="Arial" w:hAnsi="Arial" w:cs="Arial"/>
                <w:color w:val="000000"/>
                <w:sz w:val="20"/>
              </w:rPr>
              <w:t xml:space="preserve"> the Court of Special Appeals explained that, by use of the phrase "actual possession," the legislature meant that "a carjacking occurs when a vehicle is forcibly taken from the care, custody, control, management or possession of one having a right superior to that of the carjacker." </w:t>
            </w:r>
            <w:hyperlink r:id="rId303" w:history="1">
              <w:r>
                <w:rPr>
                  <w:rStyle w:val="Hyperlink"/>
                  <w:rFonts w:ascii="Arial" w:eastAsia="Arial" w:hAnsi="Arial" w:cs="Arial"/>
                  <w:i/>
                  <w:color w:val="0077CC"/>
                  <w:sz w:val="20"/>
                </w:rPr>
                <w:t>Id. at 454, 681 A.2d at 1190.</w:t>
              </w:r>
            </w:hyperlink>
            <w:r>
              <w:rPr>
                <w:rFonts w:ascii="Arial" w:eastAsia="Arial" w:hAnsi="Arial" w:cs="Arial"/>
                <w:color w:val="000000"/>
                <w:sz w:val="20"/>
              </w:rPr>
              <w:t xml:space="preserve"> The Court also stated:</w:t>
            </w:r>
          </w:p>
          <w:p w:rsidR="004729FB" w:rsidRDefault="004729FB">
            <w:pPr>
              <w:spacing w:before="60" w:line="260" w:lineRule="atLeast"/>
              <w:ind w:left="460" w:right="360"/>
              <w:jc w:val="both"/>
            </w:pPr>
            <w:r>
              <w:rPr>
                <w:rFonts w:ascii="Arial" w:eastAsia="Arial" w:hAnsi="Arial" w:cs="Arial"/>
                <w:color w:val="000000"/>
                <w:sz w:val="20"/>
              </w:rPr>
              <w:t xml:space="preserve">[T]he victim need not actually be seated in, or operating the vehicle in order for a carjacking or </w:t>
            </w:r>
            <w:r>
              <w:rPr>
                <w:rFonts w:ascii="Arial" w:eastAsia="Arial" w:hAnsi="Arial" w:cs="Arial"/>
                <w:color w:val="000000"/>
                <w:sz w:val="20"/>
              </w:rPr>
              <w:lastRenderedPageBreak/>
              <w:t>attempted carjacking to be consummated. Rather, the victim need only be entering, alighting from, or otherwise in the immediate vicinity of the vehicle when an individual obtains unauthorized possession or control of the vehicle by intimidation, force, violence, or by threat of force or violence.</w:t>
            </w:r>
          </w:p>
          <w:p w:rsidR="004729FB" w:rsidRDefault="004729FB">
            <w:pPr>
              <w:spacing w:before="240" w:line="260" w:lineRule="atLeast"/>
              <w:ind w:left="60" w:right="360"/>
              <w:jc w:val="both"/>
            </w:pPr>
            <w:hyperlink r:id="rId304" w:history="1">
              <w:r>
                <w:rPr>
                  <w:rStyle w:val="Hyperlink"/>
                  <w:rFonts w:ascii="Arial" w:eastAsia="Arial" w:hAnsi="Arial" w:cs="Arial"/>
                  <w:i/>
                  <w:color w:val="0077CC"/>
                  <w:sz w:val="20"/>
                </w:rPr>
                <w:t>Id. at 455, 681 A.2d at 1190.</w:t>
              </w:r>
            </w:hyperlink>
            <w:r>
              <w:rPr>
                <w:rFonts w:ascii="Arial" w:eastAsia="Arial" w:hAnsi="Arial" w:cs="Arial"/>
                <w:color w:val="000000"/>
                <w:sz w:val="20"/>
              </w:rPr>
              <w:t xml:space="preserve"> In </w:t>
            </w:r>
            <w:hyperlink r:id="rId305" w:history="1">
              <w:r>
                <w:rPr>
                  <w:rStyle w:val="Hyperlink"/>
                  <w:rFonts w:ascii="Arial" w:eastAsia="Arial" w:hAnsi="Arial" w:cs="Arial"/>
                  <w:i/>
                  <w:color w:val="0077CC"/>
                  <w:sz w:val="20"/>
                </w:rPr>
                <w:t>Price v. State, 111 Md. App. 487, 681 A.2d 1206 (1996),</w:t>
              </w:r>
            </w:hyperlink>
            <w:r>
              <w:rPr>
                <w:rFonts w:ascii="Arial" w:eastAsia="Arial" w:hAnsi="Arial" w:cs="Arial"/>
                <w:color w:val="000000"/>
                <w:sz w:val="20"/>
              </w:rPr>
              <w:t xml:space="preserve"> the Court of Special Appeals held that, by standing outside of the vehicle, next to the hood, the driver was in "actual possession" of the vehicle. "[T]he vehicle was so within the victim's reach, inspection, observation and control, that she could, 'if not overcome by violence or prevented by fear, [have] retain[ed] [her] possession of it.'" </w:t>
            </w:r>
            <w:hyperlink r:id="rId306" w:history="1">
              <w:r>
                <w:rPr>
                  <w:rStyle w:val="Hyperlink"/>
                  <w:rFonts w:ascii="Arial" w:eastAsia="Arial" w:hAnsi="Arial" w:cs="Arial"/>
                  <w:i/>
                  <w:color w:val="0077CC"/>
                  <w:sz w:val="20"/>
                </w:rPr>
                <w:t>Id. at 499, 681 A.2d at 1212</w:t>
              </w:r>
            </w:hyperlink>
            <w:r>
              <w:rPr>
                <w:rFonts w:ascii="Arial" w:eastAsia="Arial" w:hAnsi="Arial" w:cs="Arial"/>
                <w:color w:val="000000"/>
                <w:sz w:val="20"/>
              </w:rPr>
              <w:t xml:space="preserve"> (quoting </w:t>
            </w:r>
            <w:hyperlink r:id="rId307" w:history="1">
              <w:r>
                <w:rPr>
                  <w:rStyle w:val="Hyperlink"/>
                  <w:rFonts w:ascii="Arial" w:eastAsia="Arial" w:hAnsi="Arial" w:cs="Arial"/>
                  <w:i/>
                  <w:color w:val="0077CC"/>
                  <w:sz w:val="20"/>
                </w:rPr>
                <w:t>Foster v. State, 297 Md. 191, 213, 464 A.2d 986, 998 (1983));</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308" w:history="1">
              <w:r>
                <w:rPr>
                  <w:rStyle w:val="Hyperlink"/>
                  <w:rFonts w:ascii="Arial" w:eastAsia="Arial" w:hAnsi="Arial" w:cs="Arial"/>
                  <w:i/>
                  <w:color w:val="0077CC"/>
                  <w:sz w:val="20"/>
                </w:rPr>
                <w:t>Reeves v. State, 192 Md. App. 277, 994 A.2d 469 (2010)</w:t>
              </w:r>
            </w:hyperlink>
            <w:r>
              <w:rPr>
                <w:rFonts w:ascii="Arial" w:eastAsia="Arial" w:hAnsi="Arial" w:cs="Arial"/>
                <w:color w:val="000000"/>
                <w:sz w:val="20"/>
              </w:rPr>
              <w:t xml:space="preserve"> (finding that a van owner was in actual possession of his van when he was standing outside his home with the keys in his hand and the car was parked in the adjacent driveway).</w:t>
            </w:r>
          </w:p>
          <w:p w:rsidR="004729FB" w:rsidRDefault="004729FB">
            <w:pPr>
              <w:spacing w:before="240" w:line="260" w:lineRule="atLeast"/>
              <w:ind w:left="60" w:right="360"/>
              <w:jc w:val="both"/>
            </w:pPr>
            <w:r>
              <w:rPr>
                <w:rFonts w:ascii="Arial" w:eastAsia="Arial" w:hAnsi="Arial" w:cs="Arial"/>
                <w:color w:val="000000"/>
                <w:sz w:val="20"/>
              </w:rPr>
              <w:t xml:space="preserve">Carjacking is a general intent crime. In </w:t>
            </w:r>
            <w:hyperlink r:id="rId309" w:history="1">
              <w:r>
                <w:rPr>
                  <w:rStyle w:val="Hyperlink"/>
                  <w:rFonts w:ascii="Arial" w:eastAsia="Arial" w:hAnsi="Arial" w:cs="Arial"/>
                  <w:i/>
                  <w:color w:val="0077CC"/>
                  <w:sz w:val="20"/>
                </w:rPr>
                <w:t>Harris v. State, 353 Md. 596, 728 A.2d 180 (1999),</w:t>
              </w:r>
            </w:hyperlink>
            <w:r>
              <w:rPr>
                <w:rFonts w:ascii="Arial" w:eastAsia="Arial" w:hAnsi="Arial" w:cs="Arial"/>
                <w:color w:val="000000"/>
                <w:sz w:val="20"/>
              </w:rPr>
              <w:t xml:space="preserve"> the Court of Appeals stated: "[T]he Legislature did not intend to require a specific intent to achieve some additional consequence beyond the immediate act of taking the vehicle." </w:t>
            </w:r>
            <w:hyperlink r:id="rId310" w:history="1">
              <w:r>
                <w:rPr>
                  <w:rStyle w:val="Hyperlink"/>
                  <w:rFonts w:ascii="Arial" w:eastAsia="Arial" w:hAnsi="Arial" w:cs="Arial"/>
                  <w:i/>
                  <w:color w:val="0077CC"/>
                  <w:sz w:val="20"/>
                </w:rPr>
                <w:t>Id. at 610, 728 A.2d at 186.</w:t>
              </w:r>
            </w:hyperlink>
            <w:r>
              <w:rPr>
                <w:rFonts w:ascii="Arial" w:eastAsia="Arial" w:hAnsi="Arial" w:cs="Arial"/>
                <w:color w:val="000000"/>
                <w:sz w:val="20"/>
              </w:rPr>
              <w:t xml:space="preserve"> "Unlike robbery, the carjacking statute requires no movement or asportation, only unauthorized possession or control." </w:t>
            </w:r>
            <w:hyperlink r:id="rId311" w:history="1">
              <w:r>
                <w:rPr>
                  <w:rStyle w:val="Hyperlink"/>
                  <w:rFonts w:ascii="Arial" w:eastAsia="Arial" w:hAnsi="Arial" w:cs="Arial"/>
                  <w:i/>
                  <w:color w:val="0077CC"/>
                  <w:sz w:val="20"/>
                </w:rPr>
                <w:t>Id. at 615, 728 A.2d at 189.</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11" style="position:absolute;left:0;text-align:left;z-index:251725824;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9" name="Picture 1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12" w:history="1">
        <w:r>
          <w:rPr>
            <w:rStyle w:val="Hyperlink"/>
            <w:rFonts w:ascii="Arial" w:eastAsia="Arial" w:hAnsi="Arial" w:cs="Arial"/>
            <w:b/>
            <w:bCs/>
            <w:i/>
            <w:color w:val="0077CC"/>
            <w:kern w:val="32"/>
            <w:sz w:val="28"/>
            <w:szCs w:val="32"/>
          </w:rPr>
          <w:t>MPJI-Cr 4:04.1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ARMED CARJACKING</w:t>
      </w:r>
    </w:p>
    <w:p w:rsidR="004729FB" w:rsidRDefault="004729FB" w:rsidP="004729FB">
      <w:pPr>
        <w:keepNext/>
        <w:spacing w:before="240" w:line="340" w:lineRule="atLeast"/>
      </w:pPr>
      <w:r>
        <w:br/>
      </w:r>
      <w:r>
        <w:rPr>
          <w:rFonts w:ascii="Arial" w:eastAsia="Arial" w:hAnsi="Arial" w:cs="Arial"/>
          <w:b/>
          <w:color w:val="000000"/>
          <w:sz w:val="28"/>
        </w:rPr>
        <w:t>4:04.1Armed Carjacking</w:t>
      </w:r>
    </w:p>
    <w:p w:rsidR="004729FB" w:rsidRDefault="004729FB" w:rsidP="004729FB">
      <w:pPr>
        <w:spacing w:line="60" w:lineRule="exact"/>
      </w:pPr>
      <w:r>
        <w:pict>
          <v:line id="_x0000_s1102" style="position:absolute;z-index:25171660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also is charged with the crime of armed carjacking. In order to convict the defendant of armed carjacking, the State must prove all of the elements of carjacking and also must prove that the defendant committed the carjacking by using a dangerous weapon. A dangerous weapon is an object that is capable of causing death or serious bodily harm</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4:04 (Carjacking); MPJI-Cr 4:28.1 (Robbery with a Dangerous Weapon).</w:t>
            </w:r>
          </w:p>
          <w:p w:rsidR="004729FB" w:rsidRDefault="004729FB">
            <w:pPr>
              <w:spacing w:before="200" w:line="260" w:lineRule="atLeast"/>
              <w:ind w:left="60" w:right="360"/>
              <w:jc w:val="both"/>
            </w:pPr>
            <w:r>
              <w:rPr>
                <w:rFonts w:ascii="Arial" w:eastAsia="Arial" w:hAnsi="Arial" w:cs="Arial"/>
                <w:color w:val="000000"/>
                <w:sz w:val="20"/>
              </w:rPr>
              <w:t>CRIMINAL LAW I § 3-405(c)(1) provides: "A person may not employ or display a dangerous weapon during the commission of a carjacking."</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12" style="position:absolute;left:0;text-align:left;z-index:251726848;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8" name="Picture 1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13" w:history="1">
        <w:r>
          <w:rPr>
            <w:rStyle w:val="Hyperlink"/>
            <w:rFonts w:ascii="Arial" w:eastAsia="Arial" w:hAnsi="Arial" w:cs="Arial"/>
            <w:b/>
            <w:bCs/>
            <w:i/>
            <w:color w:val="0077CC"/>
            <w:kern w:val="32"/>
            <w:sz w:val="28"/>
            <w:szCs w:val="32"/>
          </w:rPr>
          <w:t>MPJI-Cr 4:05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BRIBERY AND ATTEMPTED BRIBERY--BRIBERS</w:t>
      </w:r>
    </w:p>
    <w:p w:rsidR="004729FB" w:rsidRDefault="004729FB" w:rsidP="004729FB">
      <w:pPr>
        <w:keepNext/>
        <w:spacing w:before="240" w:line="340" w:lineRule="atLeast"/>
      </w:pPr>
      <w:r>
        <w:br/>
      </w:r>
      <w:r>
        <w:rPr>
          <w:rFonts w:ascii="Arial" w:eastAsia="Arial" w:hAnsi="Arial" w:cs="Arial"/>
          <w:b/>
          <w:color w:val="000000"/>
          <w:sz w:val="28"/>
        </w:rPr>
        <w:t>4:05Bribery and Attempted Bribery--Bribers</w:t>
      </w:r>
    </w:p>
    <w:p w:rsidR="004729FB" w:rsidRDefault="004729FB" w:rsidP="004729FB">
      <w:pPr>
        <w:spacing w:line="60" w:lineRule="exact"/>
      </w:pPr>
      <w:r>
        <w:pict>
          <v:line id="_x0000_s1103" style="position:absolute;z-index:2517176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[attempted bribery] [bribery]. In order to convict the defendant of [attempted bribery] [bribery],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[offered] [gave] something of value to an officer or employee of (</w:t>
      </w:r>
      <w:r>
        <w:rPr>
          <w:rFonts w:ascii="Arial" w:eastAsia="Arial" w:hAnsi="Arial" w:cs="Arial"/>
          <w:b/>
          <w:color w:val="000000"/>
          <w:sz w:val="20"/>
          <w:u w:val="single"/>
        </w:rPr>
        <w:t>statutory category</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something of value was [offered] [given] for the corrupt purpose of influencing the officer or employee in the performance of [his] [her] official duties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 xml:space="preserve">Bribery consists of "the corrupt payment or receipt of a private price for official action." </w:t>
            </w:r>
            <w:hyperlink r:id="rId314" w:history="1">
              <w:r>
                <w:rPr>
                  <w:rStyle w:val="Hyperlink"/>
                  <w:rFonts w:ascii="Arial" w:eastAsia="Arial" w:hAnsi="Arial" w:cs="Arial"/>
                  <w:i/>
                  <w:color w:val="0077CC"/>
                  <w:sz w:val="20"/>
                </w:rPr>
                <w:t>State v. Canova, 278 Md. 483, 485, 365 A.2d 988, 990 (1976)</w:t>
              </w:r>
            </w:hyperlink>
            <w:r>
              <w:rPr>
                <w:rFonts w:ascii="Arial" w:eastAsia="Arial" w:hAnsi="Arial" w:cs="Arial"/>
                <w:color w:val="000000"/>
                <w:sz w:val="20"/>
              </w:rPr>
              <w:t xml:space="preserve"> (internal quotation marks and citation omitted); ROLLIN M. PERKINS &amp; RONALD N. BOYCE, CRIMINAL LAW § 5.3, at 526-30 (3d ed. 1982).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10 </w:t>
            </w:r>
            <w:r>
              <w:rPr>
                <w:rFonts w:ascii="Arial" w:eastAsia="Arial" w:hAnsi="Arial" w:cs="Arial"/>
                <w:i/>
                <w:color w:val="000000"/>
                <w:sz w:val="20"/>
              </w:rPr>
              <w:t>et seq.</w:t>
            </w:r>
            <w:r>
              <w:rPr>
                <w:rFonts w:ascii="Arial" w:eastAsia="Arial" w:hAnsi="Arial" w:cs="Arial"/>
                <w:color w:val="000000"/>
                <w:sz w:val="20"/>
              </w:rPr>
              <w:t xml:space="preserve">, at 109-15 (1983 &amp; Supp. 1990). A payment is made or received corruptly if it is made illegitimately, in breach of trust or in violation of duty, i.e., for the purpose of improperly influencing official action. PERKINS &amp; BOYCE, </w:t>
            </w:r>
            <w:r>
              <w:rPr>
                <w:rFonts w:ascii="Arial" w:eastAsia="Arial" w:hAnsi="Arial" w:cs="Arial"/>
                <w:i/>
                <w:color w:val="000000"/>
                <w:sz w:val="20"/>
              </w:rPr>
              <w:t>supra</w:t>
            </w:r>
            <w:r>
              <w:rPr>
                <w:rFonts w:ascii="Arial" w:eastAsia="Arial" w:hAnsi="Arial" w:cs="Arial"/>
                <w:color w:val="000000"/>
                <w:sz w:val="20"/>
              </w:rPr>
              <w:t xml:space="preserve">, at 527-28; </w:t>
            </w:r>
            <w:r>
              <w:rPr>
                <w:rFonts w:ascii="Arial" w:eastAsia="Arial" w:hAnsi="Arial" w:cs="Arial"/>
                <w:i/>
                <w:color w:val="000000"/>
                <w:sz w:val="20"/>
              </w:rPr>
              <w:t xml:space="preserve">see </w:t>
            </w:r>
            <w:hyperlink r:id="rId315" w:history="1">
              <w:r>
                <w:rPr>
                  <w:rStyle w:val="Hyperlink"/>
                  <w:rFonts w:ascii="Arial" w:eastAsia="Arial" w:hAnsi="Arial" w:cs="Arial"/>
                  <w:i/>
                  <w:color w:val="0077CC"/>
                  <w:sz w:val="20"/>
                </w:rPr>
                <w:t>Spector v. State, 289 Md. 407, 433, 425 A2d 197, 209,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452 U.S. 906 (1981).</w:t>
            </w:r>
          </w:p>
          <w:p w:rsidR="004729FB" w:rsidRDefault="004729FB">
            <w:pPr>
              <w:spacing w:before="200" w:line="260" w:lineRule="atLeast"/>
              <w:ind w:left="60" w:right="360"/>
              <w:jc w:val="both"/>
            </w:pPr>
            <w:r>
              <w:rPr>
                <w:rFonts w:ascii="Arial" w:eastAsia="Arial" w:hAnsi="Arial" w:cs="Arial"/>
                <w:color w:val="000000"/>
                <w:sz w:val="20"/>
              </w:rPr>
              <w:t>To constitute a bribe, the person to whom the valuable consideration is offered or given, or by whom it was demanded or received, must fall within one of the classes specifically designated by the statute. These classes consist of any executive or judicial officer of the State, any General Assembly member, any officer or employee of the State, any county, municipality or other political subdivision of the State or any bi-county or multi-county agency, any member or officer of any municipal corporation and any member of the Baltimore City or State Police. CRIM. LAW II § 9-201(a). Additionally, sections 202 through 205 cover bribery of jurors, voters, athletic contest participants, and witnesses.</w:t>
            </w:r>
          </w:p>
          <w:p w:rsidR="004729FB" w:rsidRDefault="004729FB">
            <w:pPr>
              <w:spacing w:before="240" w:line="260" w:lineRule="atLeast"/>
              <w:ind w:left="60" w:right="360"/>
              <w:jc w:val="both"/>
            </w:pPr>
            <w:r>
              <w:rPr>
                <w:rFonts w:ascii="Arial" w:eastAsia="Arial" w:hAnsi="Arial" w:cs="Arial"/>
                <w:color w:val="000000"/>
                <w:sz w:val="20"/>
              </w:rPr>
              <w:t>If a payment is shown, it is not necessary for the State to prove that the payment was a "</w:t>
            </w:r>
            <w:r>
              <w:rPr>
                <w:rFonts w:ascii="Arial" w:eastAsia="Arial" w:hAnsi="Arial" w:cs="Arial"/>
                <w:i/>
                <w:color w:val="000000"/>
                <w:sz w:val="20"/>
              </w:rPr>
              <w:t>quid pro quo</w:t>
            </w:r>
            <w:r>
              <w:rPr>
                <w:rFonts w:ascii="Arial" w:eastAsia="Arial" w:hAnsi="Arial" w:cs="Arial"/>
                <w:color w:val="000000"/>
                <w:sz w:val="20"/>
              </w:rPr>
              <w:t xml:space="preserve"> for specific action." </w:t>
            </w:r>
            <w:hyperlink r:id="rId316" w:history="1">
              <w:r>
                <w:rPr>
                  <w:rStyle w:val="Hyperlink"/>
                  <w:rFonts w:ascii="Arial" w:eastAsia="Arial" w:hAnsi="Arial" w:cs="Arial"/>
                  <w:i/>
                  <w:color w:val="0077CC"/>
                  <w:sz w:val="20"/>
                </w:rPr>
                <w:t>Spector, 289 Md. at 433, 425 A.2d at 209</w:t>
              </w:r>
            </w:hyperlink>
            <w:r>
              <w:rPr>
                <w:rFonts w:ascii="Arial" w:eastAsia="Arial" w:hAnsi="Arial" w:cs="Arial"/>
                <w:color w:val="000000"/>
                <w:sz w:val="20"/>
              </w:rPr>
              <w:t xml:space="preserve"> (quoting </w:t>
            </w:r>
            <w:hyperlink r:id="rId317" w:history="1">
              <w:r>
                <w:rPr>
                  <w:rStyle w:val="Hyperlink"/>
                  <w:rFonts w:ascii="Arial" w:eastAsia="Arial" w:hAnsi="Arial" w:cs="Arial"/>
                  <w:i/>
                  <w:color w:val="0077CC"/>
                  <w:sz w:val="20"/>
                </w:rPr>
                <w:t>United States v. L'Hoste, 609 F.2d 796, 807-08 (5th Cir. 1980)).</w:t>
              </w:r>
            </w:hyperlink>
            <w:r>
              <w:rPr>
                <w:rFonts w:ascii="Arial" w:eastAsia="Arial" w:hAnsi="Arial" w:cs="Arial"/>
                <w:color w:val="000000"/>
                <w:sz w:val="20"/>
              </w:rPr>
              <w:t xml:space="preserve"> Rather, the State must prove that the payment was made "with the intent to influence the conduct of the public servant in relation to his position, employment, or duty." </w:t>
            </w:r>
            <w:r>
              <w:rPr>
                <w:rFonts w:ascii="Arial" w:eastAsia="Arial" w:hAnsi="Arial" w:cs="Arial"/>
                <w:i/>
                <w:color w:val="000000"/>
                <w:sz w:val="20"/>
              </w:rPr>
              <w:t>Id.</w:t>
            </w:r>
            <w:r>
              <w:rPr>
                <w:rFonts w:ascii="Arial" w:eastAsia="Arial" w:hAnsi="Arial" w:cs="Arial"/>
                <w:color w:val="000000"/>
                <w:sz w:val="20"/>
              </w:rPr>
              <w:t xml:space="preserve"> (quoting </w:t>
            </w:r>
            <w:hyperlink r:id="rId318" w:history="1">
              <w:r>
                <w:rPr>
                  <w:rStyle w:val="Hyperlink"/>
                  <w:rFonts w:ascii="Arial" w:eastAsia="Arial" w:hAnsi="Arial" w:cs="Arial"/>
                  <w:i/>
                  <w:color w:val="0077CC"/>
                  <w:sz w:val="20"/>
                </w:rPr>
                <w:t>L'Hoste, 609 F.2d at 807-08).</w:t>
              </w:r>
            </w:hyperlink>
          </w:p>
          <w:p w:rsidR="004729FB" w:rsidRDefault="004729FB">
            <w:pPr>
              <w:spacing w:before="240" w:line="260" w:lineRule="atLeast"/>
              <w:ind w:left="60" w:right="360"/>
              <w:jc w:val="both"/>
            </w:pPr>
            <w:r>
              <w:rPr>
                <w:rFonts w:ascii="Arial" w:eastAsia="Arial" w:hAnsi="Arial" w:cs="Arial"/>
                <w:color w:val="000000"/>
                <w:sz w:val="20"/>
              </w:rPr>
              <w:t xml:space="preserve">It is not a defense to bribery that the public official, acting in his official capacity, did not have the authority or power to perform the act envisioned by the briber. </w:t>
            </w:r>
            <w:hyperlink r:id="rId319" w:history="1">
              <w:r>
                <w:rPr>
                  <w:rStyle w:val="Hyperlink"/>
                  <w:rFonts w:ascii="Arial" w:eastAsia="Arial" w:hAnsi="Arial" w:cs="Arial"/>
                  <w:i/>
                  <w:color w:val="0077CC"/>
                  <w:sz w:val="20"/>
                </w:rPr>
                <w:t>Thomas v. State, 413 Md. 247, 257-61, 992 A.2d 423, 429-31 (2010).</w:t>
              </w:r>
            </w:hyperlink>
            <w:r>
              <w:rPr>
                <w:rFonts w:ascii="Arial" w:eastAsia="Arial" w:hAnsi="Arial" w:cs="Arial"/>
                <w:color w:val="000000"/>
                <w:sz w:val="20"/>
              </w:rPr>
              <w:t xml:space="preserve"> Rather, the "lack of actual authority" may be a defense "only when the act that is the object of bribery is completely and utterly unrelated to a public employee's official duties." </w:t>
            </w:r>
            <w:hyperlink r:id="rId320" w:history="1">
              <w:r>
                <w:rPr>
                  <w:rStyle w:val="Hyperlink"/>
                  <w:rFonts w:ascii="Arial" w:eastAsia="Arial" w:hAnsi="Arial" w:cs="Arial"/>
                  <w:i/>
                  <w:color w:val="0077CC"/>
                  <w:sz w:val="20"/>
                </w:rPr>
                <w:t>Id. at 259, 992 A.2d at 430.</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3" style="position:absolute;z-index:25172787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4:05.1.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0" style="position:absolute;left:0;text-align:left;z-index:251735040;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7" name="Picture 1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21" w:history="1">
        <w:r>
          <w:rPr>
            <w:rStyle w:val="Hyperlink"/>
            <w:rFonts w:ascii="Arial" w:eastAsia="Arial" w:hAnsi="Arial" w:cs="Arial"/>
            <w:b/>
            <w:bCs/>
            <w:i/>
            <w:color w:val="0077CC"/>
            <w:kern w:val="32"/>
            <w:sz w:val="28"/>
            <w:szCs w:val="32"/>
          </w:rPr>
          <w:t>MPJI-Cr 4:05.1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BRIBERY AND ATTEMPTED BRIBERY--BRIBEES</w:t>
      </w:r>
    </w:p>
    <w:p w:rsidR="004729FB" w:rsidRDefault="004729FB" w:rsidP="004729FB">
      <w:pPr>
        <w:keepNext/>
        <w:spacing w:before="240" w:line="340" w:lineRule="atLeast"/>
      </w:pPr>
      <w:r>
        <w:br/>
      </w:r>
      <w:r>
        <w:rPr>
          <w:rFonts w:ascii="Arial" w:eastAsia="Arial" w:hAnsi="Arial" w:cs="Arial"/>
          <w:b/>
          <w:color w:val="000000"/>
          <w:sz w:val="28"/>
        </w:rPr>
        <w:t>4:05.1Bribery and Attempted Bribery--Bribees</w:t>
      </w:r>
    </w:p>
    <w:p w:rsidR="004729FB" w:rsidRDefault="004729FB" w:rsidP="004729FB">
      <w:pPr>
        <w:spacing w:line="60" w:lineRule="exact"/>
      </w:pPr>
      <w:r>
        <w:pict>
          <v:line id="_x0000_s1104" style="position:absolute;z-index:25171865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bribery. In order to convict the defendant of bribery,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an officer or employee of (</w:t>
      </w:r>
      <w:r>
        <w:rPr>
          <w:rFonts w:ascii="Arial" w:eastAsia="Arial" w:hAnsi="Arial" w:cs="Arial"/>
          <w:b/>
          <w:color w:val="000000"/>
          <w:sz w:val="20"/>
          <w:u w:val="single"/>
        </w:rPr>
        <w:t>statutory category</w:t>
      </w:r>
      <w:r>
        <w:rPr>
          <w:rFonts w:ascii="Arial" w:eastAsia="Arial" w:hAnsi="Arial" w:cs="Arial"/>
          <w:b/>
          <w:color w:val="000000"/>
          <w:sz w:val="20"/>
        </w:rPr>
        <w:t>) who corruptly [demanded] [received] something of value from another;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for the purpose of influencing the defendant in the performance of [his] [her] official duties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4:05 (Bribery and Attempted Bribery--Bribers).</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4" style="position:absolute;z-index:25172889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1" style="position:absolute;left:0;text-align:left;z-index:251736064;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6" name="Picture 1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22" w:history="1">
        <w:r>
          <w:rPr>
            <w:rStyle w:val="Hyperlink"/>
            <w:rFonts w:ascii="Arial" w:eastAsia="Arial" w:hAnsi="Arial" w:cs="Arial"/>
            <w:b/>
            <w:bCs/>
            <w:i/>
            <w:color w:val="0077CC"/>
            <w:kern w:val="32"/>
            <w:sz w:val="28"/>
            <w:szCs w:val="32"/>
          </w:rPr>
          <w:t>MPJI-Cr 4:06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BURGLARY--FIRST DEGREE</w:t>
      </w:r>
    </w:p>
    <w:p w:rsidR="004729FB" w:rsidRDefault="004729FB" w:rsidP="004729FB">
      <w:pPr>
        <w:keepNext/>
        <w:spacing w:before="240" w:line="340" w:lineRule="atLeast"/>
      </w:pPr>
      <w:r>
        <w:br/>
      </w:r>
      <w:r>
        <w:rPr>
          <w:rFonts w:ascii="Arial" w:eastAsia="Arial" w:hAnsi="Arial" w:cs="Arial"/>
          <w:b/>
          <w:color w:val="000000"/>
          <w:sz w:val="28"/>
        </w:rPr>
        <w:t>4:06Burglary--First Degree</w:t>
      </w:r>
    </w:p>
    <w:p w:rsidR="004729FB" w:rsidRDefault="004729FB" w:rsidP="004729FB">
      <w:pPr>
        <w:spacing w:line="60" w:lineRule="exact"/>
      </w:pPr>
      <w:r>
        <w:pict>
          <v:line id="_x0000_s1105" style="position:absolute;z-index:25171968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burglary in the first degree. Burglary in the first degree is the breaking and entering of someone else's dwelling with the intent to commit theft. In order to convict the defendant of burglary in the first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theft inside the dwelling; 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color w:val="000000"/>
                <w:sz w:val="20"/>
              </w:rPr>
              <w:t>In 2014, the Maryland General Assembly distinguished burglary with the intent to commit theft (called "burglary in the first degree") from burglary with the intent to commit a crime of violence (called "home invasion"), and provided an enhanced twenty-five year sentence for home invasion. Md. Laws 2014, ch. 218. MPJI-Cr 4:06 addresses burglary in the first degree. MPJI-Cr 4:06A addresses home invasion.</w:t>
            </w:r>
          </w:p>
          <w:p w:rsidR="004729FB" w:rsidRDefault="004729FB">
            <w:pPr>
              <w:spacing w:before="200" w:line="260" w:lineRule="atLeast"/>
              <w:ind w:left="60" w:right="360"/>
              <w:jc w:val="both"/>
            </w:pPr>
            <w:r>
              <w:rPr>
                <w:rFonts w:ascii="Arial" w:eastAsia="Arial" w:hAnsi="Arial" w:cs="Arial"/>
                <w:color w:val="000000"/>
                <w:sz w:val="20"/>
              </w:rPr>
              <w:t xml:space="preserve">Common law burglary is the breaking and entering of the dwelling house of another in the nighttime with the intent to commit a felony therein. </w:t>
            </w:r>
            <w:hyperlink r:id="rId323" w:history="1">
              <w:r>
                <w:rPr>
                  <w:rStyle w:val="Hyperlink"/>
                  <w:rFonts w:ascii="Arial" w:eastAsia="Arial" w:hAnsi="Arial" w:cs="Arial"/>
                  <w:i/>
                  <w:color w:val="0077CC"/>
                  <w:sz w:val="20"/>
                </w:rPr>
                <w:t>Muir v. State, 64 Md. App. 648, 498 A.2d 666 (1985),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324" w:history="1">
              <w:r>
                <w:rPr>
                  <w:rStyle w:val="Hyperlink"/>
                  <w:rFonts w:ascii="Arial" w:eastAsia="Arial" w:hAnsi="Arial" w:cs="Arial"/>
                  <w:i/>
                  <w:color w:val="0077CC"/>
                  <w:sz w:val="20"/>
                </w:rPr>
                <w:t>308 Md. 208, 517 A.2d 1105 (1986).</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WAYNE R. LAFAVE, CRIMINAL LAW § 21.1, at 1069-79 (5th ed. 2010); ROLLIN M. PERKINS &amp; RONALD N. BOYCE, CRIMINAL LAW 246-69 (3d ed. 1982). This crime has been codified in CRIM. LAW I § 6-202. Under the statute, first degree burglary is common law burglary, but (1) with the nighttime requirement eliminated and (2) with the mental state modified to "with the intent to </w:t>
            </w:r>
            <w:r>
              <w:rPr>
                <w:rFonts w:ascii="Arial" w:eastAsia="Arial" w:hAnsi="Arial" w:cs="Arial"/>
                <w:color w:val="000000"/>
                <w:sz w:val="20"/>
              </w:rPr>
              <w:lastRenderedPageBreak/>
              <w:t xml:space="preserve">commit theft or a crime of violence." CRIM. LAW I § 6-202(a); </w:t>
            </w:r>
            <w:r>
              <w:rPr>
                <w:rFonts w:ascii="Arial" w:eastAsia="Arial" w:hAnsi="Arial" w:cs="Arial"/>
                <w:i/>
                <w:color w:val="000000"/>
                <w:sz w:val="20"/>
              </w:rPr>
              <w:t xml:space="preserve">see </w:t>
            </w:r>
            <w:hyperlink r:id="rId325" w:history="1">
              <w:r>
                <w:rPr>
                  <w:rStyle w:val="Hyperlink"/>
                  <w:rFonts w:ascii="Arial" w:eastAsia="Arial" w:hAnsi="Arial" w:cs="Arial"/>
                  <w:i/>
                  <w:color w:val="0077CC"/>
                  <w:sz w:val="20"/>
                </w:rPr>
                <w:t>Mitchell v. State, 132 Md. App. 312, 357, 752 A.2d 653, 678 (2000),</w:t>
              </w:r>
            </w:hyperlink>
            <w:r>
              <w:rPr>
                <w:rFonts w:ascii="Arial" w:eastAsia="Arial" w:hAnsi="Arial" w:cs="Arial"/>
                <w:color w:val="000000"/>
                <w:sz w:val="20"/>
              </w:rPr>
              <w:t xml:space="preserve"> </w:t>
            </w:r>
            <w:r>
              <w:rPr>
                <w:rFonts w:ascii="Arial" w:eastAsia="Arial" w:hAnsi="Arial" w:cs="Arial"/>
                <w:i/>
                <w:color w:val="000000"/>
                <w:sz w:val="20"/>
              </w:rPr>
              <w:t>rev'd on other grounds</w:t>
            </w:r>
            <w:r>
              <w:rPr>
                <w:rFonts w:ascii="Arial" w:eastAsia="Arial" w:hAnsi="Arial" w:cs="Arial"/>
                <w:color w:val="000000"/>
                <w:sz w:val="20"/>
              </w:rPr>
              <w:t xml:space="preserve">, </w:t>
            </w:r>
            <w:hyperlink r:id="rId326" w:history="1">
              <w:r>
                <w:rPr>
                  <w:rStyle w:val="Hyperlink"/>
                  <w:rFonts w:ascii="Arial" w:eastAsia="Arial" w:hAnsi="Arial" w:cs="Arial"/>
                  <w:i/>
                  <w:color w:val="0077CC"/>
                  <w:sz w:val="20"/>
                </w:rPr>
                <w:t>363 Md. 130, 767 A.2d 844 (2001);</w:t>
              </w:r>
            </w:hyperlink>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21.1(d), at 1077-78. The statute provides that the terms "break," "enter," and "dwelling" retain their "judicially determined meaning[s] except to the extent that [such] meanings [are] expressly or impliedly changed" by the statute. CRIM. LAW I § 6-201(b), (e)-(f).</w:t>
            </w:r>
          </w:p>
          <w:p w:rsidR="004729FB" w:rsidRDefault="004729FB">
            <w:pPr>
              <w:spacing w:before="240" w:line="260" w:lineRule="atLeast"/>
              <w:ind w:left="60" w:right="360"/>
              <w:jc w:val="both"/>
            </w:pPr>
            <w:r>
              <w:rPr>
                <w:rFonts w:ascii="Arial" w:eastAsia="Arial" w:hAnsi="Arial" w:cs="Arial"/>
                <w:color w:val="000000"/>
                <w:sz w:val="20"/>
              </w:rPr>
              <w:t xml:space="preserve">Breaking may be actual or constructive. Actual breaking means the creation of an opening, e.g., breaking a window, opening a closed but unlocked door, or enlarging an opening already created, such as pushing further open a half-opened door. </w:t>
            </w:r>
            <w:hyperlink r:id="rId327" w:history="1">
              <w:r>
                <w:rPr>
                  <w:rStyle w:val="Hyperlink"/>
                  <w:rFonts w:ascii="Arial" w:eastAsia="Arial" w:hAnsi="Arial" w:cs="Arial"/>
                  <w:i/>
                  <w:color w:val="0077CC"/>
                  <w:sz w:val="20"/>
                </w:rPr>
                <w:t>Robinson v. State, 67 Md. App. 445, 458, 508 A.2d 159, 165-66,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307 Md. 261, 513 A.2d 314 (1986);</w:t>
            </w:r>
            <w:r>
              <w:rPr>
                <w:rFonts w:ascii="Arial" w:eastAsia="Arial" w:hAnsi="Arial" w:cs="Arial"/>
                <w:color w:val="000000"/>
                <w:sz w:val="20"/>
              </w:rPr>
              <w:t xml:space="preserve"> </w:t>
            </w:r>
            <w:hyperlink r:id="rId328" w:history="1">
              <w:r>
                <w:rPr>
                  <w:rStyle w:val="Hyperlink"/>
                  <w:rFonts w:ascii="Arial" w:eastAsia="Arial" w:hAnsi="Arial" w:cs="Arial"/>
                  <w:i/>
                  <w:color w:val="0077CC"/>
                  <w:sz w:val="20"/>
                </w:rPr>
                <w:t>Jones v. State, 2 Md. App. 356, 360, 234 A.2d 625, 627 (1967);</w:t>
              </w:r>
            </w:hyperlink>
            <w:r>
              <w:rPr>
                <w:rFonts w:ascii="Arial" w:eastAsia="Arial" w:hAnsi="Arial" w:cs="Arial"/>
                <w:color w:val="000000"/>
                <w:sz w:val="20"/>
              </w:rPr>
              <w:t xml:space="preserve"> </w:t>
            </w:r>
            <w:hyperlink r:id="rId329" w:history="1">
              <w:r>
                <w:rPr>
                  <w:rStyle w:val="Hyperlink"/>
                  <w:rFonts w:ascii="Arial" w:eastAsia="Arial" w:hAnsi="Arial" w:cs="Arial"/>
                  <w:i/>
                  <w:color w:val="0077CC"/>
                  <w:sz w:val="20"/>
                </w:rPr>
                <w:t>Reagan v. State, 2 Md. App. 262, 267-68, 234 A.2d 278, 281 (1967).</w:t>
              </w:r>
            </w:hyperlink>
            <w:r>
              <w:rPr>
                <w:rFonts w:ascii="Arial" w:eastAsia="Arial" w:hAnsi="Arial" w:cs="Arial"/>
                <w:color w:val="000000"/>
                <w:sz w:val="20"/>
              </w:rPr>
              <w:t xml:space="preserve"> Constructive breaking means either the use of force, threat of force, fraud, or trickery to gain entry. </w:t>
            </w:r>
            <w:hyperlink r:id="rId330" w:history="1">
              <w:r>
                <w:rPr>
                  <w:rStyle w:val="Hyperlink"/>
                  <w:rFonts w:ascii="Arial" w:eastAsia="Arial" w:hAnsi="Arial" w:cs="Arial"/>
                  <w:i/>
                  <w:color w:val="0077CC"/>
                  <w:sz w:val="20"/>
                </w:rPr>
                <w:t>Brooks v. State, 25 Md. App. 194, 198, 333 A.2d 352, 354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331" w:history="1">
              <w:r>
                <w:rPr>
                  <w:rStyle w:val="Hyperlink"/>
                  <w:rFonts w:ascii="Arial" w:eastAsia="Arial" w:hAnsi="Arial" w:cs="Arial"/>
                  <w:i/>
                  <w:color w:val="0077CC"/>
                  <w:sz w:val="20"/>
                </w:rPr>
                <w:t>277 Md. 155, 353 A.2d 217 (1976).</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332" w:history="1">
              <w:r>
                <w:rPr>
                  <w:rStyle w:val="Hyperlink"/>
                  <w:rFonts w:ascii="Arial" w:eastAsia="Arial" w:hAnsi="Arial" w:cs="Arial"/>
                  <w:i/>
                  <w:color w:val="0077CC"/>
                  <w:sz w:val="20"/>
                </w:rPr>
                <w:t>Pryor v. State, 195 Md. App. 311, 322, 6 A.3d 343, 355 (2010)</w:t>
              </w:r>
            </w:hyperlink>
            <w:r>
              <w:rPr>
                <w:rFonts w:ascii="Arial" w:eastAsia="Arial" w:hAnsi="Arial" w:cs="Arial"/>
                <w:color w:val="000000"/>
                <w:sz w:val="20"/>
              </w:rPr>
              <w:t xml:space="preserve"> (finding a breaking despite the fact that defendant had keys to the dwelling, because defendant did not have permission to enter); </w:t>
            </w:r>
            <w:hyperlink r:id="rId333" w:history="1">
              <w:r>
                <w:rPr>
                  <w:rStyle w:val="Hyperlink"/>
                  <w:rFonts w:ascii="Arial" w:eastAsia="Arial" w:hAnsi="Arial" w:cs="Arial"/>
                  <w:i/>
                  <w:color w:val="0077CC"/>
                  <w:sz w:val="20"/>
                </w:rPr>
                <w:t>Holland v. State, 154 Md. App. 351, 364-72, 839 A.2d 806, 814-18 (2003)</w:t>
              </w:r>
            </w:hyperlink>
            <w:r>
              <w:rPr>
                <w:rFonts w:ascii="Arial" w:eastAsia="Arial" w:hAnsi="Arial" w:cs="Arial"/>
                <w:color w:val="000000"/>
                <w:sz w:val="20"/>
              </w:rPr>
              <w:t xml:space="preserve"> (finding no actual or constructive breaking where occupant invited defendant into dwelling after defendant knocked on door). </w:t>
            </w:r>
            <w:r>
              <w:rPr>
                <w:rFonts w:ascii="Arial" w:eastAsia="Arial" w:hAnsi="Arial" w:cs="Arial"/>
                <w:i/>
                <w:color w:val="000000"/>
                <w:sz w:val="20"/>
              </w:rPr>
              <w:t xml:space="preserve">Compare </w:t>
            </w:r>
            <w:hyperlink r:id="rId334" w:history="1">
              <w:r>
                <w:rPr>
                  <w:rStyle w:val="Hyperlink"/>
                  <w:rFonts w:ascii="Arial" w:eastAsia="Arial" w:hAnsi="Arial" w:cs="Arial"/>
                  <w:i/>
                  <w:color w:val="0077CC"/>
                  <w:sz w:val="20"/>
                </w:rPr>
                <w:t>Conyers v. State, 345 Md. 525, 557-58, 693 A.2d 781, 796 (1997)</w:t>
              </w:r>
            </w:hyperlink>
            <w:r>
              <w:rPr>
                <w:rFonts w:ascii="Arial" w:eastAsia="Arial" w:hAnsi="Arial" w:cs="Arial"/>
                <w:color w:val="000000"/>
                <w:sz w:val="20"/>
              </w:rPr>
              <w:t xml:space="preserve"> (insufficient evidence of constructive breaking), </w:t>
            </w:r>
            <w:r>
              <w:rPr>
                <w:rFonts w:ascii="Arial" w:eastAsia="Arial" w:hAnsi="Arial" w:cs="Arial"/>
                <w:i/>
                <w:color w:val="000000"/>
                <w:sz w:val="20"/>
              </w:rPr>
              <w:t xml:space="preserve">with </w:t>
            </w:r>
            <w:hyperlink r:id="rId335" w:history="1">
              <w:r>
                <w:rPr>
                  <w:rStyle w:val="Hyperlink"/>
                  <w:rFonts w:ascii="Arial" w:eastAsia="Arial" w:hAnsi="Arial" w:cs="Arial"/>
                  <w:i/>
                  <w:color w:val="0077CC"/>
                  <w:sz w:val="20"/>
                </w:rPr>
                <w:t>Oken v. State, 327 Md. 628, 632, 612 A.2d 258, 274-75 (1992)</w:t>
              </w:r>
            </w:hyperlink>
            <w:r>
              <w:rPr>
                <w:rFonts w:ascii="Arial" w:eastAsia="Arial" w:hAnsi="Arial" w:cs="Arial"/>
                <w:color w:val="000000"/>
                <w:sz w:val="20"/>
              </w:rPr>
              <w:t xml:space="preserve"> (constructive breaking inferred from fraudulent misrepresentation),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507 U.S. 931 (1993).</w:t>
            </w:r>
            <w:r>
              <w:rPr>
                <w:rFonts w:ascii="Arial" w:eastAsia="Arial" w:hAnsi="Arial" w:cs="Arial"/>
                <w:color w:val="000000"/>
                <w:sz w:val="20"/>
              </w:rPr>
              <w:t xml:space="preserve"> The Court of Special Appeals has indicated that the breaking may be for the purpose of exiting for some burglary-related crimes. </w:t>
            </w:r>
            <w:r>
              <w:rPr>
                <w:rFonts w:ascii="Arial" w:eastAsia="Arial" w:hAnsi="Arial" w:cs="Arial"/>
                <w:i/>
                <w:color w:val="000000"/>
                <w:sz w:val="20"/>
              </w:rPr>
              <w:t xml:space="preserve">See </w:t>
            </w:r>
            <w:hyperlink r:id="rId336" w:history="1">
              <w:r>
                <w:rPr>
                  <w:rStyle w:val="Hyperlink"/>
                  <w:rFonts w:ascii="Arial" w:eastAsia="Arial" w:hAnsi="Arial" w:cs="Arial"/>
                  <w:i/>
                  <w:color w:val="0077CC"/>
                  <w:sz w:val="20"/>
                </w:rPr>
                <w:t>Sample v. State, 33 Md. App. 398, 400-03, 365 A.2d 773, 775-77 (1976)</w:t>
              </w:r>
            </w:hyperlink>
            <w:r>
              <w:rPr>
                <w:rFonts w:ascii="Arial" w:eastAsia="Arial" w:hAnsi="Arial" w:cs="Arial"/>
                <w:color w:val="000000"/>
                <w:sz w:val="20"/>
              </w:rPr>
              <w:t xml:space="preserve"> ("We conclude, therefore, that the trial judge, having found that the defendant broke out of the tavern, was correct in his holding that the element of breaking as used in the statute could be satisfied by a breaking out.").</w:t>
            </w:r>
          </w:p>
          <w:p w:rsidR="004729FB" w:rsidRDefault="004729FB">
            <w:pPr>
              <w:spacing w:before="200" w:line="260" w:lineRule="atLeast"/>
              <w:ind w:left="60" w:right="360"/>
              <w:jc w:val="both"/>
            </w:pPr>
            <w:r>
              <w:rPr>
                <w:rFonts w:ascii="Arial" w:eastAsia="Arial" w:hAnsi="Arial" w:cs="Arial"/>
                <w:color w:val="000000"/>
                <w:sz w:val="20"/>
              </w:rPr>
              <w:t xml:space="preserve">Entering may be effectuated by any part of the defendant's body or by an instrumentality. If entry is by an instrumentality, it must be for the purpose of committing the prohibited act therein, e.g., a bullet to kill someone inside or a coat hanger to retrieve goods, and not merely for the purpose of gaining entry, e.g., a stick to unlatch a door. Entry may be at a time different from the breaking, but it must be made through the opening created by the breaking. </w:t>
            </w:r>
            <w:r>
              <w:rPr>
                <w:rFonts w:ascii="Arial" w:eastAsia="Arial" w:hAnsi="Arial" w:cs="Arial"/>
                <w:i/>
                <w:color w:val="000000"/>
                <w:sz w:val="20"/>
              </w:rPr>
              <w:t>See generally</w:t>
            </w:r>
            <w:r>
              <w:rPr>
                <w:rFonts w:ascii="Arial" w:eastAsia="Arial" w:hAnsi="Arial" w:cs="Arial"/>
                <w:color w:val="000000"/>
                <w:sz w:val="20"/>
              </w:rPr>
              <w:t xml:space="preserve"> PERKINS &amp; BOYCE, </w:t>
            </w:r>
            <w:r>
              <w:rPr>
                <w:rFonts w:ascii="Arial" w:eastAsia="Arial" w:hAnsi="Arial" w:cs="Arial"/>
                <w:i/>
                <w:color w:val="000000"/>
                <w:sz w:val="20"/>
              </w:rPr>
              <w:t>supra</w:t>
            </w:r>
            <w:r>
              <w:rPr>
                <w:rFonts w:ascii="Arial" w:eastAsia="Arial" w:hAnsi="Arial" w:cs="Arial"/>
                <w:color w:val="000000"/>
                <w:sz w:val="20"/>
              </w:rPr>
              <w:t xml:space="preserve">, at 252-55; LAFAVE, </w:t>
            </w:r>
            <w:r>
              <w:rPr>
                <w:rFonts w:ascii="Arial" w:eastAsia="Arial" w:hAnsi="Arial" w:cs="Arial"/>
                <w:i/>
                <w:color w:val="000000"/>
                <w:sz w:val="20"/>
              </w:rPr>
              <w:t>supra</w:t>
            </w:r>
            <w:r>
              <w:rPr>
                <w:rFonts w:ascii="Arial" w:eastAsia="Arial" w:hAnsi="Arial" w:cs="Arial"/>
                <w:color w:val="000000"/>
                <w:sz w:val="20"/>
              </w:rPr>
              <w:t>, § 21.1(b), (d), at 1072-74, 1077-78.</w:t>
            </w:r>
          </w:p>
          <w:p w:rsidR="004729FB" w:rsidRDefault="004729FB">
            <w:pPr>
              <w:spacing w:before="200" w:line="260" w:lineRule="atLeast"/>
              <w:ind w:left="60" w:right="360"/>
              <w:jc w:val="both"/>
            </w:pPr>
            <w:r>
              <w:rPr>
                <w:rFonts w:ascii="Arial" w:eastAsia="Arial" w:hAnsi="Arial" w:cs="Arial"/>
                <w:color w:val="000000"/>
                <w:sz w:val="20"/>
              </w:rPr>
              <w:t xml:space="preserve">Dwelling house means a structure where someone regularly sleeps. </w:t>
            </w:r>
            <w:hyperlink r:id="rId337" w:history="1">
              <w:r>
                <w:rPr>
                  <w:rStyle w:val="Hyperlink"/>
                  <w:rFonts w:ascii="Arial" w:eastAsia="Arial" w:hAnsi="Arial" w:cs="Arial"/>
                  <w:i/>
                  <w:color w:val="0077CC"/>
                  <w:sz w:val="20"/>
                </w:rPr>
                <w:t>Marston v. State, 9 Md. App. 360, 363, 264 A.2d 127, 128 (1970).</w:t>
              </w:r>
            </w:hyperlink>
            <w:r>
              <w:rPr>
                <w:rFonts w:ascii="Arial" w:eastAsia="Arial" w:hAnsi="Arial" w:cs="Arial"/>
                <w:color w:val="000000"/>
                <w:sz w:val="20"/>
              </w:rPr>
              <w:t xml:space="preserve"> The fact that a structure is actually used for sleep on a given night is not determinative. </w:t>
            </w:r>
            <w:r>
              <w:rPr>
                <w:rFonts w:ascii="Arial" w:eastAsia="Arial" w:hAnsi="Arial" w:cs="Arial"/>
                <w:i/>
                <w:color w:val="000000"/>
                <w:sz w:val="20"/>
              </w:rPr>
              <w:t xml:space="preserve">See </w:t>
            </w:r>
            <w:hyperlink r:id="rId338" w:history="1">
              <w:r>
                <w:rPr>
                  <w:rStyle w:val="Hyperlink"/>
                  <w:rFonts w:ascii="Arial" w:eastAsia="Arial" w:hAnsi="Arial" w:cs="Arial"/>
                  <w:i/>
                  <w:color w:val="0077CC"/>
                  <w:sz w:val="20"/>
                </w:rPr>
                <w:t>Kanaras v. State, 54 Md. App. 568, 585, 460 A.2d 61, 71 (1983)</w:t>
              </w:r>
            </w:hyperlink>
            <w:r>
              <w:rPr>
                <w:rFonts w:ascii="Arial" w:eastAsia="Arial" w:hAnsi="Arial" w:cs="Arial"/>
                <w:color w:val="000000"/>
                <w:sz w:val="20"/>
              </w:rPr>
              <w:t xml:space="preserve"> (finding that a motor home is not a dwelling house, even if it is sometime used for sleeping, provided its primary purpose is transportation), </w:t>
            </w:r>
            <w:r>
              <w:rPr>
                <w:rFonts w:ascii="Arial" w:eastAsia="Arial" w:hAnsi="Arial" w:cs="Arial"/>
                <w:i/>
                <w:color w:val="000000"/>
                <w:sz w:val="20"/>
              </w:rPr>
              <w:t>rev'd on other grounds</w:t>
            </w:r>
            <w:r>
              <w:rPr>
                <w:rFonts w:ascii="Arial" w:eastAsia="Arial" w:hAnsi="Arial" w:cs="Arial"/>
                <w:color w:val="000000"/>
                <w:sz w:val="20"/>
              </w:rPr>
              <w:t xml:space="preserve">, </w:t>
            </w:r>
            <w:hyperlink r:id="rId339" w:history="1">
              <w:r>
                <w:rPr>
                  <w:rStyle w:val="Hyperlink"/>
                  <w:rFonts w:ascii="Arial" w:eastAsia="Arial" w:hAnsi="Arial" w:cs="Arial"/>
                  <w:i/>
                  <w:color w:val="0077CC"/>
                  <w:sz w:val="20"/>
                </w:rPr>
                <w:t>357 Md. 170, 742 A.2d 508 (1999).</w:t>
              </w:r>
            </w:hyperlink>
            <w:r>
              <w:rPr>
                <w:rFonts w:ascii="Arial" w:eastAsia="Arial" w:hAnsi="Arial" w:cs="Arial"/>
                <w:color w:val="000000"/>
                <w:sz w:val="20"/>
              </w:rPr>
              <w:t xml:space="preserve"> A structure does not attain dwelling house status until the first dweller moves in. For example, a workman sleeping in a house under construction does not make it a dwelling house. LAFAVE, </w:t>
            </w:r>
            <w:r>
              <w:rPr>
                <w:rFonts w:ascii="Arial" w:eastAsia="Arial" w:hAnsi="Arial" w:cs="Arial"/>
                <w:i/>
                <w:color w:val="000000"/>
                <w:sz w:val="20"/>
              </w:rPr>
              <w:t>supra</w:t>
            </w:r>
            <w:r>
              <w:rPr>
                <w:rFonts w:ascii="Arial" w:eastAsia="Arial" w:hAnsi="Arial" w:cs="Arial"/>
                <w:color w:val="000000"/>
                <w:sz w:val="20"/>
              </w:rPr>
              <w:t xml:space="preserve">, § 21.1(c), at 1074-75. Once a structure is a dwelling house, the fact that it is temporarily unoccupied does not terminate its dwelling house character, e.g., a residence not slept in during vacation, a summer residence not slept in during the winter. Likewise, "an unoccupied apartment that is between rentals, but is suitable for occupancy, is a 'dwelling' for purpose of statutory burglary." </w:t>
            </w:r>
            <w:hyperlink r:id="rId340" w:history="1">
              <w:r>
                <w:rPr>
                  <w:rStyle w:val="Hyperlink"/>
                  <w:rFonts w:ascii="Arial" w:eastAsia="Arial" w:hAnsi="Arial" w:cs="Arial"/>
                  <w:i/>
                  <w:color w:val="0077CC"/>
                  <w:sz w:val="20"/>
                </w:rPr>
                <w:t>McKenzie v. State, 407 Md. 120, 135, 962 A.2d 998, 1007 (2008).</w:t>
              </w:r>
            </w:hyperlink>
            <w:r>
              <w:rPr>
                <w:rFonts w:ascii="Arial" w:eastAsia="Arial" w:hAnsi="Arial" w:cs="Arial"/>
                <w:color w:val="000000"/>
                <w:sz w:val="20"/>
              </w:rPr>
              <w:t xml:space="preserve"> However, if the occupants have left with no intention of returning, it ceases to be a dwelling house until the next dweller begins to live there. </w:t>
            </w:r>
            <w:r>
              <w:rPr>
                <w:rFonts w:ascii="Arial" w:eastAsia="Arial" w:hAnsi="Arial" w:cs="Arial"/>
                <w:i/>
                <w:color w:val="000000"/>
                <w:sz w:val="20"/>
              </w:rPr>
              <w:t xml:space="preserve">See </w:t>
            </w:r>
            <w:hyperlink r:id="rId341" w:history="1">
              <w:r>
                <w:rPr>
                  <w:rStyle w:val="Hyperlink"/>
                  <w:rFonts w:ascii="Arial" w:eastAsia="Arial" w:hAnsi="Arial" w:cs="Arial"/>
                  <w:i/>
                  <w:color w:val="0077CC"/>
                  <w:sz w:val="20"/>
                </w:rPr>
                <w:t>Wallace v. State, 63 Md. App. 399, 405-07, 492 A.2d 970, 974-75</w:t>
              </w:r>
            </w:hyperlink>
            <w:r>
              <w:rPr>
                <w:rFonts w:ascii="Arial" w:eastAsia="Arial" w:hAnsi="Arial" w:cs="Arial"/>
                <w:color w:val="000000"/>
                <w:sz w:val="20"/>
              </w:rPr>
              <w:t xml:space="preserve"> (holding that an apartment was not a dwelling house where the tenant vacated the dwelling and there was no evidence that the owner ever lived, or intended to live, in the apartment),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301, 498 A.2d 1186 (1985).</w:t>
            </w:r>
            <w:r>
              <w:rPr>
                <w:rFonts w:ascii="Arial" w:eastAsia="Arial" w:hAnsi="Arial" w:cs="Arial"/>
                <w:color w:val="000000"/>
                <w:sz w:val="20"/>
              </w:rPr>
              <w:t xml:space="preserve"> Hotel and motel rooms are dwelling houses, even though someone different may sleep there every night and even though a given room may be unoccupied for a considerable period of time. </w:t>
            </w:r>
            <w:hyperlink r:id="rId342" w:history="1">
              <w:r>
                <w:rPr>
                  <w:rStyle w:val="Hyperlink"/>
                  <w:rFonts w:ascii="Arial" w:eastAsia="Arial" w:hAnsi="Arial" w:cs="Arial"/>
                  <w:i/>
                  <w:color w:val="0077CC"/>
                  <w:sz w:val="20"/>
                </w:rPr>
                <w:t>Herbert v. State, 31 Md. App. 48, 51-52, 354 A.2d 449, 451 (1976).</w:t>
              </w:r>
            </w:hyperlink>
            <w:r>
              <w:rPr>
                <w:rFonts w:ascii="Arial" w:eastAsia="Arial" w:hAnsi="Arial" w:cs="Arial"/>
                <w:color w:val="000000"/>
                <w:sz w:val="20"/>
              </w:rPr>
              <w:t xml:space="preserve"> A storehouse may be deemed a dwelling house if there is an internal passage between the storehouse and a dwelling house. </w:t>
            </w:r>
            <w:hyperlink r:id="rId343" w:history="1">
              <w:r>
                <w:rPr>
                  <w:rStyle w:val="Hyperlink"/>
                  <w:rFonts w:ascii="Arial" w:eastAsia="Arial" w:hAnsi="Arial" w:cs="Arial"/>
                  <w:i/>
                  <w:color w:val="0077CC"/>
                  <w:sz w:val="20"/>
                </w:rPr>
                <w:t>Smith v. State, 31 Md. App. 106, 115, 355 A.2d 527, 533 (1976);</w:t>
              </w:r>
            </w:hyperlink>
            <w:r>
              <w:rPr>
                <w:rFonts w:ascii="Arial" w:eastAsia="Arial" w:hAnsi="Arial" w:cs="Arial"/>
                <w:color w:val="000000"/>
                <w:sz w:val="20"/>
              </w:rPr>
              <w:t xml:space="preserve"> </w:t>
            </w:r>
            <w:hyperlink r:id="rId344" w:history="1">
              <w:r>
                <w:rPr>
                  <w:rStyle w:val="Hyperlink"/>
                  <w:rFonts w:ascii="Arial" w:eastAsia="Arial" w:hAnsi="Arial" w:cs="Arial"/>
                  <w:i/>
                  <w:color w:val="0077CC"/>
                  <w:sz w:val="20"/>
                </w:rPr>
                <w:t>Rizia v. State, 16 Md. App. 326, 295 A.2d 818 (1972),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267 Md. 744 (1973).</w:t>
            </w:r>
            <w:r>
              <w:rPr>
                <w:rFonts w:ascii="Arial" w:eastAsia="Arial" w:hAnsi="Arial" w:cs="Arial"/>
                <w:color w:val="000000"/>
                <w:sz w:val="20"/>
              </w:rPr>
              <w:t xml:space="preserve"> For example, a first floor storehouse may be deemed a dwelling house if the owner can enter his or </w:t>
            </w:r>
            <w:r>
              <w:rPr>
                <w:rFonts w:ascii="Arial" w:eastAsia="Arial" w:hAnsi="Arial" w:cs="Arial"/>
                <w:color w:val="000000"/>
                <w:sz w:val="20"/>
              </w:rPr>
              <w:lastRenderedPageBreak/>
              <w:t xml:space="preserve">her apartment on the second floor from inside the store without the need to go outside. Any part of the realty of a dwelling house will suffice. Thus, breaking and entering doors between rooms or closet doors is burglary. </w:t>
            </w:r>
            <w:r>
              <w:rPr>
                <w:rFonts w:ascii="Arial" w:eastAsia="Arial" w:hAnsi="Arial" w:cs="Arial"/>
                <w:i/>
                <w:color w:val="000000"/>
                <w:sz w:val="20"/>
              </w:rPr>
              <w:t xml:space="preserve">See </w:t>
            </w:r>
            <w:hyperlink r:id="rId345" w:history="1">
              <w:r>
                <w:rPr>
                  <w:rStyle w:val="Hyperlink"/>
                  <w:rFonts w:ascii="Arial" w:eastAsia="Arial" w:hAnsi="Arial" w:cs="Arial"/>
                  <w:i/>
                  <w:color w:val="0077CC"/>
                  <w:sz w:val="20"/>
                </w:rPr>
                <w:t>Sizemore v. State, 10 Md. App. 682, 690, 272 A.2d 824, 828,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261 Md. 728 (1971).</w:t>
            </w:r>
            <w:r>
              <w:rPr>
                <w:rFonts w:ascii="Arial" w:eastAsia="Arial" w:hAnsi="Arial" w:cs="Arial"/>
                <w:color w:val="000000"/>
                <w:sz w:val="20"/>
              </w:rPr>
              <w:t xml:space="preserve"> The dwelling house extends to its curtilage, i.e., those outbuildings within the area reasonably close to the dwelling house and capable of being fenced in. LAFAVE, </w:t>
            </w:r>
            <w:r>
              <w:rPr>
                <w:rFonts w:ascii="Arial" w:eastAsia="Arial" w:hAnsi="Arial" w:cs="Arial"/>
                <w:i/>
                <w:color w:val="000000"/>
                <w:sz w:val="20"/>
              </w:rPr>
              <w:t>supra</w:t>
            </w:r>
            <w:r>
              <w:rPr>
                <w:rFonts w:ascii="Arial" w:eastAsia="Arial" w:hAnsi="Arial" w:cs="Arial"/>
                <w:color w:val="000000"/>
                <w:sz w:val="20"/>
              </w:rPr>
              <w:t>, § 21.1(c), at 1074-77.</w:t>
            </w:r>
          </w:p>
          <w:p w:rsidR="004729FB" w:rsidRDefault="004729FB">
            <w:pPr>
              <w:spacing w:before="240" w:line="260" w:lineRule="atLeast"/>
              <w:ind w:left="60" w:right="360"/>
              <w:jc w:val="both"/>
            </w:pPr>
            <w:r>
              <w:rPr>
                <w:rFonts w:ascii="Arial" w:eastAsia="Arial" w:hAnsi="Arial" w:cs="Arial"/>
                <w:color w:val="000000"/>
                <w:sz w:val="20"/>
              </w:rPr>
              <w:t xml:space="preserve">The requirement that the dwelling be that of another means that someone has a right of habitation in the dwelling house greater than that of the defendant. For example, a rented apartment or house may be of another, as against the owner, if the tenant has a superior right of habitation. </w:t>
            </w:r>
            <w:hyperlink r:id="rId346" w:history="1">
              <w:r>
                <w:rPr>
                  <w:rStyle w:val="Hyperlink"/>
                  <w:rFonts w:ascii="Arial" w:eastAsia="Arial" w:hAnsi="Arial" w:cs="Arial"/>
                  <w:i/>
                  <w:color w:val="0077CC"/>
                  <w:sz w:val="20"/>
                </w:rPr>
                <w:t>Hackley v. State, 237 Md. 566, 569, 207 A.2d 475, 477 (1965);</w:t>
              </w:r>
            </w:hyperlink>
            <w:r>
              <w:rPr>
                <w:rFonts w:ascii="Arial" w:eastAsia="Arial" w:hAnsi="Arial" w:cs="Arial"/>
                <w:color w:val="000000"/>
                <w:sz w:val="20"/>
              </w:rPr>
              <w:t xml:space="preserve"> </w:t>
            </w:r>
            <w:hyperlink r:id="rId347" w:history="1">
              <w:r>
                <w:rPr>
                  <w:rStyle w:val="Hyperlink"/>
                  <w:rFonts w:ascii="Arial" w:eastAsia="Arial" w:hAnsi="Arial" w:cs="Arial"/>
                  <w:i/>
                  <w:color w:val="0077CC"/>
                  <w:sz w:val="20"/>
                </w:rPr>
                <w:t>Melia v. State, 5 Md. App. 354, 364-65, 247 A.2d 554, 560 (1968).</w:t>
              </w:r>
            </w:hyperlink>
          </w:p>
          <w:p w:rsidR="004729FB" w:rsidRDefault="004729FB">
            <w:pPr>
              <w:spacing w:before="240" w:line="260" w:lineRule="atLeast"/>
              <w:ind w:left="60" w:right="360"/>
              <w:jc w:val="both"/>
            </w:pPr>
            <w:r>
              <w:rPr>
                <w:rFonts w:ascii="Arial" w:eastAsia="Arial" w:hAnsi="Arial" w:cs="Arial"/>
                <w:color w:val="000000"/>
                <w:sz w:val="20"/>
              </w:rPr>
              <w:t xml:space="preserve">The defendant must intend to commit theft or a crime of violence at the time of the breaking and entry, or at the time of the entry if the breaking and entry are accomplished at different times. </w:t>
            </w:r>
            <w:r>
              <w:rPr>
                <w:rFonts w:ascii="Arial" w:eastAsia="Arial" w:hAnsi="Arial" w:cs="Arial"/>
                <w:i/>
                <w:color w:val="000000"/>
                <w:sz w:val="20"/>
              </w:rPr>
              <w:t xml:space="preserve">See </w:t>
            </w:r>
            <w:hyperlink r:id="rId348" w:history="1">
              <w:r>
                <w:rPr>
                  <w:rStyle w:val="Hyperlink"/>
                  <w:rFonts w:ascii="Arial" w:eastAsia="Arial" w:hAnsi="Arial" w:cs="Arial"/>
                  <w:i/>
                  <w:color w:val="0077CC"/>
                  <w:sz w:val="20"/>
                </w:rPr>
                <w:t>Winder v. State, 362 Md. 275, 328-329, 765 A.2d 97, 126 (2001);</w:t>
              </w:r>
            </w:hyperlink>
            <w:r>
              <w:rPr>
                <w:rFonts w:ascii="Arial" w:eastAsia="Arial" w:hAnsi="Arial" w:cs="Arial"/>
                <w:color w:val="000000"/>
                <w:sz w:val="20"/>
              </w:rPr>
              <w:t xml:space="preserve"> </w:t>
            </w:r>
            <w:hyperlink r:id="rId349" w:history="1">
              <w:r>
                <w:rPr>
                  <w:rStyle w:val="Hyperlink"/>
                  <w:rFonts w:ascii="Arial" w:eastAsia="Arial" w:hAnsi="Arial" w:cs="Arial"/>
                  <w:i/>
                  <w:color w:val="0077CC"/>
                  <w:sz w:val="20"/>
                </w:rPr>
                <w:t>Sample, 33 Md. App. at 404, 365 A.2d at 777;</w:t>
              </w:r>
            </w:hyperlink>
            <w:r>
              <w:rPr>
                <w:rFonts w:ascii="Arial" w:eastAsia="Arial" w:hAnsi="Arial" w:cs="Arial"/>
                <w:color w:val="000000"/>
                <w:sz w:val="20"/>
              </w:rPr>
              <w:t xml:space="preserve"> </w:t>
            </w:r>
            <w:hyperlink r:id="rId350" w:history="1">
              <w:r>
                <w:rPr>
                  <w:rStyle w:val="Hyperlink"/>
                  <w:rFonts w:ascii="Arial" w:eastAsia="Arial" w:hAnsi="Arial" w:cs="Arial"/>
                  <w:i/>
                  <w:color w:val="0077CC"/>
                  <w:sz w:val="20"/>
                </w:rPr>
                <w:t>Pearre v. State, 237 Md. 622, 624, 206 A.2d 249, 250 (1965)</w:t>
              </w:r>
            </w:hyperlink>
            <w:r>
              <w:rPr>
                <w:rFonts w:ascii="Arial" w:eastAsia="Arial" w:hAnsi="Arial" w:cs="Arial"/>
                <w:color w:val="000000"/>
                <w:sz w:val="20"/>
              </w:rPr>
              <w:t xml:space="preserve"> ("The actual intention at the time of the breaking is controlling, and we have held that a felonious intent to take whatever the offender could get can be inferred from the hour of the entering, the ransacking of drawers, and other similar circumstances."). However, burglary does not require that the theft or crime of violence actually be accomplished. </w:t>
            </w:r>
            <w:r>
              <w:rPr>
                <w:rFonts w:ascii="Arial" w:eastAsia="Arial" w:hAnsi="Arial" w:cs="Arial"/>
                <w:i/>
                <w:color w:val="000000"/>
                <w:sz w:val="20"/>
              </w:rPr>
              <w:t xml:space="preserve">See </w:t>
            </w:r>
            <w:hyperlink r:id="rId351" w:history="1">
              <w:r>
                <w:rPr>
                  <w:rStyle w:val="Hyperlink"/>
                  <w:rFonts w:ascii="Arial" w:eastAsia="Arial" w:hAnsi="Arial" w:cs="Arial"/>
                  <w:i/>
                  <w:color w:val="0077CC"/>
                  <w:sz w:val="20"/>
                </w:rPr>
                <w:t>Robinson v. State, 4 Md. App. 515, 530-31, 243 A.2d 879, 888-89 (1968);</w:t>
              </w:r>
            </w:hyperlink>
            <w:r>
              <w:rPr>
                <w:rFonts w:ascii="Arial" w:eastAsia="Arial" w:hAnsi="Arial" w:cs="Arial"/>
                <w:color w:val="000000"/>
                <w:sz w:val="20"/>
              </w:rPr>
              <w:t xml:space="preserve"> </w:t>
            </w:r>
            <w:hyperlink r:id="rId352" w:history="1">
              <w:r>
                <w:rPr>
                  <w:rStyle w:val="Hyperlink"/>
                  <w:rFonts w:ascii="Arial" w:eastAsia="Arial" w:hAnsi="Arial" w:cs="Arial"/>
                  <w:i/>
                  <w:color w:val="0077CC"/>
                  <w:sz w:val="20"/>
                </w:rPr>
                <w:t>O'Brien v. State, 1 Md. App. 94, 97, 227 A.2d 362, 363-64 (1967).</w:t>
              </w:r>
            </w:hyperlink>
            <w:r>
              <w:rPr>
                <w:rFonts w:ascii="Arial" w:eastAsia="Arial" w:hAnsi="Arial" w:cs="Arial"/>
                <w:color w:val="000000"/>
                <w:sz w:val="20"/>
              </w:rPr>
              <w:t xml:space="preserve"> On the other hand, the accomplishment of a theft or crime of violence therein, if not intended at the time of the entry, does not constitute a burglary. In </w:t>
            </w:r>
            <w:hyperlink r:id="rId353" w:history="1">
              <w:r>
                <w:rPr>
                  <w:rStyle w:val="Hyperlink"/>
                  <w:rFonts w:ascii="Arial" w:eastAsia="Arial" w:hAnsi="Arial" w:cs="Arial"/>
                  <w:i/>
                  <w:color w:val="0077CC"/>
                  <w:sz w:val="20"/>
                </w:rPr>
                <w:t>Reed v. State, 316 Md. 521, 560 A.2d 1104 (1989),</w:t>
              </w:r>
            </w:hyperlink>
            <w:r>
              <w:rPr>
                <w:rFonts w:ascii="Arial" w:eastAsia="Arial" w:hAnsi="Arial" w:cs="Arial"/>
                <w:color w:val="000000"/>
                <w:sz w:val="20"/>
              </w:rPr>
              <w:t xml:space="preserve"> the Court of Appeals found that there was insufficient evidence of intent at the time of the breaking. Although the defendant lied to get into the building, he gave his real name, went to his father's apartment, mopped the floor, and did not steal until thirty minutes later after a chance encounter with an open door. </w:t>
            </w:r>
            <w:hyperlink r:id="rId354" w:history="1">
              <w:r>
                <w:rPr>
                  <w:rStyle w:val="Hyperlink"/>
                  <w:rFonts w:ascii="Arial" w:eastAsia="Arial" w:hAnsi="Arial" w:cs="Arial"/>
                  <w:i/>
                  <w:color w:val="0077CC"/>
                  <w:sz w:val="20"/>
                </w:rPr>
                <w:t>Id. at 523-28, 560 A.2d at 1105-07;</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355" w:history="1">
              <w:r>
                <w:rPr>
                  <w:rStyle w:val="Hyperlink"/>
                  <w:rFonts w:ascii="Arial" w:eastAsia="Arial" w:hAnsi="Arial" w:cs="Arial"/>
                  <w:i/>
                  <w:color w:val="0077CC"/>
                  <w:sz w:val="20"/>
                </w:rPr>
                <w:t>Ridley v. State, 228 Md. 281, 179 A.2d 710 (1962);</w:t>
              </w:r>
            </w:hyperlink>
            <w:r>
              <w:rPr>
                <w:rFonts w:ascii="Arial" w:eastAsia="Arial" w:hAnsi="Arial" w:cs="Arial"/>
                <w:color w:val="000000"/>
                <w:sz w:val="20"/>
              </w:rPr>
              <w:t xml:space="preserve"> </w:t>
            </w:r>
            <w:hyperlink r:id="rId356" w:history="1">
              <w:r>
                <w:rPr>
                  <w:rStyle w:val="Hyperlink"/>
                  <w:rFonts w:ascii="Arial" w:eastAsia="Arial" w:hAnsi="Arial" w:cs="Arial"/>
                  <w:i/>
                  <w:color w:val="0077CC"/>
                  <w:sz w:val="20"/>
                </w:rPr>
                <w:t>Johnson v. State, 5 Md. App. 540, 248 A.2d 663 (1968).</w:t>
              </w:r>
            </w:hyperlink>
            <w:r>
              <w:rPr>
                <w:rFonts w:ascii="Arial" w:eastAsia="Arial" w:hAnsi="Arial" w:cs="Arial"/>
                <w:color w:val="000000"/>
                <w:sz w:val="20"/>
              </w:rPr>
              <w:t xml:space="preserve"> A crime of violence is abduction, arson in the first degree, kidnapping, voluntary manslaughter, mayhem and maiming, murder, rape, robbery, carjacking, armed carjacking, first and second degree sexual offense, use of a handgun in the commission of a felony or crime of violence, child abuse in the first degree, sexual abuse of a minor, attempts thereto, continuing course of sexual offense related conduct with a child under 14 years old, and first degree assault, and assault with intent to rape, rob, or commit a sexual offense in the first or second degree. CRIM. LAW I &amp; II §§ 6-201(d), 14-101.</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5" style="position:absolute;z-index:25172992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4:06A, MPJI-Cr 4:06.2, MPJI-Cr 4:06.3, MPJI-Cr 4:32.</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2" style="position:absolute;left:0;text-align:left;z-index:251737088;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5" name="Picture 1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57" w:history="1">
        <w:r>
          <w:rPr>
            <w:rStyle w:val="Hyperlink"/>
            <w:rFonts w:ascii="Arial" w:eastAsia="Arial" w:hAnsi="Arial" w:cs="Arial"/>
            <w:b/>
            <w:bCs/>
            <w:i/>
            <w:color w:val="0077CC"/>
            <w:kern w:val="32"/>
            <w:sz w:val="28"/>
            <w:szCs w:val="32"/>
          </w:rPr>
          <w:t>MPJI-Cr 4:06.1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BURGLARY--SECOND DEGREE</w:t>
      </w:r>
    </w:p>
    <w:p w:rsidR="004729FB" w:rsidRDefault="004729FB" w:rsidP="004729FB">
      <w:pPr>
        <w:keepNext/>
        <w:spacing w:before="240" w:line="340" w:lineRule="atLeast"/>
      </w:pPr>
      <w:r>
        <w:br/>
      </w:r>
      <w:r>
        <w:rPr>
          <w:rFonts w:ascii="Arial" w:eastAsia="Arial" w:hAnsi="Arial" w:cs="Arial"/>
          <w:b/>
          <w:color w:val="000000"/>
          <w:sz w:val="28"/>
        </w:rPr>
        <w:t>4:06.1Burglary--Second Degree</w:t>
      </w:r>
    </w:p>
    <w:p w:rsidR="004729FB" w:rsidRDefault="004729FB" w:rsidP="004729FB">
      <w:pPr>
        <w:spacing w:line="60" w:lineRule="exact"/>
      </w:pPr>
      <w:r>
        <w:pict>
          <v:line id="_x0000_s1106" style="position:absolute;z-index:25172070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second degree. Burglary in the second degree is the breaking and entering of someone else's building with the intent to commit (</w:t>
      </w:r>
      <w:r>
        <w:rPr>
          <w:rFonts w:ascii="Arial" w:eastAsia="Arial" w:hAnsi="Arial" w:cs="Arial"/>
          <w:b/>
          <w:color w:val="000000"/>
          <w:sz w:val="20"/>
          <w:u w:val="single"/>
        </w:rPr>
        <w:t>insert "theft," and/or the particular "crime of violence", and/or "arson in the second degree"</w:t>
      </w:r>
      <w:r>
        <w:rPr>
          <w:rFonts w:ascii="Arial" w:eastAsia="Arial" w:hAnsi="Arial" w:cs="Arial"/>
          <w:b/>
          <w:color w:val="000000"/>
          <w:sz w:val="20"/>
        </w:rPr>
        <w:t>). In order to convict the defendant of burglary in the second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[building] [structure, including (</w:t>
      </w:r>
      <w:r>
        <w:rPr>
          <w:rFonts w:ascii="Arial" w:eastAsia="Arial" w:hAnsi="Arial" w:cs="Arial"/>
          <w:b/>
          <w:color w:val="000000"/>
          <w:sz w:val="20"/>
          <w:u w:val="single"/>
        </w:rPr>
        <w:t>insert type of structure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w:t>
      </w:r>
      <w:r>
        <w:rPr>
          <w:rFonts w:ascii="Arial" w:eastAsia="Arial" w:hAnsi="Arial" w:cs="Arial"/>
          <w:b/>
          <w:color w:val="000000"/>
          <w:sz w:val="20"/>
          <w:u w:val="single"/>
        </w:rPr>
        <w:t>insert "theft" and/or the particular crime of violence and/or "arson in the second degree"</w:t>
      </w:r>
      <w:r>
        <w:rPr>
          <w:rFonts w:ascii="Arial" w:eastAsia="Arial" w:hAnsi="Arial" w:cs="Arial"/>
          <w:b/>
          <w:color w:val="000000"/>
          <w:sz w:val="20"/>
        </w:rPr>
        <w:t>) inside the [building] [structure, including (</w:t>
      </w:r>
      <w:r>
        <w:rPr>
          <w:rFonts w:ascii="Arial" w:eastAsia="Arial" w:hAnsi="Arial" w:cs="Arial"/>
          <w:b/>
          <w:color w:val="000000"/>
          <w:sz w:val="20"/>
          <w:u w:val="single"/>
        </w:rPr>
        <w:t>insert type of structure</w:t>
      </w:r>
      <w:r>
        <w:rPr>
          <w:rFonts w:ascii="Arial" w:eastAsia="Arial" w:hAnsi="Arial" w:cs="Arial"/>
          <w:b/>
          <w:color w:val="000000"/>
          <w:sz w:val="20"/>
        </w:rPr>
        <w:t>)]</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4:06 (Burglary--First Degree).</w:t>
            </w:r>
          </w:p>
          <w:p w:rsidR="004729FB" w:rsidRDefault="004729FB">
            <w:pPr>
              <w:spacing w:before="200" w:line="260" w:lineRule="atLeast"/>
              <w:ind w:left="60" w:right="360"/>
              <w:jc w:val="both"/>
            </w:pPr>
            <w:r>
              <w:rPr>
                <w:rFonts w:ascii="Arial" w:eastAsia="Arial" w:hAnsi="Arial" w:cs="Arial"/>
                <w:color w:val="000000"/>
                <w:sz w:val="20"/>
              </w:rPr>
              <w:t>Second degree burglary is the breaking and entering of the storehouse of another with the intent to commit theft, a crime of violence, or second degree arson. CRIM. LAW I § 6-203. The Maryland Code provides that:</w:t>
            </w:r>
          </w:p>
          <w:p w:rsidR="004729FB" w:rsidRDefault="004729FB">
            <w:pPr>
              <w:spacing w:before="60" w:line="260" w:lineRule="atLeast"/>
              <w:ind w:left="460" w:right="360"/>
              <w:jc w:val="both"/>
            </w:pPr>
            <w:r>
              <w:rPr>
                <w:rFonts w:ascii="Arial" w:eastAsia="Arial" w:hAnsi="Arial" w:cs="Arial"/>
                <w:color w:val="000000"/>
                <w:sz w:val="20"/>
              </w:rPr>
              <w:t>(1) "Storehouse" retains its judicially determined meaning.</w:t>
            </w:r>
          </w:p>
          <w:p w:rsidR="004729FB" w:rsidRDefault="004729FB">
            <w:pPr>
              <w:spacing w:before="60" w:line="260" w:lineRule="atLeast"/>
              <w:ind w:left="460" w:right="360"/>
              <w:jc w:val="both"/>
            </w:pPr>
            <w:r>
              <w:rPr>
                <w:rFonts w:ascii="Arial" w:eastAsia="Arial" w:hAnsi="Arial" w:cs="Arial"/>
                <w:color w:val="000000"/>
                <w:sz w:val="20"/>
              </w:rPr>
              <w:t>(2) "Storehouse" includes:</w:t>
            </w:r>
          </w:p>
          <w:p w:rsidR="004729FB" w:rsidRDefault="004729FB">
            <w:pPr>
              <w:spacing w:before="60" w:line="260" w:lineRule="atLeast"/>
              <w:ind w:left="860" w:right="360"/>
              <w:jc w:val="both"/>
            </w:pPr>
            <w:r>
              <w:rPr>
                <w:rFonts w:ascii="Arial" w:eastAsia="Arial" w:hAnsi="Arial" w:cs="Arial"/>
                <w:color w:val="000000"/>
                <w:sz w:val="20"/>
              </w:rPr>
              <w:t>(i) a building or other construction, or a watercraft;</w:t>
            </w:r>
          </w:p>
          <w:p w:rsidR="004729FB" w:rsidRDefault="004729FB">
            <w:pPr>
              <w:spacing w:before="60" w:line="260" w:lineRule="atLeast"/>
              <w:ind w:left="860" w:right="360"/>
              <w:jc w:val="both"/>
            </w:pPr>
            <w:r>
              <w:rPr>
                <w:rFonts w:ascii="Arial" w:eastAsia="Arial" w:hAnsi="Arial" w:cs="Arial"/>
                <w:color w:val="000000"/>
                <w:sz w:val="20"/>
              </w:rPr>
              <w:t>(ii) a barn, stable, pier, wharf, and any facility attached to a pier or wharf;</w:t>
            </w:r>
          </w:p>
          <w:p w:rsidR="004729FB" w:rsidRDefault="004729FB">
            <w:pPr>
              <w:spacing w:before="60" w:line="260" w:lineRule="atLeast"/>
              <w:ind w:left="860" w:right="360"/>
              <w:jc w:val="both"/>
            </w:pPr>
            <w:r>
              <w:rPr>
                <w:rFonts w:ascii="Arial" w:eastAsia="Arial" w:hAnsi="Arial" w:cs="Arial"/>
                <w:color w:val="000000"/>
                <w:sz w:val="20"/>
              </w:rPr>
              <w:lastRenderedPageBreak/>
              <w:t>(iii) a storeroom or public building; and</w:t>
            </w:r>
          </w:p>
          <w:p w:rsidR="004729FB" w:rsidRDefault="004729FB">
            <w:pPr>
              <w:spacing w:before="60" w:line="260" w:lineRule="atLeast"/>
              <w:ind w:left="860" w:right="360"/>
              <w:jc w:val="both"/>
            </w:pPr>
            <w:r>
              <w:rPr>
                <w:rFonts w:ascii="Arial" w:eastAsia="Arial" w:hAnsi="Arial" w:cs="Arial"/>
                <w:color w:val="000000"/>
                <w:sz w:val="20"/>
              </w:rPr>
              <w:t>(iv) a trailer, aircraft, vessel, or railroad car.</w:t>
            </w:r>
          </w:p>
          <w:p w:rsidR="004729FB" w:rsidRDefault="004729FB">
            <w:pPr>
              <w:spacing w:before="24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 6-201(h); </w:t>
            </w:r>
            <w:r>
              <w:rPr>
                <w:rFonts w:ascii="Arial" w:eastAsia="Arial" w:hAnsi="Arial" w:cs="Arial"/>
                <w:i/>
                <w:color w:val="000000"/>
                <w:sz w:val="20"/>
              </w:rPr>
              <w:t xml:space="preserve">see, e.g., </w:t>
            </w:r>
            <w:hyperlink r:id="rId358" w:history="1">
              <w:r>
                <w:rPr>
                  <w:rStyle w:val="Hyperlink"/>
                  <w:rFonts w:ascii="Arial" w:eastAsia="Arial" w:hAnsi="Arial" w:cs="Arial"/>
                  <w:i/>
                  <w:color w:val="0077CC"/>
                  <w:sz w:val="20"/>
                </w:rPr>
                <w:t>Bane v. State, 327 Md. 305, 609 A.2d 313 (1992)</w:t>
              </w:r>
            </w:hyperlink>
            <w:r>
              <w:rPr>
                <w:rFonts w:ascii="Arial" w:eastAsia="Arial" w:hAnsi="Arial" w:cs="Arial"/>
                <w:color w:val="000000"/>
                <w:sz w:val="20"/>
              </w:rPr>
              <w:t xml:space="preserve"> (building converted from residential to commercial use); </w:t>
            </w:r>
            <w:hyperlink r:id="rId359" w:history="1">
              <w:r>
                <w:rPr>
                  <w:rStyle w:val="Hyperlink"/>
                  <w:rFonts w:ascii="Arial" w:eastAsia="Arial" w:hAnsi="Arial" w:cs="Arial"/>
                  <w:i/>
                  <w:color w:val="0077CC"/>
                  <w:sz w:val="20"/>
                </w:rPr>
                <w:t>Springfield v. State, 238 Md. 611, 208 A.2d 603 (1965)</w:t>
              </w:r>
            </w:hyperlink>
            <w:r>
              <w:rPr>
                <w:rFonts w:ascii="Arial" w:eastAsia="Arial" w:hAnsi="Arial" w:cs="Arial"/>
                <w:color w:val="000000"/>
                <w:sz w:val="20"/>
              </w:rPr>
              <w:t xml:space="preserve"> (per curiam) (schoolhouse); </w:t>
            </w:r>
            <w:hyperlink r:id="rId360" w:history="1">
              <w:r>
                <w:rPr>
                  <w:rStyle w:val="Hyperlink"/>
                  <w:rFonts w:ascii="Arial" w:eastAsia="Arial" w:hAnsi="Arial" w:cs="Arial"/>
                  <w:i/>
                  <w:color w:val="0077CC"/>
                  <w:sz w:val="20"/>
                </w:rPr>
                <w:t>Hardison v. State, 226 Md. 53, 58-59, 172 A.2d 407, 409-10 (1961)</w:t>
              </w:r>
            </w:hyperlink>
            <w:r>
              <w:rPr>
                <w:rFonts w:ascii="Arial" w:eastAsia="Arial" w:hAnsi="Arial" w:cs="Arial"/>
                <w:color w:val="000000"/>
                <w:sz w:val="20"/>
              </w:rPr>
              <w:t xml:space="preserve"> (supermarket); </w:t>
            </w:r>
            <w:hyperlink r:id="rId361" w:history="1">
              <w:r>
                <w:rPr>
                  <w:rStyle w:val="Hyperlink"/>
                  <w:rFonts w:ascii="Arial" w:eastAsia="Arial" w:hAnsi="Arial" w:cs="Arial"/>
                  <w:i/>
                  <w:color w:val="0077CC"/>
                  <w:sz w:val="20"/>
                </w:rPr>
                <w:t>Woodard v. State, 13 Md. App. 114, 282 A.2d 9</w:t>
              </w:r>
            </w:hyperlink>
            <w:r>
              <w:rPr>
                <w:rFonts w:ascii="Arial" w:eastAsia="Arial" w:hAnsi="Arial" w:cs="Arial"/>
                <w:color w:val="000000"/>
                <w:sz w:val="20"/>
              </w:rPr>
              <w:t xml:space="preserve"> (trailer or semi-trailer),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723 (1971);</w:t>
            </w:r>
            <w:r>
              <w:rPr>
                <w:rFonts w:ascii="Arial" w:eastAsia="Arial" w:hAnsi="Arial" w:cs="Arial"/>
                <w:color w:val="000000"/>
                <w:sz w:val="20"/>
              </w:rPr>
              <w:t xml:space="preserve"> </w:t>
            </w:r>
            <w:hyperlink r:id="rId362" w:history="1">
              <w:r>
                <w:rPr>
                  <w:rStyle w:val="Hyperlink"/>
                  <w:rFonts w:ascii="Arial" w:eastAsia="Arial" w:hAnsi="Arial" w:cs="Arial"/>
                  <w:i/>
                  <w:color w:val="0077CC"/>
                  <w:sz w:val="20"/>
                </w:rPr>
                <w:t>Sizemore v. State, 10 Md. App. 682, 272 A.2d 824</w:t>
              </w:r>
            </w:hyperlink>
            <w:r>
              <w:rPr>
                <w:rFonts w:ascii="Arial" w:eastAsia="Arial" w:hAnsi="Arial" w:cs="Arial"/>
                <w:color w:val="000000"/>
                <w:sz w:val="20"/>
              </w:rPr>
              <w:t xml:space="preserve"> (church),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261 Md. 728 (1971);</w:t>
            </w:r>
            <w:r>
              <w:rPr>
                <w:rFonts w:ascii="Arial" w:eastAsia="Arial" w:hAnsi="Arial" w:cs="Arial"/>
                <w:color w:val="000000"/>
                <w:sz w:val="20"/>
              </w:rPr>
              <w:t xml:space="preserve"> </w:t>
            </w:r>
            <w:hyperlink r:id="rId363" w:history="1">
              <w:r>
                <w:rPr>
                  <w:rStyle w:val="Hyperlink"/>
                  <w:rFonts w:ascii="Arial" w:eastAsia="Arial" w:hAnsi="Arial" w:cs="Arial"/>
                  <w:i/>
                  <w:color w:val="0077CC"/>
                  <w:sz w:val="20"/>
                </w:rPr>
                <w:t>Buckley v. State, 2 Md. App. 508, 235 A.2d 754 (1967)</w:t>
              </w:r>
            </w:hyperlink>
            <w:r>
              <w:rPr>
                <w:rFonts w:ascii="Arial" w:eastAsia="Arial" w:hAnsi="Arial" w:cs="Arial"/>
                <w:color w:val="000000"/>
                <w:sz w:val="20"/>
              </w:rPr>
              <w:t xml:space="preserve"> (fraternity house used as a meeting and recreational facility). In </w:t>
            </w:r>
            <w:r>
              <w:rPr>
                <w:rFonts w:ascii="Arial" w:eastAsia="Arial" w:hAnsi="Arial" w:cs="Arial"/>
                <w:i/>
                <w:color w:val="000000"/>
                <w:sz w:val="20"/>
              </w:rPr>
              <w:t>Bane</w:t>
            </w:r>
            <w:r>
              <w:rPr>
                <w:rFonts w:ascii="Arial" w:eastAsia="Arial" w:hAnsi="Arial" w:cs="Arial"/>
                <w:color w:val="000000"/>
                <w:sz w:val="20"/>
              </w:rPr>
              <w:t xml:space="preserve">, the Court of Appeals stated: "[W]here two businesses, with different owners, operate in the same building with offices separated only by a hallway and a door and not otherwise identified as separate, there is only one identifiable unit, an office building; hence, there is but one storehouse." </w:t>
            </w:r>
            <w:hyperlink r:id="rId364" w:history="1">
              <w:r>
                <w:rPr>
                  <w:rStyle w:val="Hyperlink"/>
                  <w:rFonts w:ascii="Arial" w:eastAsia="Arial" w:hAnsi="Arial" w:cs="Arial"/>
                  <w:i/>
                  <w:color w:val="0077CC"/>
                  <w:sz w:val="20"/>
                </w:rPr>
                <w:t>327 Md. at 315, 609 A.2d at 318-19.</w:t>
              </w:r>
            </w:hyperlink>
          </w:p>
          <w:p w:rsidR="004729FB" w:rsidRDefault="004729FB">
            <w:pPr>
              <w:spacing w:before="200" w:line="260" w:lineRule="atLeast"/>
              <w:ind w:left="60" w:right="360"/>
              <w:jc w:val="both"/>
            </w:pPr>
            <w:r>
              <w:rPr>
                <w:rFonts w:ascii="Arial" w:eastAsia="Arial" w:hAnsi="Arial" w:cs="Arial"/>
                <w:color w:val="000000"/>
                <w:sz w:val="20"/>
              </w:rPr>
              <w:t>This instruction uses the word "building," instead of the word "storehouse," because the statutory definition for second degree burglary includes not only "storehouse," but also includes any building. Additionally, storehouse includes structures that may not even be a building, e.g., a watercraft, pier, wharf, any facility attached to a pier or wharf, trailer, aircraft, vessel, or railroad car. CRIM. LAW I § 6-201(h)(2).</w:t>
            </w:r>
          </w:p>
          <w:p w:rsidR="004729FB" w:rsidRDefault="004729FB">
            <w:pPr>
              <w:spacing w:before="200" w:line="260" w:lineRule="atLeast"/>
              <w:ind w:left="60" w:right="360"/>
              <w:jc w:val="both"/>
            </w:pPr>
            <w:r>
              <w:rPr>
                <w:rFonts w:ascii="Arial" w:eastAsia="Arial" w:hAnsi="Arial" w:cs="Arial"/>
                <w:color w:val="000000"/>
                <w:sz w:val="20"/>
              </w:rPr>
              <w:t xml:space="preserve">The scope of a storehouse, within the meaning of burglary, and the scope of structure, within the meaning of arson, are similar but not identical. For example, in arson, a structure includes a vehicle, tent, or public bridge, but in burglary, storehouse does not. </w:t>
            </w:r>
            <w:r>
              <w:rPr>
                <w:rFonts w:ascii="Arial" w:eastAsia="Arial" w:hAnsi="Arial" w:cs="Arial"/>
                <w:i/>
                <w:color w:val="000000"/>
                <w:sz w:val="20"/>
              </w:rPr>
              <w:t>See id.</w:t>
            </w:r>
            <w:r>
              <w:rPr>
                <w:rFonts w:ascii="Arial" w:eastAsia="Arial" w:hAnsi="Arial" w:cs="Arial"/>
                <w:color w:val="000000"/>
                <w:sz w:val="20"/>
              </w:rPr>
              <w:t xml:space="preserve"> §§ 6-101(d)(2)(ii), 6-201(h)(2). On the other hand, in burglary, storehouse includes a trailer, but in arson, structure does not. </w:t>
            </w:r>
            <w:r>
              <w:rPr>
                <w:rFonts w:ascii="Arial" w:eastAsia="Arial" w:hAnsi="Arial" w:cs="Arial"/>
                <w:i/>
                <w:color w:val="000000"/>
                <w:sz w:val="20"/>
              </w:rPr>
              <w:t>See id.</w:t>
            </w:r>
            <w:r>
              <w:rPr>
                <w:rFonts w:ascii="Arial" w:eastAsia="Arial" w:hAnsi="Arial" w:cs="Arial"/>
                <w:color w:val="000000"/>
                <w:sz w:val="20"/>
              </w:rPr>
              <w:t xml:space="preserve"> §§ 6-101(d), 6-201(h)(2)(iv).</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6" style="position:absolute;z-index:25173094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4:00.1, MPJI-Cr 4:06.4, MPJI-Cr 4:32.</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3" style="position:absolute;left:0;text-align:left;z-index:251738112;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4" name="Picture 1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65" w:history="1">
        <w:r>
          <w:rPr>
            <w:rStyle w:val="Hyperlink"/>
            <w:rFonts w:ascii="Arial" w:eastAsia="Arial" w:hAnsi="Arial" w:cs="Arial"/>
            <w:b/>
            <w:bCs/>
            <w:i/>
            <w:color w:val="0077CC"/>
            <w:kern w:val="32"/>
            <w:sz w:val="28"/>
            <w:szCs w:val="32"/>
          </w:rPr>
          <w:t>MPJI-Cr 4:06.2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BURGLARY--THIRD DEGREE</w:t>
      </w:r>
    </w:p>
    <w:p w:rsidR="004729FB" w:rsidRDefault="004729FB" w:rsidP="004729FB">
      <w:pPr>
        <w:keepNext/>
        <w:spacing w:before="240" w:line="340" w:lineRule="atLeast"/>
      </w:pPr>
      <w:r>
        <w:br/>
      </w:r>
      <w:r>
        <w:rPr>
          <w:rFonts w:ascii="Arial" w:eastAsia="Arial" w:hAnsi="Arial" w:cs="Arial"/>
          <w:b/>
          <w:color w:val="000000"/>
          <w:sz w:val="28"/>
        </w:rPr>
        <w:t>4:06.2Burglary--Third Degree</w:t>
      </w:r>
    </w:p>
    <w:p w:rsidR="004729FB" w:rsidRDefault="004729FB" w:rsidP="004729FB">
      <w:pPr>
        <w:spacing w:line="60" w:lineRule="exact"/>
      </w:pPr>
      <w:r>
        <w:pict>
          <v:line id="_x0000_s1107" style="position:absolute;z-index:25172172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third degree. Burglary in the third degree is the breaking and entering of someone else's dwelling with the intent to commit any crime. In order to convict the defendant of burglary in the third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breaking and entry was done with the intent to commit a crime inside</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(5) that the defendant was the person who broke and entered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4:06 (Burglary--First Degree).</w:t>
            </w:r>
          </w:p>
          <w:p w:rsidR="004729FB" w:rsidRDefault="004729FB">
            <w:pPr>
              <w:spacing w:before="200" w:line="260" w:lineRule="atLeast"/>
              <w:ind w:left="60" w:right="360"/>
              <w:jc w:val="both"/>
            </w:pPr>
            <w:r>
              <w:rPr>
                <w:rFonts w:ascii="Arial" w:eastAsia="Arial" w:hAnsi="Arial" w:cs="Arial"/>
                <w:color w:val="000000"/>
                <w:sz w:val="20"/>
              </w:rPr>
              <w:t>It is third degree burglary to "break and enter the dwelling of another with the intent to commit any crime." CRIM. LAW I § 6-204. Third degree burglary is the same as first degree burglary, except for the intent element, which is expanded to include the intent to commit any crime.</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lastRenderedPageBreak/>
        <w:br/>
      </w:r>
      <w:r>
        <w:rPr>
          <w:rFonts w:ascii="Arial" w:eastAsia="Arial" w:hAnsi="Arial" w:cs="Arial"/>
          <w:b/>
          <w:color w:val="000000"/>
          <w:sz w:val="28"/>
        </w:rPr>
        <w:t>Reference</w:t>
      </w:r>
    </w:p>
    <w:p w:rsidR="004729FB" w:rsidRDefault="004729FB" w:rsidP="004729FB">
      <w:pPr>
        <w:spacing w:line="60" w:lineRule="exact"/>
      </w:pPr>
      <w:r>
        <w:pict>
          <v:line id="_x0000_s1117" style="position:absolute;z-index:25173196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4" style="position:absolute;left:0;text-align:left;z-index:251739136;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3" name="Picture 1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66" w:history="1">
        <w:r>
          <w:rPr>
            <w:rStyle w:val="Hyperlink"/>
            <w:rFonts w:ascii="Arial" w:eastAsia="Arial" w:hAnsi="Arial" w:cs="Arial"/>
            <w:b/>
            <w:bCs/>
            <w:i/>
            <w:color w:val="0077CC"/>
            <w:kern w:val="32"/>
            <w:sz w:val="28"/>
            <w:szCs w:val="32"/>
          </w:rPr>
          <w:t>MPJI-Cr 4:06.4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BURGLARY--FOURTH DEGREE (BREAK AND ENTER BUILDING)</w:t>
      </w:r>
    </w:p>
    <w:p w:rsidR="004729FB" w:rsidRDefault="004729FB" w:rsidP="004729FB">
      <w:pPr>
        <w:keepNext/>
        <w:spacing w:before="240" w:line="340" w:lineRule="atLeast"/>
      </w:pPr>
      <w:r>
        <w:br/>
      </w:r>
      <w:r>
        <w:rPr>
          <w:rFonts w:ascii="Arial" w:eastAsia="Arial" w:hAnsi="Arial" w:cs="Arial"/>
          <w:b/>
          <w:color w:val="000000"/>
          <w:sz w:val="28"/>
        </w:rPr>
        <w:t>4:06.4Burglary--Fourth Degree (Break And Enter Building)</w:t>
      </w:r>
    </w:p>
    <w:p w:rsidR="004729FB" w:rsidRDefault="004729FB" w:rsidP="004729FB">
      <w:pPr>
        <w:spacing w:line="60" w:lineRule="exact"/>
      </w:pPr>
      <w:r>
        <w:pict>
          <v:line id="_x0000_s1108" style="position:absolute;z-index:2517227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fourth degree. Burglary in the fourth degree is the breaking and entering of someone else's building. In order to convict the defendant of burglary in the fourth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building; and</w:t>
      </w:r>
    </w:p>
    <w:p w:rsidR="004729FB" w:rsidRDefault="004729FB" w:rsidP="004729FB">
      <w:pPr>
        <w:spacing w:before="200" w:line="260" w:lineRule="atLeast"/>
        <w:ind w:left="400"/>
        <w:jc w:val="both"/>
      </w:pPr>
      <w:r>
        <w:rPr>
          <w:rFonts w:ascii="Arial" w:eastAsia="Arial" w:hAnsi="Arial" w:cs="Arial"/>
          <w:b/>
          <w:color w:val="000000"/>
          <w:sz w:val="20"/>
        </w:rPr>
        <w:t>(4) that the defendant was the person who committed the act; [and]</w:t>
      </w:r>
    </w:p>
    <w:p w:rsidR="004729FB" w:rsidRDefault="004729FB" w:rsidP="004729FB">
      <w:pPr>
        <w:spacing w:before="200" w:line="260" w:lineRule="atLeast"/>
        <w:ind w:left="400"/>
        <w:jc w:val="both"/>
      </w:pPr>
      <w:r>
        <w:rPr>
          <w:rFonts w:ascii="Arial" w:eastAsia="Arial" w:hAnsi="Arial" w:cs="Arial"/>
          <w:b/>
          <w:color w:val="000000"/>
          <w:sz w:val="20"/>
        </w:rPr>
        <w:t>[(5) that the defendant did not honestly and reasonably believe that [he] [she] had the right or invitation to enter the premises.]</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building</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4:06 (Burglary--First Degree); MPJI-Cr 4:06.1 (Burglary--Second degree); MPJI-Cr 4:06.3 (Burglary--Fourth Degree (Dwelling)).</w:t>
            </w:r>
          </w:p>
          <w:p w:rsidR="004729FB" w:rsidRDefault="004729FB">
            <w:pPr>
              <w:spacing w:before="240" w:line="260" w:lineRule="atLeast"/>
              <w:ind w:left="60" w:right="360"/>
              <w:jc w:val="both"/>
            </w:pPr>
            <w:r>
              <w:rPr>
                <w:rFonts w:ascii="Arial" w:eastAsia="Arial" w:hAnsi="Arial" w:cs="Arial"/>
                <w:color w:val="000000"/>
                <w:sz w:val="20"/>
              </w:rPr>
              <w:t xml:space="preserve">It is fourth degree burglary to break and enter the storehouse of another. CRIM. LAW I § 6-205(b). Even though the statute makes no reference to mental state, § 6-205(b), like § 6-205(a), is a criminal trespass statute, requiring a general intent to break and enter, which is neither inadvertent nor done with a reasonable belief of authorization. </w:t>
            </w:r>
            <w:r>
              <w:rPr>
                <w:rFonts w:ascii="Arial" w:eastAsia="Arial" w:hAnsi="Arial" w:cs="Arial"/>
                <w:i/>
                <w:color w:val="000000"/>
                <w:sz w:val="20"/>
              </w:rPr>
              <w:t xml:space="preserve">See </w:t>
            </w:r>
            <w:hyperlink r:id="rId367" w:history="1">
              <w:r>
                <w:rPr>
                  <w:rStyle w:val="Hyperlink"/>
                  <w:rFonts w:ascii="Arial" w:eastAsia="Arial" w:hAnsi="Arial" w:cs="Arial"/>
                  <w:i/>
                  <w:color w:val="0077CC"/>
                  <w:sz w:val="20"/>
                </w:rPr>
                <w:t>Herd v. State, 125 Md. App. 77, 724 A.2d 693 (1999);</w:t>
              </w:r>
            </w:hyperlink>
            <w:r>
              <w:rPr>
                <w:rFonts w:ascii="Arial" w:eastAsia="Arial" w:hAnsi="Arial" w:cs="Arial"/>
                <w:color w:val="000000"/>
                <w:sz w:val="20"/>
              </w:rPr>
              <w:t xml:space="preserve"> </w:t>
            </w:r>
            <w:hyperlink r:id="rId368" w:history="1">
              <w:r>
                <w:rPr>
                  <w:rStyle w:val="Hyperlink"/>
                  <w:rFonts w:ascii="Arial" w:eastAsia="Arial" w:hAnsi="Arial" w:cs="Arial"/>
                  <w:i/>
                  <w:color w:val="0077CC"/>
                  <w:sz w:val="20"/>
                </w:rPr>
                <w:t>Green v. State, 119 Md. App. 547, 705 A.2d 133 (1998);</w:t>
              </w:r>
            </w:hyperlink>
            <w:r>
              <w:rPr>
                <w:rFonts w:ascii="Arial" w:eastAsia="Arial" w:hAnsi="Arial" w:cs="Arial"/>
                <w:color w:val="000000"/>
                <w:sz w:val="20"/>
              </w:rPr>
              <w:t xml:space="preserve"> </w:t>
            </w:r>
            <w:hyperlink r:id="rId369" w:history="1">
              <w:r>
                <w:rPr>
                  <w:rStyle w:val="Hyperlink"/>
                  <w:rFonts w:ascii="Arial" w:eastAsia="Arial" w:hAnsi="Arial" w:cs="Arial"/>
                  <w:i/>
                  <w:color w:val="0077CC"/>
                  <w:sz w:val="20"/>
                </w:rPr>
                <w:t>Warfield v. State, 315 Md. 474, 554 A.2d 1238 (1989).</w:t>
              </w:r>
            </w:hyperlink>
          </w:p>
          <w:p w:rsidR="004729FB" w:rsidRDefault="004729FB">
            <w:pPr>
              <w:spacing w:before="200" w:line="260" w:lineRule="atLeast"/>
              <w:ind w:left="60" w:right="360"/>
              <w:jc w:val="both"/>
            </w:pPr>
            <w:r>
              <w:rPr>
                <w:rFonts w:ascii="Arial" w:eastAsia="Arial" w:hAnsi="Arial" w:cs="Arial"/>
                <w:color w:val="000000"/>
                <w:sz w:val="20"/>
              </w:rPr>
              <w:t>This instruction was updated in June 2018 to correct a scrivener's error.</w:t>
            </w:r>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8" style="position:absolute;z-index:25173299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4:06.1,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5" style="position:absolute;left:0;text-align:left;z-index:251740160;mso-position-horizontal-relative:text;mso-position-vertical-relative:text" from="0,10pt" to="512pt,10pt" strokeweight="1pt"/>
        </w:pict>
      </w:r>
      <w:r>
        <w:rPr>
          <w:b/>
          <w:color w:val="767676"/>
          <w:sz w:val="16"/>
        </w:rPr>
        <w:t>End of Document</w:t>
      </w:r>
    </w:p>
    <w:p w:rsidR="004729FB" w:rsidRDefault="004729FB" w:rsidP="004729FB">
      <w:pPr>
        <w:sectPr w:rsidR="004729FB">
          <w:type w:val="continuous"/>
          <w:pgSz w:w="12240" w:h="15840"/>
          <w:pgMar w:top="840" w:right="1000" w:bottom="840" w:left="1000" w:header="400" w:footer="400" w:gutter="0"/>
          <w:cols w:space="720"/>
        </w:sectPr>
      </w:pPr>
    </w:p>
    <w:p w:rsidR="004729FB" w:rsidRDefault="004729FB" w:rsidP="004729FB">
      <w:pPr>
        <w:sectPr w:rsidR="004729FB">
          <w:pgSz w:w="12240" w:h="15840"/>
          <w:pgMar w:top="840" w:right="1000" w:bottom="840" w:left="1000" w:header="400" w:footer="400" w:gutter="0"/>
          <w:cols w:space="720"/>
        </w:sectPr>
      </w:pPr>
    </w:p>
    <w:p w:rsidR="004729FB" w:rsidRDefault="004729FB" w:rsidP="004729FB"/>
    <w:p w:rsidR="004729FB" w:rsidRDefault="004729FB" w:rsidP="004729FB">
      <w:r>
        <w:rPr>
          <w:noProof/>
        </w:rPr>
        <w:drawing>
          <wp:inline distT="0" distB="0" distL="0" distR="0">
            <wp:extent cx="1876425" cy="381000"/>
            <wp:effectExtent l="0" t="0" r="0" b="0"/>
            <wp:docPr id="12" name="Picture 1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 w:rsidR="004729FB" w:rsidRDefault="004729FB" w:rsidP="004729FB">
      <w:pPr>
        <w:spacing w:before="240" w:after="200" w:line="340" w:lineRule="atLeast"/>
        <w:jc w:val="center"/>
        <w:outlineLvl w:val="0"/>
        <w:rPr>
          <w:rFonts w:ascii="Arial" w:hAnsi="Arial" w:cs="Arial"/>
          <w:b/>
          <w:bCs/>
          <w:kern w:val="32"/>
          <w:sz w:val="32"/>
          <w:szCs w:val="32"/>
        </w:rPr>
      </w:pPr>
      <w:hyperlink r:id="rId370" w:history="1">
        <w:r>
          <w:rPr>
            <w:rStyle w:val="Hyperlink"/>
            <w:rFonts w:ascii="Arial" w:eastAsia="Arial" w:hAnsi="Arial" w:cs="Arial"/>
            <w:b/>
            <w:bCs/>
            <w:i/>
            <w:color w:val="0077CC"/>
            <w:kern w:val="32"/>
            <w:sz w:val="28"/>
            <w:szCs w:val="32"/>
          </w:rPr>
          <w:t>MPJI-Cr 4:06.3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BURGLARY--FOURTH DEGREE (BREAK AND ENTER DWELLING)</w:t>
      </w:r>
    </w:p>
    <w:p w:rsidR="004729FB" w:rsidRDefault="004729FB" w:rsidP="004729FB">
      <w:pPr>
        <w:keepNext/>
        <w:spacing w:before="240" w:line="340" w:lineRule="atLeast"/>
      </w:pPr>
      <w:r>
        <w:br/>
      </w:r>
      <w:r>
        <w:rPr>
          <w:rFonts w:ascii="Arial" w:eastAsia="Arial" w:hAnsi="Arial" w:cs="Arial"/>
          <w:b/>
          <w:color w:val="000000"/>
          <w:sz w:val="28"/>
        </w:rPr>
        <w:t>4:06.3Burglary--Fourth Degree (Break and Enter Dwelling)</w:t>
      </w:r>
    </w:p>
    <w:p w:rsidR="004729FB" w:rsidRDefault="004729FB" w:rsidP="004729FB">
      <w:pPr>
        <w:spacing w:line="60" w:lineRule="exact"/>
      </w:pPr>
      <w:r>
        <w:pict>
          <v:line id="_x0000_s1109" style="position:absolute;z-index:2517237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burglary in the fourth degree. Burglary in the fourth degree is the breaking and entering of someone else's dwelling. In order to convict the defendant of burglary in the fourth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breaking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there was an entry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breaking and entry was into someone else's dwelling; and</w:t>
      </w:r>
    </w:p>
    <w:p w:rsidR="004729FB" w:rsidRDefault="004729FB" w:rsidP="004729FB">
      <w:pPr>
        <w:spacing w:before="200" w:line="260" w:lineRule="atLeast"/>
        <w:ind w:left="400"/>
        <w:jc w:val="both"/>
      </w:pPr>
      <w:r>
        <w:rPr>
          <w:rFonts w:ascii="Arial" w:eastAsia="Arial" w:hAnsi="Arial" w:cs="Arial"/>
          <w:b/>
          <w:color w:val="000000"/>
          <w:sz w:val="20"/>
        </w:rPr>
        <w:t>(4) that the defendant was the person who broke and entered; [and]</w:t>
      </w:r>
    </w:p>
    <w:p w:rsidR="004729FB" w:rsidRDefault="004729FB" w:rsidP="004729FB">
      <w:pPr>
        <w:spacing w:before="200" w:line="260" w:lineRule="atLeast"/>
        <w:ind w:left="400"/>
        <w:jc w:val="both"/>
      </w:pPr>
      <w:r>
        <w:rPr>
          <w:rFonts w:ascii="Arial" w:eastAsia="Arial" w:hAnsi="Arial" w:cs="Arial"/>
          <w:b/>
          <w:color w:val="000000"/>
          <w:sz w:val="20"/>
        </w:rPr>
        <w:t>[(5) that the defendant did not honestly and reasonably believe that [he] [she] had the right or invitation to enter the premises.]</w:t>
      </w:r>
    </w:p>
    <w:p w:rsidR="004729FB" w:rsidRDefault="004729FB" w:rsidP="004729FB">
      <w:pPr>
        <w:spacing w:before="200" w:line="260" w:lineRule="atLeast"/>
        <w:jc w:val="both"/>
      </w:pPr>
      <w:r>
        <w:rPr>
          <w:rFonts w:ascii="Arial" w:eastAsia="Arial" w:hAnsi="Arial" w:cs="Arial"/>
          <w:b/>
          <w:color w:val="000000"/>
          <w:sz w:val="20"/>
        </w:rPr>
        <w:t>Breaking means the creation or enlargement of an opening, such as breaking or opening a window or pushing open a door. [Breaking includes gaining entry by fraud, trick, or force.]</w:t>
      </w:r>
    </w:p>
    <w:p w:rsidR="004729FB" w:rsidRDefault="004729FB" w:rsidP="004729FB">
      <w:pPr>
        <w:spacing w:before="200" w:line="260" w:lineRule="atLeast"/>
        <w:jc w:val="both"/>
      </w:pPr>
      <w:r>
        <w:rPr>
          <w:rFonts w:ascii="Arial" w:eastAsia="Arial" w:hAnsi="Arial" w:cs="Arial"/>
          <w:b/>
          <w:color w:val="000000"/>
          <w:sz w:val="20"/>
        </w:rPr>
        <w:t>Entry means that any part of the defendant's body was inside the house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dwelling is a structure where someone regularly sleeps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4729FB">
        <w:tc>
          <w:tcPr>
            <w:tcW w:w="10240" w:type="dxa"/>
            <w:tcBorders>
              <w:top w:val="single" w:sz="8" w:space="0" w:color="BCBEC0"/>
              <w:left w:val="single" w:sz="8" w:space="0" w:color="BCBEC0"/>
              <w:bottom w:val="single" w:sz="8" w:space="0" w:color="BCBEC0"/>
              <w:right w:val="single" w:sz="8" w:space="0" w:color="BCBEC0"/>
            </w:tcBorders>
            <w:vAlign w:val="center"/>
          </w:tcPr>
          <w:p w:rsidR="004729FB" w:rsidRDefault="004729FB">
            <w:pPr>
              <w:spacing w:before="240" w:line="260" w:lineRule="atLeast"/>
              <w:ind w:left="60" w:right="360"/>
            </w:pPr>
            <w:r>
              <w:rPr>
                <w:rFonts w:ascii="Arial" w:eastAsia="Arial" w:hAnsi="Arial" w:cs="Arial"/>
                <w:b/>
                <w:color w:val="000000"/>
                <w:sz w:val="20"/>
              </w:rPr>
              <w:t> </w:t>
            </w:r>
          </w:p>
          <w:p w:rsidR="004729FB" w:rsidRDefault="004729FB">
            <w:pPr>
              <w:spacing w:before="200" w:line="260" w:lineRule="atLeast"/>
              <w:ind w:left="60" w:right="360"/>
              <w:jc w:val="both"/>
            </w:pPr>
            <w:r>
              <w:rPr>
                <w:rFonts w:ascii="Arial" w:eastAsia="Arial" w:hAnsi="Arial" w:cs="Arial"/>
                <w:color w:val="000000"/>
                <w:sz w:val="20"/>
              </w:rPr>
              <w:t>COMMENT</w:t>
            </w:r>
          </w:p>
          <w:p w:rsidR="004729FB" w:rsidRDefault="004729FB">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4:06 (Burglary--First Degree); MPJI-Cr 4:06.2 (Burglary--Third Degree).</w:t>
            </w:r>
          </w:p>
          <w:p w:rsidR="004729FB" w:rsidRDefault="004729FB">
            <w:pPr>
              <w:spacing w:before="200" w:line="260" w:lineRule="atLeast"/>
              <w:ind w:left="60" w:right="360"/>
              <w:jc w:val="both"/>
            </w:pPr>
            <w:r>
              <w:rPr>
                <w:rFonts w:ascii="Arial" w:eastAsia="Arial" w:hAnsi="Arial" w:cs="Arial"/>
                <w:color w:val="000000"/>
                <w:sz w:val="20"/>
              </w:rPr>
              <w:t xml:space="preserve">It is fourth degree burglary to break and enter the dwelling of another. CRIM. LAW I § 6-205(a). Even though the statute makes no reference to mental state, the statute is not one of strict liability. Breaking and entering a dwelling house is malum in se and not wrong solely because it is prohibited by the legislature. </w:t>
            </w:r>
            <w:r>
              <w:rPr>
                <w:rFonts w:ascii="Arial" w:eastAsia="Arial" w:hAnsi="Arial" w:cs="Arial"/>
                <w:i/>
                <w:color w:val="000000"/>
                <w:sz w:val="20"/>
              </w:rPr>
              <w:t xml:space="preserve">See </w:t>
            </w:r>
            <w:hyperlink r:id="rId371" w:history="1">
              <w:r>
                <w:rPr>
                  <w:rStyle w:val="Hyperlink"/>
                  <w:rFonts w:ascii="Arial" w:eastAsia="Arial" w:hAnsi="Arial" w:cs="Arial"/>
                  <w:i/>
                  <w:color w:val="0077CC"/>
                  <w:sz w:val="20"/>
                </w:rPr>
                <w:t>Warfield v. State, 315 Md. 474, 495-97, 554 A.2d 1238, 1248-50 (1989).</w:t>
              </w:r>
            </w:hyperlink>
            <w:r>
              <w:rPr>
                <w:rFonts w:ascii="Arial" w:eastAsia="Arial" w:hAnsi="Arial" w:cs="Arial"/>
                <w:color w:val="000000"/>
                <w:sz w:val="20"/>
              </w:rPr>
              <w:t xml:space="preserve"> In </w:t>
            </w:r>
            <w:r>
              <w:rPr>
                <w:rFonts w:ascii="Arial" w:eastAsia="Arial" w:hAnsi="Arial" w:cs="Arial"/>
                <w:i/>
                <w:color w:val="000000"/>
                <w:sz w:val="20"/>
              </w:rPr>
              <w:t>Warfield</w:t>
            </w:r>
            <w:r>
              <w:rPr>
                <w:rFonts w:ascii="Arial" w:eastAsia="Arial" w:hAnsi="Arial" w:cs="Arial"/>
                <w:color w:val="000000"/>
                <w:sz w:val="20"/>
              </w:rPr>
              <w:t>, the Court of Appeals stated:</w:t>
            </w:r>
          </w:p>
          <w:p w:rsidR="004729FB" w:rsidRDefault="004729FB">
            <w:pPr>
              <w:spacing w:before="60" w:line="260" w:lineRule="atLeast"/>
              <w:ind w:left="460" w:right="360"/>
              <w:jc w:val="both"/>
            </w:pPr>
            <w:r>
              <w:rPr>
                <w:rFonts w:ascii="Arial" w:eastAsia="Arial" w:hAnsi="Arial" w:cs="Arial"/>
                <w:color w:val="000000"/>
                <w:sz w:val="20"/>
              </w:rPr>
              <w:t>[W]hen an act malum in se is made a crime by statute, the statute is to be construed in the light of the common law, and the existence of criminal intent is essential. … [A]lthough [the statute] does not call for a specific intent, it does require proof of a general intent to break and enter.</w:t>
            </w:r>
          </w:p>
          <w:p w:rsidR="004729FB" w:rsidRDefault="004729FB">
            <w:pPr>
              <w:spacing w:before="240" w:line="260" w:lineRule="atLeast"/>
              <w:ind w:left="60" w:right="360"/>
              <w:jc w:val="both"/>
            </w:pPr>
            <w:hyperlink r:id="rId372" w:history="1">
              <w:r>
                <w:rPr>
                  <w:rStyle w:val="Hyperlink"/>
                  <w:rFonts w:ascii="Arial" w:eastAsia="Arial" w:hAnsi="Arial" w:cs="Arial"/>
                  <w:i/>
                  <w:color w:val="0077CC"/>
                  <w:sz w:val="20"/>
                </w:rPr>
                <w:t>Id. at 497, 554 A.2d at 1249-50</w:t>
              </w:r>
            </w:hyperlink>
            <w:r>
              <w:rPr>
                <w:rFonts w:ascii="Arial" w:eastAsia="Arial" w:hAnsi="Arial" w:cs="Arial"/>
                <w:color w:val="000000"/>
                <w:sz w:val="20"/>
              </w:rPr>
              <w:t xml:space="preserve"> (citation omitted). The statute is a criminal trespass statute. The Court held as follows:</w:t>
            </w:r>
          </w:p>
          <w:p w:rsidR="004729FB" w:rsidRDefault="004729FB">
            <w:pPr>
              <w:spacing w:before="60" w:line="260" w:lineRule="atLeast"/>
              <w:ind w:left="460" w:right="360"/>
              <w:jc w:val="both"/>
            </w:pPr>
            <w:r>
              <w:rPr>
                <w:rFonts w:ascii="Arial" w:eastAsia="Arial" w:hAnsi="Arial" w:cs="Arial"/>
                <w:color w:val="000000"/>
                <w:sz w:val="20"/>
              </w:rPr>
              <w:t>[T]he intrusion, to be culpable, [must] be with an awareness that it was unwarranted--lacking authority, license, privilege, invitation, or legality. To make culpable the inadvertent trespasser and the trespasser who entertains a reasonable belief that his conduct was proper would be unreasonable, illogical, inconsistent with common sense, and contrary to the interests of justice.</w:t>
            </w:r>
          </w:p>
          <w:p w:rsidR="004729FB" w:rsidRDefault="004729FB">
            <w:pPr>
              <w:spacing w:before="240" w:line="260" w:lineRule="atLeast"/>
              <w:ind w:left="60" w:right="360"/>
              <w:jc w:val="both"/>
            </w:pPr>
            <w:hyperlink r:id="rId373" w:history="1">
              <w:r>
                <w:rPr>
                  <w:rStyle w:val="Hyperlink"/>
                  <w:rFonts w:ascii="Arial" w:eastAsia="Arial" w:hAnsi="Arial" w:cs="Arial"/>
                  <w:i/>
                  <w:color w:val="0077CC"/>
                  <w:sz w:val="20"/>
                </w:rPr>
                <w:t>Id. at 500-01, 554 A.2d at 1251</w:t>
              </w:r>
            </w:hyperlink>
            <w:r>
              <w:rPr>
                <w:rFonts w:ascii="Arial" w:eastAsia="Arial" w:hAnsi="Arial" w:cs="Arial"/>
                <w:color w:val="000000"/>
                <w:sz w:val="20"/>
              </w:rPr>
              <w:t xml:space="preserve"> (holding that a person hired to shovel the property owner's walk, beginning at the closed, but unlocked, garage door, without instructions regarding the garage, was not a trespasser).</w:t>
            </w:r>
          </w:p>
          <w:p w:rsidR="004729FB" w:rsidRDefault="004729FB">
            <w:pPr>
              <w:spacing w:before="240" w:line="260" w:lineRule="atLeast"/>
              <w:ind w:left="60" w:right="360"/>
              <w:jc w:val="both"/>
            </w:pPr>
            <w:r>
              <w:rPr>
                <w:rFonts w:ascii="Arial" w:eastAsia="Arial" w:hAnsi="Arial" w:cs="Arial"/>
                <w:color w:val="000000"/>
                <w:sz w:val="20"/>
              </w:rPr>
              <w:t xml:space="preserve">The instruction includes a mental state component, which must be included whenever the issue is generated by the evidence. In </w:t>
            </w:r>
            <w:hyperlink r:id="rId374" w:history="1">
              <w:r>
                <w:rPr>
                  <w:rStyle w:val="Hyperlink"/>
                  <w:rFonts w:ascii="Arial" w:eastAsia="Arial" w:hAnsi="Arial" w:cs="Arial"/>
                  <w:i/>
                  <w:color w:val="0077CC"/>
                  <w:sz w:val="20"/>
                </w:rPr>
                <w:t>Green v. State, 119 Md. App. 547, 705 A.2d 133 (1998),</w:t>
              </w:r>
            </w:hyperlink>
            <w:r>
              <w:rPr>
                <w:rFonts w:ascii="Arial" w:eastAsia="Arial" w:hAnsi="Arial" w:cs="Arial"/>
                <w:color w:val="000000"/>
                <w:sz w:val="20"/>
              </w:rPr>
              <w:t xml:space="preserve"> the Court of Special Appeals, applying </w:t>
            </w:r>
            <w:r>
              <w:rPr>
                <w:rFonts w:ascii="Arial" w:eastAsia="Arial" w:hAnsi="Arial" w:cs="Arial"/>
                <w:i/>
                <w:color w:val="000000"/>
                <w:sz w:val="20"/>
              </w:rPr>
              <w:t>Warfield</w:t>
            </w:r>
            <w:r>
              <w:rPr>
                <w:rFonts w:ascii="Arial" w:eastAsia="Arial" w:hAnsi="Arial" w:cs="Arial"/>
                <w:color w:val="000000"/>
                <w:sz w:val="20"/>
              </w:rPr>
              <w:t xml:space="preserve">, reversed a conviction for the failure to include mental state in the instruction when that issue was generated by the evidence, i.e., the defendant was aware he was making an unauthorized entry. In </w:t>
            </w:r>
            <w:hyperlink r:id="rId375" w:history="1">
              <w:r>
                <w:rPr>
                  <w:rStyle w:val="Hyperlink"/>
                  <w:rFonts w:ascii="Arial" w:eastAsia="Arial" w:hAnsi="Arial" w:cs="Arial"/>
                  <w:i/>
                  <w:color w:val="0077CC"/>
                  <w:sz w:val="20"/>
                </w:rPr>
                <w:t>Herd v. State, 125 Md. App. 77, 724 A.2d 693 (1999),</w:t>
              </w:r>
            </w:hyperlink>
            <w:r>
              <w:rPr>
                <w:rFonts w:ascii="Arial" w:eastAsia="Arial" w:hAnsi="Arial" w:cs="Arial"/>
                <w:color w:val="000000"/>
                <w:sz w:val="20"/>
              </w:rPr>
              <w:t xml:space="preserve"> the Court of Special Appeals held that there is a rebuttable presumption that the defendant's entry is not authorized, licensed, or privileged, placing the burden of production on the defendant. If the defendant produces evidence of an honest and reasonable belief that his presence was authorized, licensed, or privileged, the State bears the burden of persuasion, beyond a reasonable doubt, to prove that the defendant lacked either an honest belief or a reasonable belief that his entry was authorized, licensed, or privileged. </w:t>
            </w:r>
            <w:hyperlink r:id="rId376" w:history="1">
              <w:r>
                <w:rPr>
                  <w:rStyle w:val="Hyperlink"/>
                  <w:rFonts w:ascii="Arial" w:eastAsia="Arial" w:hAnsi="Arial" w:cs="Arial"/>
                  <w:i/>
                  <w:color w:val="0077CC"/>
                  <w:sz w:val="20"/>
                </w:rPr>
                <w:t>Id. at 93-109, 724 A.2d at 701-09.</w:t>
              </w:r>
            </w:hyperlink>
          </w:p>
          <w:p w:rsidR="004729FB" w:rsidRDefault="004729FB">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19" style="position:absolute;z-index:25173401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4:06, MPJI-Cr 4:06.2, MPJI-Cr 4:06.3.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26" style="position:absolute;left:0;text-align:left;z-index:251741184;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10:48:00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77923598</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377" w:history="1">
        <w:r>
          <w:rPr>
            <w:rFonts w:ascii="Arial" w:eastAsia="Arial" w:hAnsi="Arial" w:cs="Arial"/>
            <w:color w:val="000000"/>
            <w:sz w:val="20"/>
            <w:u w:val="single"/>
          </w:rPr>
          <w:t xml:space="preserve"> </w:t>
        </w:r>
      </w:hyperlink>
      <w:hyperlink r:id="rId378" w:history="1">
        <w:r>
          <w:rPr>
            <w:rFonts w:ascii="Arial" w:eastAsia="Arial" w:hAnsi="Arial" w:cs="Arial"/>
            <w:i/>
            <w:color w:val="0077CC"/>
            <w:sz w:val="20"/>
            <w:u w:val="single"/>
          </w:rPr>
          <w:t>Abuse of a Vulnerable Adult--Sexual Abuse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379" w:history="1">
        <w:r>
          <w:rPr>
            <w:rFonts w:ascii="Arial" w:eastAsia="Arial" w:hAnsi="Arial" w:cs="Arial"/>
            <w:color w:val="000000"/>
            <w:sz w:val="20"/>
            <w:u w:val="single"/>
          </w:rPr>
          <w:t xml:space="preserve"> </w:t>
        </w:r>
      </w:hyperlink>
      <w:hyperlink r:id="rId380" w:history="1">
        <w:r>
          <w:rPr>
            <w:rFonts w:ascii="Arial" w:eastAsia="Arial" w:hAnsi="Arial" w:cs="Arial"/>
            <w:i/>
            <w:color w:val="0077CC"/>
            <w:sz w:val="20"/>
            <w:u w:val="single"/>
          </w:rPr>
          <w:t>Abuse of a Vulnerable Adult--Second Degree Neglect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381" w:history="1">
        <w:r>
          <w:rPr>
            <w:rFonts w:ascii="Arial" w:eastAsia="Arial" w:hAnsi="Arial" w:cs="Arial"/>
            <w:color w:val="000000"/>
            <w:sz w:val="20"/>
            <w:u w:val="single"/>
          </w:rPr>
          <w:t xml:space="preserve"> </w:t>
        </w:r>
      </w:hyperlink>
      <w:hyperlink r:id="rId382" w:history="1">
        <w:r>
          <w:rPr>
            <w:rFonts w:ascii="Arial" w:eastAsia="Arial" w:hAnsi="Arial" w:cs="Arial"/>
            <w:i/>
            <w:color w:val="0077CC"/>
            <w:sz w:val="20"/>
            <w:u w:val="single"/>
          </w:rPr>
          <w:t>Abuse of a Vulnerable Adult--First Degree Neglect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383" w:history="1">
        <w:r>
          <w:rPr>
            <w:rFonts w:ascii="Arial" w:eastAsia="Arial" w:hAnsi="Arial" w:cs="Arial"/>
            <w:color w:val="000000"/>
            <w:sz w:val="20"/>
            <w:u w:val="single"/>
          </w:rPr>
          <w:t xml:space="preserve"> </w:t>
        </w:r>
      </w:hyperlink>
      <w:hyperlink r:id="rId384" w:history="1">
        <w:r>
          <w:rPr>
            <w:rFonts w:ascii="Arial" w:eastAsia="Arial" w:hAnsi="Arial" w:cs="Arial"/>
            <w:i/>
            <w:color w:val="0077CC"/>
            <w:sz w:val="20"/>
            <w:u w:val="single"/>
          </w:rPr>
          <w:t>Abuse of a Vulnerable Adult--Financial Exploitation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385" w:history="1">
        <w:r>
          <w:rPr>
            <w:rFonts w:ascii="Arial" w:eastAsia="Arial" w:hAnsi="Arial" w:cs="Arial"/>
            <w:color w:val="000000"/>
            <w:sz w:val="20"/>
            <w:u w:val="single"/>
          </w:rPr>
          <w:t xml:space="preserve"> </w:t>
        </w:r>
      </w:hyperlink>
      <w:hyperlink r:id="rId386" w:history="1">
        <w:r>
          <w:rPr>
            <w:rFonts w:ascii="Arial" w:eastAsia="Arial" w:hAnsi="Arial" w:cs="Arial"/>
            <w:i/>
            <w:color w:val="0077CC"/>
            <w:sz w:val="20"/>
            <w:u w:val="single"/>
          </w:rPr>
          <w:t>Conspiracy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387" w:history="1">
        <w:r>
          <w:rPr>
            <w:rFonts w:ascii="Arial" w:eastAsia="Arial" w:hAnsi="Arial" w:cs="Arial"/>
            <w:color w:val="000000"/>
            <w:sz w:val="20"/>
            <w:u w:val="single"/>
          </w:rPr>
          <w:t xml:space="preserve"> </w:t>
        </w:r>
      </w:hyperlink>
      <w:hyperlink r:id="rId388" w:history="1">
        <w:r>
          <w:rPr>
            <w:rFonts w:ascii="Arial" w:eastAsia="Arial" w:hAnsi="Arial" w:cs="Arial"/>
            <w:i/>
            <w:color w:val="0077CC"/>
            <w:sz w:val="20"/>
            <w:u w:val="single"/>
          </w:rPr>
          <w:t>Aggravated Cruelty to Animals--General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389" w:history="1">
        <w:r>
          <w:rPr>
            <w:rFonts w:ascii="Arial" w:eastAsia="Arial" w:hAnsi="Arial" w:cs="Arial"/>
            <w:color w:val="000000"/>
            <w:sz w:val="20"/>
            <w:u w:val="single"/>
          </w:rPr>
          <w:t xml:space="preserve"> </w:t>
        </w:r>
      </w:hyperlink>
      <w:hyperlink r:id="rId390" w:history="1">
        <w:r>
          <w:rPr>
            <w:rFonts w:ascii="Arial" w:eastAsia="Arial" w:hAnsi="Arial" w:cs="Arial"/>
            <w:i/>
            <w:color w:val="0077CC"/>
            <w:sz w:val="20"/>
            <w:u w:val="single"/>
          </w:rPr>
          <w:t>Aggravated Cruelty to Animals Related to Dogfights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391" w:history="1">
        <w:r>
          <w:rPr>
            <w:rFonts w:ascii="Arial" w:eastAsia="Arial" w:hAnsi="Arial" w:cs="Arial"/>
            <w:color w:val="000000"/>
            <w:sz w:val="20"/>
            <w:u w:val="single"/>
          </w:rPr>
          <w:t xml:space="preserve"> </w:t>
        </w:r>
      </w:hyperlink>
      <w:hyperlink r:id="rId392" w:history="1">
        <w:r>
          <w:rPr>
            <w:rFonts w:ascii="Arial" w:eastAsia="Arial" w:hAnsi="Arial" w:cs="Arial"/>
            <w:i/>
            <w:color w:val="0077CC"/>
            <w:sz w:val="20"/>
            <w:u w:val="single"/>
          </w:rPr>
          <w:t>Abuse or Neglect of an Animal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393" w:history="1">
        <w:r>
          <w:rPr>
            <w:rFonts w:ascii="Arial" w:eastAsia="Arial" w:hAnsi="Arial" w:cs="Arial"/>
            <w:color w:val="000000"/>
            <w:sz w:val="20"/>
            <w:u w:val="single"/>
          </w:rPr>
          <w:t xml:space="preserve"> </w:t>
        </w:r>
      </w:hyperlink>
      <w:hyperlink r:id="rId394" w:history="1">
        <w:r>
          <w:rPr>
            <w:rFonts w:ascii="Arial" w:eastAsia="Arial" w:hAnsi="Arial" w:cs="Arial"/>
            <w:i/>
            <w:color w:val="0077CC"/>
            <w:sz w:val="20"/>
            <w:u w:val="single"/>
          </w:rPr>
          <w:t>Driving under the Influence of Alcohol and Driving While Impaired by Alcohol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395" w:history="1">
        <w:r>
          <w:rPr>
            <w:rFonts w:ascii="Arial" w:eastAsia="Arial" w:hAnsi="Arial" w:cs="Arial"/>
            <w:color w:val="000000"/>
            <w:sz w:val="20"/>
            <w:u w:val="single"/>
          </w:rPr>
          <w:t xml:space="preserve"> </w:t>
        </w:r>
      </w:hyperlink>
      <w:hyperlink r:id="rId396" w:history="1">
        <w:r>
          <w:rPr>
            <w:rFonts w:ascii="Arial" w:eastAsia="Arial" w:hAnsi="Arial" w:cs="Arial"/>
            <w:i/>
            <w:color w:val="0077CC"/>
            <w:sz w:val="20"/>
            <w:u w:val="single"/>
          </w:rPr>
          <w:t>Unattended or Restricted Dog</w:t>
        </w:r>
      </w:hyperlink>
    </w:p>
    <w:p w:rsidR="004729FB" w:rsidRDefault="004729FB" w:rsidP="004729FB">
      <w:pPr>
        <w:spacing w:before="80" w:line="240" w:lineRule="atLeast"/>
        <w:ind w:left="290"/>
        <w:sectPr w:rsidR="004729FB" w:rsidSect="004729FB">
          <w:headerReference w:type="even" r:id="rId397"/>
          <w:headerReference w:type="default" r:id="rId398"/>
          <w:footerReference w:type="even" r:id="rId399"/>
          <w:footerReference w:type="default" r:id="rId400"/>
          <w:headerReference w:type="first" r:id="rId401"/>
          <w:footerReference w:type="first" r:id="rId402"/>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2" name="Picture 3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09" w:history="1">
        <w:r>
          <w:rPr>
            <w:rFonts w:ascii="Arial" w:eastAsia="Arial" w:hAnsi="Arial" w:cs="Arial"/>
            <w:b/>
            <w:bCs/>
            <w:i/>
            <w:color w:val="0077CC"/>
            <w:kern w:val="32"/>
            <w:sz w:val="28"/>
            <w:szCs w:val="32"/>
            <w:u w:val="single"/>
          </w:rPr>
          <w:t>MPJI-Cr 4:07.5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ABUSE OF A VULNERABLE ADULT--SEXUAL ABUSE</w:t>
      </w:r>
    </w:p>
    <w:p w:rsidR="004729FB" w:rsidRDefault="004729FB" w:rsidP="004729FB">
      <w:pPr>
        <w:keepNext/>
        <w:spacing w:before="240" w:line="340" w:lineRule="atLeast"/>
      </w:pPr>
      <w:r>
        <w:br/>
      </w:r>
      <w:r>
        <w:rPr>
          <w:rFonts w:ascii="Arial" w:eastAsia="Arial" w:hAnsi="Arial" w:cs="Arial"/>
          <w:b/>
          <w:color w:val="000000"/>
          <w:sz w:val="28"/>
        </w:rPr>
        <w:t>4:07.5Abuse of a Vulnerable Adult--Sexual Abuse</w:t>
      </w:r>
    </w:p>
    <w:p w:rsidR="004729FB" w:rsidRDefault="004729FB" w:rsidP="004729FB">
      <w:pPr>
        <w:spacing w:line="60" w:lineRule="exact"/>
      </w:pPr>
      <w:r>
        <w:pict>
          <v:line id="_x0000_s1127" style="position:absolute;z-index:2517432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sexual abuse of a vulnerable adult. A vulnerable adult is an adult who lacks the physical or mental capacity to provide for [his] [her] daily needs.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sexually abused</w:t>
      </w:r>
    </w:p>
    <w:p w:rsidR="004729FB" w:rsidRDefault="004729FB" w:rsidP="004729FB">
      <w:pPr>
        <w:spacing w:before="200" w:line="260" w:lineRule="atLeast"/>
        <w:ind w:left="400"/>
        <w:jc w:val="both"/>
      </w:pPr>
      <w:r>
        <w:rPr>
          <w:rFonts w:ascii="Arial" w:eastAsia="Arial" w:hAnsi="Arial" w:cs="Arial"/>
          <w:b/>
          <w:color w:val="000000"/>
          <w:sz w:val="20"/>
        </w:rPr>
        <w:t>(</w:t>
      </w:r>
      <w:r>
        <w:rPr>
          <w:rFonts w:ascii="Arial" w:eastAsia="Arial" w:hAnsi="Arial" w:cs="Arial"/>
          <w:b/>
          <w:color w:val="000000"/>
          <w:sz w:val="20"/>
          <w:u w:val="single"/>
        </w:rPr>
        <w:t>name</w:t>
      </w:r>
      <w:r>
        <w:rPr>
          <w:rFonts w:ascii="Arial" w:eastAsia="Arial" w:hAnsi="Arial" w:cs="Arial"/>
          <w:b/>
          <w:color w:val="000000"/>
          <w:sz w:val="20"/>
        </w:rPr>
        <w:t>) by [rape] [incest] [sodomy] [other sexual offense] [unnatural or perverted sexual practice] [sexual exploitation]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at the time of defendant's conduct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t>
      </w:r>
      <w:r>
        <w:rPr>
          <w:rFonts w:ascii="Arial" w:eastAsia="Arial" w:hAnsi="Arial" w:cs="Arial"/>
          <w:b/>
          <w:color w:val="000000"/>
          <w:sz w:val="20"/>
          <w:u w:val="single"/>
        </w:rPr>
        <w:t>name</w:t>
      </w:r>
      <w:r>
        <w:rPr>
          <w:rFonts w:ascii="Arial" w:eastAsia="Arial" w:hAnsi="Arial" w:cs="Arial"/>
          <w:b/>
          <w:color w:val="000000"/>
          <w:sz w:val="20"/>
        </w:rPr>
        <w:t>) was a vulnerable adult; and</w:t>
      </w:r>
    </w:p>
    <w:p w:rsidR="004729FB" w:rsidRDefault="004729FB" w:rsidP="004729FB">
      <w:pPr>
        <w:spacing w:before="200" w:line="260" w:lineRule="atLeast"/>
        <w:ind w:left="400"/>
        <w:jc w:val="both"/>
      </w:pPr>
      <w:r>
        <w:rPr>
          <w:rFonts w:ascii="Arial" w:eastAsia="Arial" w:hAnsi="Arial" w:cs="Arial"/>
          <w:b/>
          <w:color w:val="000000"/>
          <w:sz w:val="20"/>
        </w:rPr>
        <w:t>(3) that, at the time of defendant's conduct, the defendant was [[a parent] [a family member] [a member of the household] [a person with permanent or temporary care, custody, or responsibility for the supervision] of (</w:t>
      </w:r>
      <w:r>
        <w:rPr>
          <w:rFonts w:ascii="Arial" w:eastAsia="Arial" w:hAnsi="Arial" w:cs="Arial"/>
          <w:b/>
          <w:color w:val="000000"/>
          <w:sz w:val="20"/>
          <w:u w:val="single"/>
        </w:rPr>
        <w:t>name</w:t>
      </w:r>
      <w:r>
        <w:rPr>
          <w:rFonts w:ascii="Arial" w:eastAsia="Arial" w:hAnsi="Arial" w:cs="Arial"/>
          <w:b/>
          <w:color w:val="000000"/>
          <w:sz w:val="20"/>
        </w:rPr>
        <w:t>)] [under a duty to care for (</w:t>
      </w:r>
      <w:r>
        <w:rPr>
          <w:rFonts w:ascii="Arial" w:eastAsia="Arial" w:hAnsi="Arial" w:cs="Arial"/>
          <w:b/>
          <w:color w:val="000000"/>
          <w:sz w:val="20"/>
          <w:u w:val="single"/>
        </w:rPr>
        <w:t>name</w:t>
      </w:r>
      <w:r>
        <w:rPr>
          <w:rFonts w:ascii="Arial" w:eastAsia="Arial" w:hAnsi="Arial" w:cs="Arial"/>
          <w:b/>
          <w:color w:val="000000"/>
          <w:sz w:val="20"/>
        </w:rPr>
        <w:t>) because of a contract to provide care for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[Family member means a relative of (</w:t>
      </w:r>
      <w:r>
        <w:rPr>
          <w:rFonts w:ascii="Arial" w:eastAsia="Arial" w:hAnsi="Arial" w:cs="Arial"/>
          <w:b/>
          <w:color w:val="000000"/>
          <w:sz w:val="20"/>
          <w:u w:val="single"/>
        </w:rPr>
        <w:t>name</w:t>
      </w:r>
      <w:r>
        <w:rPr>
          <w:rFonts w:ascii="Arial" w:eastAsia="Arial" w:hAnsi="Arial" w:cs="Arial"/>
          <w:b/>
          <w:color w:val="000000"/>
          <w:sz w:val="20"/>
        </w:rPr>
        <w:t>) by blood, marriage, or adoption.]</w:t>
      </w:r>
    </w:p>
    <w:p w:rsidR="004729FB" w:rsidRDefault="004729FB" w:rsidP="004729FB">
      <w:pPr>
        <w:spacing w:before="200" w:line="260" w:lineRule="atLeast"/>
        <w:jc w:val="both"/>
      </w:pPr>
      <w:r>
        <w:rPr>
          <w:rFonts w:ascii="Arial" w:eastAsia="Arial" w:hAnsi="Arial" w:cs="Arial"/>
          <w:b/>
          <w:color w:val="000000"/>
          <w:sz w:val="20"/>
        </w:rPr>
        <w:t>[Household member means a person who, at the time of the alleged sexual abuse, lived with or was regularly present in a home of (</w:t>
      </w:r>
      <w:r>
        <w:rPr>
          <w:rFonts w:ascii="Arial" w:eastAsia="Arial" w:hAnsi="Arial" w:cs="Arial"/>
          <w:b/>
          <w:color w:val="000000"/>
          <w:sz w:val="20"/>
          <w:u w:val="single"/>
        </w:rPr>
        <w:t>name</w:t>
      </w:r>
      <w:r>
        <w:rPr>
          <w:rFonts w:ascii="Arial" w:eastAsia="Arial" w:hAnsi="Arial" w:cs="Arial"/>
          <w:b/>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4:07.3 (Abuse of a Vulnerable Adult--Second Degree Physical Abuse); MPJI-Cr 4:07.2 (Child Abuse--Sexual Abuse).</w:t>
            </w:r>
          </w:p>
          <w:p w:rsidR="004729FB" w:rsidRDefault="004729FB" w:rsidP="00713DA5">
            <w:pPr>
              <w:spacing w:before="200" w:line="260" w:lineRule="atLeast"/>
              <w:ind w:left="60" w:right="360"/>
              <w:jc w:val="both"/>
            </w:pPr>
            <w:r>
              <w:rPr>
                <w:rFonts w:ascii="Arial" w:eastAsia="Arial" w:hAnsi="Arial" w:cs="Arial"/>
                <w:color w:val="000000"/>
                <w:sz w:val="20"/>
              </w:rPr>
              <w:t>Sexual abuse enhances abuse of a vulnerable adult from second to first degree abuse. CRIM. LAW I §§ 3-604(b), 3-605(a). Under CRIM. LAW I § 3-604(a)(9), "sexual abuse" is defined as follows:</w:t>
            </w:r>
          </w:p>
          <w:p w:rsidR="004729FB" w:rsidRDefault="004729FB" w:rsidP="00713DA5">
            <w:pPr>
              <w:spacing w:before="60" w:line="260" w:lineRule="atLeast"/>
              <w:ind w:left="460" w:right="360"/>
              <w:jc w:val="both"/>
            </w:pPr>
            <w:r>
              <w:rPr>
                <w:rFonts w:ascii="Arial" w:eastAsia="Arial" w:hAnsi="Arial" w:cs="Arial"/>
                <w:color w:val="000000"/>
                <w:sz w:val="20"/>
              </w:rPr>
              <w:t>(i) "Sexual abuse" means an act that involves sexual molestation or exploitation of a vulnerable adult.</w:t>
            </w:r>
          </w:p>
          <w:p w:rsidR="004729FB" w:rsidRDefault="004729FB" w:rsidP="00713DA5">
            <w:pPr>
              <w:spacing w:before="60" w:line="260" w:lineRule="atLeast"/>
              <w:ind w:left="460" w:right="360"/>
              <w:jc w:val="both"/>
            </w:pPr>
            <w:r>
              <w:rPr>
                <w:rFonts w:ascii="Arial" w:eastAsia="Arial" w:hAnsi="Arial" w:cs="Arial"/>
                <w:color w:val="000000"/>
                <w:sz w:val="20"/>
              </w:rPr>
              <w:t>(ii) "Sexual abuse" includes:</w:t>
            </w:r>
          </w:p>
          <w:p w:rsidR="004729FB" w:rsidRDefault="004729FB" w:rsidP="00713DA5">
            <w:pPr>
              <w:spacing w:before="60" w:line="260" w:lineRule="atLeast"/>
              <w:ind w:left="860" w:right="360"/>
              <w:jc w:val="both"/>
            </w:pPr>
            <w:r>
              <w:rPr>
                <w:rFonts w:ascii="Arial" w:eastAsia="Arial" w:hAnsi="Arial" w:cs="Arial"/>
                <w:color w:val="000000"/>
                <w:sz w:val="20"/>
              </w:rPr>
              <w:t>1. incest;</w:t>
            </w:r>
          </w:p>
          <w:p w:rsidR="004729FB" w:rsidRDefault="004729FB" w:rsidP="00713DA5">
            <w:pPr>
              <w:spacing w:before="60" w:line="260" w:lineRule="atLeast"/>
              <w:ind w:left="860" w:right="360"/>
              <w:jc w:val="both"/>
            </w:pPr>
            <w:r>
              <w:rPr>
                <w:rFonts w:ascii="Arial" w:eastAsia="Arial" w:hAnsi="Arial" w:cs="Arial"/>
                <w:color w:val="000000"/>
                <w:sz w:val="20"/>
              </w:rPr>
              <w:t>2. rape;</w:t>
            </w:r>
          </w:p>
          <w:p w:rsidR="004729FB" w:rsidRDefault="004729FB" w:rsidP="00713DA5">
            <w:pPr>
              <w:spacing w:before="60" w:line="260" w:lineRule="atLeast"/>
              <w:ind w:left="860" w:right="360"/>
              <w:jc w:val="both"/>
            </w:pPr>
            <w:r>
              <w:rPr>
                <w:rFonts w:ascii="Arial" w:eastAsia="Arial" w:hAnsi="Arial" w:cs="Arial"/>
                <w:color w:val="000000"/>
                <w:sz w:val="20"/>
              </w:rPr>
              <w:lastRenderedPageBreak/>
              <w:t>3. sexual offense in any degree;</w:t>
            </w:r>
          </w:p>
          <w:p w:rsidR="004729FB" w:rsidRDefault="004729FB" w:rsidP="00713DA5">
            <w:pPr>
              <w:spacing w:before="60" w:line="260" w:lineRule="atLeast"/>
              <w:ind w:left="860" w:right="360"/>
              <w:jc w:val="both"/>
            </w:pPr>
            <w:r>
              <w:rPr>
                <w:rFonts w:ascii="Arial" w:eastAsia="Arial" w:hAnsi="Arial" w:cs="Arial"/>
                <w:color w:val="000000"/>
                <w:sz w:val="20"/>
              </w:rPr>
              <w:t>4. sodomy; and</w:t>
            </w:r>
          </w:p>
          <w:p w:rsidR="004729FB" w:rsidRDefault="004729FB" w:rsidP="00713DA5">
            <w:pPr>
              <w:spacing w:before="60" w:line="260" w:lineRule="atLeast"/>
              <w:ind w:left="860" w:right="360"/>
              <w:jc w:val="both"/>
            </w:pPr>
            <w:r>
              <w:rPr>
                <w:rFonts w:ascii="Arial" w:eastAsia="Arial" w:hAnsi="Arial" w:cs="Arial"/>
                <w:color w:val="000000"/>
                <w:sz w:val="20"/>
              </w:rPr>
              <w:t>5. unnatural or perverted sexual practices.</w:t>
            </w:r>
          </w:p>
          <w:p w:rsidR="004729FB" w:rsidRDefault="004729FB" w:rsidP="00713DA5">
            <w:pPr>
              <w:spacing w:before="60" w:after="120" w:line="260" w:lineRule="atLeast"/>
              <w:ind w:left="460" w:right="360"/>
              <w:jc w:val="both"/>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37" style="position:absolute;z-index:25175347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4:07.2, MPJI-Cr 4:07.3.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47" style="position:absolute;left:0;text-align:left;z-index:25176371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1" name="Picture 3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16" w:history="1">
        <w:r>
          <w:rPr>
            <w:rFonts w:ascii="Arial" w:eastAsia="Arial" w:hAnsi="Arial" w:cs="Arial"/>
            <w:b/>
            <w:bCs/>
            <w:i/>
            <w:color w:val="0077CC"/>
            <w:kern w:val="32"/>
            <w:sz w:val="28"/>
            <w:szCs w:val="32"/>
            <w:u w:val="single"/>
          </w:rPr>
          <w:t>MPJI-Cr 4:07.6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ABUSE OF A VULNERABLE ADULT--SECOND DEGREE NEGLECT</w:t>
      </w:r>
    </w:p>
    <w:p w:rsidR="004729FB" w:rsidRDefault="004729FB" w:rsidP="004729FB">
      <w:pPr>
        <w:keepNext/>
        <w:spacing w:before="240" w:line="340" w:lineRule="atLeast"/>
      </w:pPr>
      <w:r>
        <w:br/>
      </w:r>
      <w:r>
        <w:rPr>
          <w:rFonts w:ascii="Arial" w:eastAsia="Arial" w:hAnsi="Arial" w:cs="Arial"/>
          <w:b/>
          <w:color w:val="000000"/>
          <w:sz w:val="28"/>
        </w:rPr>
        <w:t>4:07.6Abuse of a Vulnerable Adult--Second Degree Neglect</w:t>
      </w:r>
    </w:p>
    <w:p w:rsidR="004729FB" w:rsidRDefault="004729FB" w:rsidP="004729FB">
      <w:pPr>
        <w:spacing w:line="60" w:lineRule="exact"/>
      </w:pPr>
      <w:r>
        <w:pict>
          <v:line id="_x0000_s1128" style="position:absolute;z-index:25174425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second degree neglect of a vulnerable adult. A vulnerable adult is an adult who does not have the physical or mental capacity to provide for [his] [her] daily needs.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neglected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a vulnerable adult at the time of the alleged neglect; and</w:t>
      </w:r>
    </w:p>
    <w:p w:rsidR="004729FB" w:rsidRDefault="004729FB" w:rsidP="004729FB">
      <w:pPr>
        <w:spacing w:before="200" w:line="260" w:lineRule="atLeast"/>
        <w:ind w:left="400"/>
        <w:jc w:val="both"/>
      </w:pPr>
      <w:r>
        <w:rPr>
          <w:rFonts w:ascii="Arial" w:eastAsia="Arial" w:hAnsi="Arial" w:cs="Arial"/>
          <w:b/>
          <w:color w:val="000000"/>
          <w:sz w:val="20"/>
        </w:rPr>
        <w:t>(3) that at the time of the neglect, the defendant was [[a parent] [a family member] [a member of the household] [a person with permanent or temporary care, custody, or responsibility for the supervision] of (</w:t>
      </w:r>
      <w:r>
        <w:rPr>
          <w:rFonts w:ascii="Arial" w:eastAsia="Arial" w:hAnsi="Arial" w:cs="Arial"/>
          <w:b/>
          <w:color w:val="000000"/>
          <w:sz w:val="20"/>
          <w:u w:val="single"/>
        </w:rPr>
        <w:t>name</w:t>
      </w:r>
      <w:r>
        <w:rPr>
          <w:rFonts w:ascii="Arial" w:eastAsia="Arial" w:hAnsi="Arial" w:cs="Arial"/>
          <w:b/>
          <w:color w:val="000000"/>
          <w:sz w:val="20"/>
        </w:rPr>
        <w:t>)] [under a duty to care for</w:t>
      </w:r>
    </w:p>
    <w:p w:rsidR="004729FB" w:rsidRDefault="004729FB" w:rsidP="004729FB">
      <w:pPr>
        <w:spacing w:before="200" w:line="260" w:lineRule="atLeast"/>
        <w:ind w:left="400"/>
        <w:jc w:val="both"/>
      </w:pPr>
      <w:r>
        <w:rPr>
          <w:rFonts w:ascii="Arial" w:eastAsia="Arial" w:hAnsi="Arial" w:cs="Arial"/>
          <w:b/>
          <w:color w:val="000000"/>
          <w:sz w:val="20"/>
        </w:rPr>
        <w:t>(</w:t>
      </w:r>
      <w:r>
        <w:rPr>
          <w:rFonts w:ascii="Arial" w:eastAsia="Arial" w:hAnsi="Arial" w:cs="Arial"/>
          <w:b/>
          <w:color w:val="000000"/>
          <w:sz w:val="20"/>
          <w:u w:val="single"/>
        </w:rPr>
        <w:t>name</w:t>
      </w:r>
      <w:r>
        <w:rPr>
          <w:rFonts w:ascii="Arial" w:eastAsia="Arial" w:hAnsi="Arial" w:cs="Arial"/>
          <w:b/>
          <w:color w:val="000000"/>
          <w:sz w:val="20"/>
        </w:rPr>
        <w:t>) because of a contract to provide care for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Neglect is the intentional failure to provide necessary assistance and resources for the physical needs of (</w:t>
      </w:r>
      <w:r>
        <w:rPr>
          <w:rFonts w:ascii="Arial" w:eastAsia="Arial" w:hAnsi="Arial" w:cs="Arial"/>
          <w:b/>
          <w:color w:val="000000"/>
          <w:sz w:val="20"/>
          <w:u w:val="single"/>
        </w:rPr>
        <w:t>name</w:t>
      </w:r>
      <w:r>
        <w:rPr>
          <w:rFonts w:ascii="Arial" w:eastAsia="Arial" w:hAnsi="Arial" w:cs="Arial"/>
          <w:b/>
          <w:color w:val="000000"/>
          <w:sz w:val="20"/>
        </w:rPr>
        <w:t>), including food, clothing, toileting, essential medical treatment, shelter or supervision. [Neglect does not include the provision of nonmedical remedial care and treatment for the healing of injury or disease that is with the consent of (</w:t>
      </w:r>
      <w:r>
        <w:rPr>
          <w:rFonts w:ascii="Arial" w:eastAsia="Arial" w:hAnsi="Arial" w:cs="Arial"/>
          <w:b/>
          <w:color w:val="000000"/>
          <w:sz w:val="20"/>
          <w:u w:val="single"/>
        </w:rPr>
        <w:t>name</w:t>
      </w:r>
      <w:r>
        <w:rPr>
          <w:rFonts w:ascii="Arial" w:eastAsia="Arial" w:hAnsi="Arial" w:cs="Arial"/>
          <w:b/>
          <w:color w:val="000000"/>
          <w:sz w:val="20"/>
        </w:rPr>
        <w:t>) and recognized by state law in place of medical treatment.]</w:t>
      </w:r>
    </w:p>
    <w:p w:rsidR="004729FB" w:rsidRDefault="004729FB" w:rsidP="004729FB">
      <w:pPr>
        <w:spacing w:before="200" w:line="260" w:lineRule="atLeast"/>
        <w:jc w:val="both"/>
      </w:pPr>
      <w:r>
        <w:rPr>
          <w:rFonts w:ascii="Arial" w:eastAsia="Arial" w:hAnsi="Arial" w:cs="Arial"/>
          <w:b/>
          <w:color w:val="000000"/>
          <w:sz w:val="20"/>
        </w:rPr>
        <w:t>[Family member means a relative of (</w:t>
      </w:r>
      <w:r>
        <w:rPr>
          <w:rFonts w:ascii="Arial" w:eastAsia="Arial" w:hAnsi="Arial" w:cs="Arial"/>
          <w:b/>
          <w:color w:val="000000"/>
          <w:sz w:val="20"/>
          <w:u w:val="single"/>
        </w:rPr>
        <w:t>name</w:t>
      </w:r>
      <w:r>
        <w:rPr>
          <w:rFonts w:ascii="Arial" w:eastAsia="Arial" w:hAnsi="Arial" w:cs="Arial"/>
          <w:b/>
          <w:color w:val="000000"/>
          <w:sz w:val="20"/>
        </w:rPr>
        <w:t>) by blood, marriage, or adoption.]</w:t>
      </w:r>
    </w:p>
    <w:p w:rsidR="004729FB" w:rsidRDefault="004729FB" w:rsidP="004729FB">
      <w:pPr>
        <w:spacing w:before="200" w:line="260" w:lineRule="atLeast"/>
        <w:jc w:val="both"/>
      </w:pPr>
      <w:r>
        <w:rPr>
          <w:rFonts w:ascii="Arial" w:eastAsia="Arial" w:hAnsi="Arial" w:cs="Arial"/>
          <w:b/>
          <w:color w:val="000000"/>
          <w:sz w:val="20"/>
        </w:rPr>
        <w:t>[Household member means a person who, at the time of the alleged neglect, lived with or was regularly present in a home of (</w:t>
      </w:r>
      <w:r>
        <w:rPr>
          <w:rFonts w:ascii="Arial" w:eastAsia="Arial" w:hAnsi="Arial" w:cs="Arial"/>
          <w:b/>
          <w:color w:val="000000"/>
          <w:sz w:val="20"/>
          <w:u w:val="single"/>
        </w:rPr>
        <w:t>name</w:t>
      </w:r>
      <w:r>
        <w:rPr>
          <w:rFonts w:ascii="Arial" w:eastAsia="Arial" w:hAnsi="Arial" w:cs="Arial"/>
          <w:b/>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4:07.3 (Abuse of a Vulnerable Adult--Second Degree Physical Abuse). Neglect is defined by the statute as follows:</w:t>
            </w:r>
          </w:p>
          <w:p w:rsidR="004729FB" w:rsidRDefault="004729FB" w:rsidP="00713DA5">
            <w:pPr>
              <w:spacing w:before="60" w:line="260" w:lineRule="atLeast"/>
              <w:ind w:left="460" w:right="360"/>
              <w:jc w:val="both"/>
            </w:pPr>
            <w:r>
              <w:rPr>
                <w:rFonts w:ascii="Arial" w:eastAsia="Arial" w:hAnsi="Arial" w:cs="Arial"/>
                <w:color w:val="000000"/>
                <w:sz w:val="20"/>
              </w:rPr>
              <w:t>(i) "Neglect" means the intentional failure to provide necessary assistance and resources for the physical needs of a vulnerable adult, including</w:t>
            </w:r>
          </w:p>
          <w:p w:rsidR="004729FB" w:rsidRDefault="004729FB" w:rsidP="00713DA5">
            <w:pPr>
              <w:spacing w:before="60" w:line="260" w:lineRule="atLeast"/>
              <w:ind w:left="860" w:right="360"/>
              <w:jc w:val="both"/>
            </w:pPr>
            <w:r>
              <w:rPr>
                <w:rFonts w:ascii="Arial" w:eastAsia="Arial" w:hAnsi="Arial" w:cs="Arial"/>
                <w:color w:val="000000"/>
                <w:sz w:val="20"/>
              </w:rPr>
              <w:t>1. food;</w:t>
            </w:r>
          </w:p>
          <w:p w:rsidR="004729FB" w:rsidRDefault="004729FB" w:rsidP="00713DA5">
            <w:pPr>
              <w:spacing w:before="60" w:line="260" w:lineRule="atLeast"/>
              <w:ind w:left="860" w:right="360"/>
              <w:jc w:val="both"/>
            </w:pPr>
            <w:r>
              <w:rPr>
                <w:rFonts w:ascii="Arial" w:eastAsia="Arial" w:hAnsi="Arial" w:cs="Arial"/>
                <w:color w:val="000000"/>
                <w:sz w:val="20"/>
              </w:rPr>
              <w:t>2. clothing;</w:t>
            </w:r>
          </w:p>
          <w:p w:rsidR="004729FB" w:rsidRDefault="004729FB" w:rsidP="00713DA5">
            <w:pPr>
              <w:spacing w:before="60" w:line="260" w:lineRule="atLeast"/>
              <w:ind w:left="860" w:right="360"/>
              <w:jc w:val="both"/>
            </w:pPr>
            <w:r>
              <w:rPr>
                <w:rFonts w:ascii="Arial" w:eastAsia="Arial" w:hAnsi="Arial" w:cs="Arial"/>
                <w:color w:val="000000"/>
                <w:sz w:val="20"/>
              </w:rPr>
              <w:t>3. toileting;</w:t>
            </w:r>
          </w:p>
          <w:p w:rsidR="004729FB" w:rsidRDefault="004729FB" w:rsidP="00713DA5">
            <w:pPr>
              <w:spacing w:before="60" w:line="260" w:lineRule="atLeast"/>
              <w:ind w:left="860" w:right="360"/>
              <w:jc w:val="both"/>
            </w:pPr>
            <w:r>
              <w:rPr>
                <w:rFonts w:ascii="Arial" w:eastAsia="Arial" w:hAnsi="Arial" w:cs="Arial"/>
                <w:color w:val="000000"/>
                <w:sz w:val="20"/>
              </w:rPr>
              <w:lastRenderedPageBreak/>
              <w:t>4. essential medical treatment;</w:t>
            </w:r>
          </w:p>
          <w:p w:rsidR="004729FB" w:rsidRDefault="004729FB" w:rsidP="00713DA5">
            <w:pPr>
              <w:spacing w:before="60" w:line="260" w:lineRule="atLeast"/>
              <w:ind w:left="860" w:right="360"/>
              <w:jc w:val="both"/>
            </w:pPr>
            <w:r>
              <w:rPr>
                <w:rFonts w:ascii="Arial" w:eastAsia="Arial" w:hAnsi="Arial" w:cs="Arial"/>
                <w:color w:val="000000"/>
                <w:sz w:val="20"/>
              </w:rPr>
              <w:t>5. shelter; or</w:t>
            </w:r>
          </w:p>
          <w:p w:rsidR="004729FB" w:rsidRDefault="004729FB" w:rsidP="00713DA5">
            <w:pPr>
              <w:spacing w:before="60" w:line="260" w:lineRule="atLeast"/>
              <w:ind w:left="860" w:right="360"/>
              <w:jc w:val="both"/>
            </w:pPr>
            <w:r>
              <w:rPr>
                <w:rFonts w:ascii="Arial" w:eastAsia="Arial" w:hAnsi="Arial" w:cs="Arial"/>
                <w:color w:val="000000"/>
                <w:sz w:val="20"/>
              </w:rPr>
              <w:t>6. supervision.</w:t>
            </w:r>
          </w:p>
          <w:p w:rsidR="004729FB" w:rsidRDefault="004729FB" w:rsidP="00713DA5">
            <w:pPr>
              <w:spacing w:before="60" w:line="260" w:lineRule="atLeast"/>
              <w:ind w:left="460" w:right="360"/>
              <w:jc w:val="both"/>
            </w:pPr>
            <w:r>
              <w:rPr>
                <w:rFonts w:ascii="Arial" w:eastAsia="Arial" w:hAnsi="Arial" w:cs="Arial"/>
                <w:color w:val="000000"/>
                <w:sz w:val="20"/>
              </w:rPr>
              <w:t>(ii) "Neglect" does not include the provision of nonmedical remedial care and treatment for the healing of injury or disease that is:</w:t>
            </w:r>
          </w:p>
          <w:p w:rsidR="004729FB" w:rsidRDefault="004729FB" w:rsidP="00713DA5">
            <w:pPr>
              <w:spacing w:before="60" w:line="260" w:lineRule="atLeast"/>
              <w:ind w:left="860" w:right="360"/>
              <w:jc w:val="both"/>
            </w:pPr>
            <w:r>
              <w:rPr>
                <w:rFonts w:ascii="Arial" w:eastAsia="Arial" w:hAnsi="Arial" w:cs="Arial"/>
                <w:color w:val="000000"/>
                <w:sz w:val="20"/>
              </w:rPr>
              <w:t>1. given with the consent of the vulnerable adult; and</w:t>
            </w:r>
          </w:p>
          <w:p w:rsidR="004729FB" w:rsidRDefault="004729FB" w:rsidP="00713DA5">
            <w:pPr>
              <w:spacing w:before="60" w:line="260" w:lineRule="atLeast"/>
              <w:ind w:left="860" w:right="360"/>
              <w:jc w:val="both"/>
            </w:pPr>
            <w:r>
              <w:rPr>
                <w:rFonts w:ascii="Arial" w:eastAsia="Arial" w:hAnsi="Arial" w:cs="Arial"/>
                <w:color w:val="000000"/>
                <w:sz w:val="20"/>
              </w:rPr>
              <w:t>2. recognized by State law in place of medical treatment.</w:t>
            </w:r>
          </w:p>
          <w:p w:rsidR="004729FB" w:rsidRDefault="004729FB" w:rsidP="00713DA5">
            <w:pPr>
              <w:spacing w:before="120" w:line="260" w:lineRule="atLeast"/>
              <w:ind w:left="60" w:right="360"/>
              <w:jc w:val="both"/>
            </w:pPr>
            <w:r>
              <w:rPr>
                <w:rFonts w:ascii="Arial" w:eastAsia="Arial" w:hAnsi="Arial" w:cs="Arial"/>
                <w:color w:val="000000"/>
                <w:sz w:val="20"/>
              </w:rPr>
              <w:t>CRIM. LAW I § 3-604(a)(7).</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38" style="position:absolute;left:0;text-align:left;z-index:25175449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0" name="Picture 3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23" w:history="1">
        <w:r>
          <w:rPr>
            <w:rFonts w:ascii="Arial" w:eastAsia="Arial" w:hAnsi="Arial" w:cs="Arial"/>
            <w:b/>
            <w:bCs/>
            <w:i/>
            <w:color w:val="0077CC"/>
            <w:kern w:val="32"/>
            <w:sz w:val="28"/>
            <w:szCs w:val="32"/>
            <w:u w:val="single"/>
          </w:rPr>
          <w:t>MPJI-Cr 4:07.7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ABUSE OF A VULNERABLE ADULT--FIRST DEGREE NEGLECT</w:t>
      </w:r>
    </w:p>
    <w:p w:rsidR="004729FB" w:rsidRDefault="004729FB" w:rsidP="004729FB">
      <w:pPr>
        <w:keepNext/>
        <w:spacing w:before="240" w:line="340" w:lineRule="atLeast"/>
      </w:pPr>
      <w:r>
        <w:br/>
      </w:r>
      <w:r>
        <w:rPr>
          <w:rFonts w:ascii="Arial" w:eastAsia="Arial" w:hAnsi="Arial" w:cs="Arial"/>
          <w:b/>
          <w:color w:val="000000"/>
          <w:sz w:val="28"/>
        </w:rPr>
        <w:t>4:07.7Abuse of a Vulnerable Adult--First Degree Neglect</w:t>
      </w:r>
    </w:p>
    <w:p w:rsidR="004729FB" w:rsidRDefault="004729FB" w:rsidP="004729FB">
      <w:pPr>
        <w:spacing w:line="60" w:lineRule="exact"/>
      </w:pPr>
      <w:r>
        <w:pict>
          <v:line id="_x0000_s1129" style="position:absolute;z-index:25174528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also is charged with the crime of first degree neglect of a vulnerable adult. In order to convict the defendant, the State must prove all of the elements of second degree neglect of a vulnerable adult, and also must prove that the neglect [resulted in the death of (</w:t>
      </w:r>
      <w:r>
        <w:rPr>
          <w:rFonts w:ascii="Arial" w:eastAsia="Arial" w:hAnsi="Arial" w:cs="Arial"/>
          <w:b/>
          <w:color w:val="000000"/>
          <w:sz w:val="20"/>
          <w:u w:val="single"/>
        </w:rPr>
        <w:t>name</w:t>
      </w:r>
      <w:r>
        <w:rPr>
          <w:rFonts w:ascii="Arial" w:eastAsia="Arial" w:hAnsi="Arial" w:cs="Arial"/>
          <w:b/>
          <w:color w:val="000000"/>
          <w:sz w:val="20"/>
        </w:rPr>
        <w:t>)] [caused serious physical injury to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["Serious physical injury" means physical injury that (1) creates a substantial risk of death; (2) causes permanent or protracted serious disfigurement; or (3) causes loss or impairment of a member or organ of the body or its ability to function properly.]</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4:07.6 (Abuse of a Vulnerable Adult--Second Degree Neglect); MPJI-Cr 4:07.4 (Abuse of a Vulnerable Adult--First Degree Physical Abuse).</w:t>
            </w:r>
          </w:p>
          <w:p w:rsidR="004729FB" w:rsidRDefault="004729FB" w:rsidP="00713DA5">
            <w:pPr>
              <w:spacing w:before="200" w:line="260" w:lineRule="atLeast"/>
              <w:ind w:left="60" w:right="360"/>
              <w:jc w:val="both"/>
            </w:pPr>
            <w:r>
              <w:rPr>
                <w:rFonts w:ascii="Arial" w:eastAsia="Arial" w:hAnsi="Arial" w:cs="Arial"/>
                <w:color w:val="000000"/>
                <w:sz w:val="20"/>
              </w:rPr>
              <w:t xml:space="preserve">Second degree neglect of a vulnerable adult is elevated to first degree if a caregiver, parent, other person who had permanent or temporary care, custody, or responsibility for the supervision of a vulnerable adult, family member, or household member caused neglect of a vulnerable adult that: (1) resulted in the death of the vulnerable adult; (2) caused serious physical injury to the vulnerable adult; or (3) involved sexual abuse of the vulnerable adult. </w:t>
            </w:r>
            <w:r>
              <w:rPr>
                <w:rFonts w:ascii="Arial" w:eastAsia="Arial" w:hAnsi="Arial" w:cs="Arial"/>
                <w:i/>
                <w:color w:val="000000"/>
                <w:sz w:val="20"/>
              </w:rPr>
              <w:t>See</w:t>
            </w:r>
            <w:r>
              <w:rPr>
                <w:rFonts w:ascii="Arial" w:eastAsia="Arial" w:hAnsi="Arial" w:cs="Arial"/>
                <w:color w:val="000000"/>
                <w:sz w:val="20"/>
              </w:rPr>
              <w:t xml:space="preserve"> CRIM. LAW I § 3-604(b). It is the existence of these three disjunctive aggravating circumstances that distinguishes first degree abuse of a vulnerable adult from second degree abuse of a vulnerable adult.</w:t>
            </w:r>
          </w:p>
          <w:p w:rsidR="004729FB" w:rsidRDefault="004729FB" w:rsidP="00713DA5">
            <w:pPr>
              <w:spacing w:before="200" w:line="260" w:lineRule="atLeast"/>
              <w:ind w:left="60" w:right="360"/>
              <w:jc w:val="both"/>
            </w:pPr>
            <w:r>
              <w:rPr>
                <w:rFonts w:ascii="Arial" w:eastAsia="Arial" w:hAnsi="Arial" w:cs="Arial"/>
                <w:color w:val="000000"/>
                <w:sz w:val="20"/>
              </w:rPr>
              <w:t xml:space="preserve">As defined by statute, "neglect" means the intentional failure to provide necessary assistance and resources for the physical needs of a vulnerable adult, including food, clothing, toileting, essential medical treatment, shelter, or supervision. CRIM. LAW I § 3-604(a)(7)(i). "Neglect" does not include the provision of nonmedical remedial care and treatment for the healing of injury or disease that is: (1) given with the consent of the vulnerable adult; and (2) recognized by State law in place of medical treatment. </w:t>
            </w:r>
            <w:r>
              <w:rPr>
                <w:rFonts w:ascii="Arial" w:eastAsia="Arial" w:hAnsi="Arial" w:cs="Arial"/>
                <w:i/>
                <w:color w:val="000000"/>
                <w:sz w:val="20"/>
              </w:rPr>
              <w:t>Id.</w:t>
            </w:r>
            <w:r>
              <w:rPr>
                <w:rFonts w:ascii="Arial" w:eastAsia="Arial" w:hAnsi="Arial" w:cs="Arial"/>
                <w:color w:val="000000"/>
                <w:sz w:val="20"/>
              </w:rPr>
              <w:t xml:space="preserve"> § 3-604(a)(7)(ii).</w:t>
            </w:r>
          </w:p>
          <w:p w:rsidR="004729FB" w:rsidRDefault="004729FB" w:rsidP="00713DA5">
            <w:pPr>
              <w:spacing w:before="200" w:line="260" w:lineRule="atLeast"/>
              <w:ind w:left="60" w:right="360"/>
              <w:jc w:val="both"/>
            </w:pPr>
            <w:r>
              <w:rPr>
                <w:rFonts w:ascii="Arial" w:eastAsia="Arial" w:hAnsi="Arial" w:cs="Arial"/>
                <w:color w:val="000000"/>
                <w:sz w:val="20"/>
              </w:rPr>
              <w:t xml:space="preserve">"Caregiver" is defined by statute as "a person under a duty to care for a vulnerable adult because of a contractual undertaking to provide care." </w:t>
            </w:r>
            <w:r>
              <w:rPr>
                <w:rFonts w:ascii="Arial" w:eastAsia="Arial" w:hAnsi="Arial" w:cs="Arial"/>
                <w:i/>
                <w:color w:val="000000"/>
                <w:sz w:val="20"/>
              </w:rPr>
              <w:t>Id.</w:t>
            </w:r>
            <w:r>
              <w:rPr>
                <w:rFonts w:ascii="Arial" w:eastAsia="Arial" w:hAnsi="Arial" w:cs="Arial"/>
                <w:color w:val="000000"/>
                <w:sz w:val="20"/>
              </w:rPr>
              <w:t xml:space="preserve"> § 3-604(a)(3).</w:t>
            </w:r>
          </w:p>
          <w:p w:rsidR="004729FB" w:rsidRDefault="004729FB" w:rsidP="00713DA5">
            <w:pPr>
              <w:spacing w:before="200" w:line="260" w:lineRule="atLeast"/>
              <w:ind w:left="60" w:right="360"/>
              <w:jc w:val="both"/>
            </w:pPr>
            <w:r>
              <w:rPr>
                <w:rFonts w:ascii="Arial" w:eastAsia="Arial" w:hAnsi="Arial" w:cs="Arial"/>
                <w:color w:val="000000"/>
                <w:sz w:val="20"/>
              </w:rPr>
              <w:t>Serious physical injury is defined by statute as follows:</w:t>
            </w:r>
          </w:p>
          <w:p w:rsidR="004729FB" w:rsidRDefault="004729FB" w:rsidP="00713DA5">
            <w:pPr>
              <w:spacing w:before="60" w:line="260" w:lineRule="atLeast"/>
              <w:ind w:left="460" w:right="360"/>
              <w:jc w:val="both"/>
            </w:pPr>
            <w:r>
              <w:rPr>
                <w:rFonts w:ascii="Arial" w:eastAsia="Arial" w:hAnsi="Arial" w:cs="Arial"/>
                <w:color w:val="000000"/>
                <w:sz w:val="20"/>
              </w:rPr>
              <w:t>"Serious physical injury" means physical injury that:</w:t>
            </w:r>
          </w:p>
          <w:p w:rsidR="004729FB" w:rsidRDefault="004729FB" w:rsidP="00713DA5">
            <w:pPr>
              <w:spacing w:before="60" w:line="260" w:lineRule="atLeast"/>
              <w:ind w:left="860" w:right="360"/>
              <w:jc w:val="both"/>
            </w:pPr>
            <w:r>
              <w:rPr>
                <w:rFonts w:ascii="Arial" w:eastAsia="Arial" w:hAnsi="Arial" w:cs="Arial"/>
                <w:color w:val="000000"/>
                <w:sz w:val="20"/>
              </w:rPr>
              <w:t>(i) creates a substantial risk of death; or</w:t>
            </w:r>
          </w:p>
          <w:p w:rsidR="004729FB" w:rsidRDefault="004729FB" w:rsidP="00713DA5">
            <w:pPr>
              <w:spacing w:before="60" w:line="260" w:lineRule="atLeast"/>
              <w:ind w:left="860" w:right="360"/>
              <w:jc w:val="both"/>
            </w:pPr>
            <w:r>
              <w:rPr>
                <w:rFonts w:ascii="Arial" w:eastAsia="Arial" w:hAnsi="Arial" w:cs="Arial"/>
                <w:color w:val="000000"/>
                <w:sz w:val="20"/>
              </w:rPr>
              <w:lastRenderedPageBreak/>
              <w:t>(ii) causes permanent or protracted serious:</w:t>
            </w:r>
          </w:p>
          <w:p w:rsidR="004729FB" w:rsidRDefault="004729FB" w:rsidP="00713DA5">
            <w:pPr>
              <w:spacing w:before="60" w:line="260" w:lineRule="atLeast"/>
              <w:ind w:left="860" w:right="360"/>
              <w:jc w:val="both"/>
            </w:pPr>
            <w:r>
              <w:rPr>
                <w:rFonts w:ascii="Arial" w:eastAsia="Arial" w:hAnsi="Arial" w:cs="Arial"/>
                <w:color w:val="000000"/>
                <w:sz w:val="20"/>
              </w:rPr>
              <w:t>1. disfigurement;</w:t>
            </w:r>
          </w:p>
          <w:p w:rsidR="004729FB" w:rsidRDefault="004729FB" w:rsidP="00713DA5">
            <w:pPr>
              <w:spacing w:before="60" w:line="260" w:lineRule="atLeast"/>
              <w:ind w:left="860" w:right="360"/>
              <w:jc w:val="both"/>
            </w:pPr>
            <w:r>
              <w:rPr>
                <w:rFonts w:ascii="Arial" w:eastAsia="Arial" w:hAnsi="Arial" w:cs="Arial"/>
                <w:color w:val="000000"/>
                <w:sz w:val="20"/>
              </w:rPr>
              <w:t>2. loss of the function of any bodily member or organ; or</w:t>
            </w:r>
          </w:p>
          <w:p w:rsidR="004729FB" w:rsidRDefault="004729FB" w:rsidP="00713DA5">
            <w:pPr>
              <w:spacing w:before="60" w:line="260" w:lineRule="atLeast"/>
              <w:ind w:left="860" w:right="360"/>
              <w:jc w:val="both"/>
            </w:pPr>
            <w:r>
              <w:rPr>
                <w:rFonts w:ascii="Arial" w:eastAsia="Arial" w:hAnsi="Arial" w:cs="Arial"/>
                <w:color w:val="000000"/>
                <w:sz w:val="20"/>
              </w:rPr>
              <w:t>3. impairment of the function of any bodily member or organ.</w:t>
            </w:r>
          </w:p>
          <w:p w:rsidR="004729FB" w:rsidRDefault="004729FB" w:rsidP="00713DA5">
            <w:pPr>
              <w:spacing w:before="20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 3-604(a)(8).</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39" style="position:absolute;left:0;text-align:left;z-index:25175552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9" name="Picture 2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30" w:history="1">
        <w:r>
          <w:rPr>
            <w:rFonts w:ascii="Arial" w:eastAsia="Arial" w:hAnsi="Arial" w:cs="Arial"/>
            <w:b/>
            <w:bCs/>
            <w:i/>
            <w:color w:val="0077CC"/>
            <w:kern w:val="32"/>
            <w:sz w:val="28"/>
            <w:szCs w:val="32"/>
            <w:u w:val="single"/>
          </w:rPr>
          <w:t>MPJI-Cr 4:07.8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ABUSE OF A VULNERABLE ADULT--FINANCIAL EXPLOITATION</w:t>
      </w:r>
    </w:p>
    <w:p w:rsidR="004729FB" w:rsidRDefault="004729FB" w:rsidP="004729FB">
      <w:pPr>
        <w:keepNext/>
        <w:spacing w:before="240" w:line="340" w:lineRule="atLeast"/>
      </w:pPr>
      <w:r>
        <w:br/>
      </w:r>
      <w:r>
        <w:rPr>
          <w:rFonts w:ascii="Arial" w:eastAsia="Arial" w:hAnsi="Arial" w:cs="Arial"/>
          <w:b/>
          <w:color w:val="000000"/>
          <w:sz w:val="28"/>
        </w:rPr>
        <w:t>4:07.8Abuse of a Vulnerable Adult--Financial Exploitation</w:t>
      </w:r>
    </w:p>
    <w:p w:rsidR="004729FB" w:rsidRDefault="004729FB" w:rsidP="004729FB">
      <w:pPr>
        <w:spacing w:line="60" w:lineRule="exact"/>
      </w:pPr>
      <w:r>
        <w:pict>
          <v:line id="_x0000_s1130" style="position:absolute;z-index:25174630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exploitation of a [vulnerable adult] [an adult 68 years or older]. [[A vulnerable adult is an adult who lacks the physical or mental capacity to provide for [his] [her] daily needs.]]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and willfully obtained property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had the purpose of depriving (</w:t>
      </w:r>
      <w:r>
        <w:rPr>
          <w:rFonts w:ascii="Arial" w:eastAsia="Arial" w:hAnsi="Arial" w:cs="Arial"/>
          <w:b/>
          <w:color w:val="000000"/>
          <w:sz w:val="20"/>
          <w:u w:val="single"/>
        </w:rPr>
        <w:t>name</w:t>
      </w:r>
      <w:r>
        <w:rPr>
          <w:rFonts w:ascii="Arial" w:eastAsia="Arial" w:hAnsi="Arial" w:cs="Arial"/>
          <w:b/>
          <w:color w:val="000000"/>
          <w:sz w:val="20"/>
        </w:rPr>
        <w:t>) of the property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did so by [deception] [intimidation] [undue influence]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at the time of the defendant's conduct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t>
      </w:r>
      <w:r>
        <w:rPr>
          <w:rFonts w:ascii="Arial" w:eastAsia="Arial" w:hAnsi="Arial" w:cs="Arial"/>
          <w:b/>
          <w:color w:val="000000"/>
          <w:sz w:val="20"/>
          <w:u w:val="single"/>
        </w:rPr>
        <w:t>name</w:t>
      </w:r>
      <w:r>
        <w:rPr>
          <w:rFonts w:ascii="Arial" w:eastAsia="Arial" w:hAnsi="Arial" w:cs="Arial"/>
          <w:b/>
          <w:color w:val="000000"/>
          <w:sz w:val="20"/>
        </w:rPr>
        <w:t>) was [a vulnerable adult] [at least 68 years old]; [and]</w:t>
      </w:r>
    </w:p>
    <w:p w:rsidR="004729FB" w:rsidRDefault="004729FB" w:rsidP="004729FB">
      <w:pPr>
        <w:spacing w:before="200" w:line="260" w:lineRule="atLeast"/>
        <w:ind w:left="400"/>
        <w:jc w:val="both"/>
      </w:pPr>
      <w:r>
        <w:rPr>
          <w:rFonts w:ascii="Arial" w:eastAsia="Arial" w:hAnsi="Arial" w:cs="Arial"/>
          <w:b/>
          <w:color w:val="000000"/>
          <w:sz w:val="20"/>
        </w:rPr>
        <w:t>(5) that the defendant knew or reasonably should have known that (</w:t>
      </w:r>
      <w:r>
        <w:rPr>
          <w:rFonts w:ascii="Arial" w:eastAsia="Arial" w:hAnsi="Arial" w:cs="Arial"/>
          <w:b/>
          <w:color w:val="000000"/>
          <w:sz w:val="20"/>
          <w:u w:val="single"/>
        </w:rPr>
        <w:t>name</w:t>
      </w:r>
      <w:r>
        <w:rPr>
          <w:rFonts w:ascii="Arial" w:eastAsia="Arial" w:hAnsi="Arial" w:cs="Arial"/>
          <w:b/>
          <w:color w:val="000000"/>
          <w:sz w:val="20"/>
        </w:rPr>
        <w:t>) was [a vulnerable adult] [at least 68 years old] [; and] [.]</w:t>
      </w:r>
    </w:p>
    <w:p w:rsidR="004729FB" w:rsidRDefault="004729FB" w:rsidP="004729FB">
      <w:pPr>
        <w:spacing w:before="200" w:line="260" w:lineRule="atLeast"/>
        <w:ind w:left="400"/>
        <w:jc w:val="both"/>
      </w:pPr>
      <w:r>
        <w:rPr>
          <w:rFonts w:ascii="Arial" w:eastAsia="Arial" w:hAnsi="Arial" w:cs="Arial"/>
          <w:b/>
          <w:color w:val="000000"/>
          <w:sz w:val="20"/>
        </w:rPr>
        <w:t>[[(6) that the value of the property was [$ 1,000 or more] [$ 10,000 or more] [$ 100,000 or more].]]</w:t>
      </w:r>
    </w:p>
    <w:p w:rsidR="004729FB" w:rsidRDefault="004729FB" w:rsidP="004729FB">
      <w:pPr>
        <w:spacing w:before="200" w:line="260" w:lineRule="atLeast"/>
        <w:jc w:val="both"/>
      </w:pPr>
      <w:r>
        <w:rPr>
          <w:rFonts w:ascii="Arial" w:eastAsia="Arial" w:hAnsi="Arial" w:cs="Arial"/>
          <w:b/>
          <w:color w:val="000000"/>
          <w:sz w:val="20"/>
        </w:rPr>
        <w:t>["Deception" means knowingly to</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create or confirm in another a false impression that the defendant does not believe to be true, or thereafter fail to correct such a false impression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prevent another from acquiring information related to the disposition of something of value; or</w:t>
      </w:r>
    </w:p>
    <w:p w:rsidR="004729FB" w:rsidRDefault="004729FB" w:rsidP="004729FB">
      <w:pPr>
        <w:spacing w:before="200" w:line="260" w:lineRule="atLeast"/>
        <w:ind w:left="400"/>
        <w:jc w:val="both"/>
      </w:pPr>
      <w:r>
        <w:rPr>
          <w:rFonts w:ascii="Arial" w:eastAsia="Arial" w:hAnsi="Arial" w:cs="Arial"/>
          <w:b/>
          <w:color w:val="000000"/>
          <w:sz w:val="20"/>
        </w:rPr>
        <w:t>(3) promise performance the defendant does not intend to perform or knows will not be performed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Deception does not include puffing, immaterial statements, and exaggerations unlikely to deceive ordinary persons.]</w:t>
      </w:r>
    </w:p>
    <w:p w:rsidR="004729FB" w:rsidRDefault="004729FB" w:rsidP="004729FB">
      <w:pPr>
        <w:spacing w:before="200" w:line="260" w:lineRule="atLeast"/>
        <w:jc w:val="both"/>
      </w:pPr>
      <w:r>
        <w:rPr>
          <w:rFonts w:ascii="Arial" w:eastAsia="Arial" w:hAnsi="Arial" w:cs="Arial"/>
          <w:b/>
          <w:color w:val="000000"/>
          <w:sz w:val="20"/>
        </w:rPr>
        <w:t>["Property" means anything of value.]</w:t>
      </w:r>
    </w:p>
    <w:p w:rsidR="004729FB" w:rsidRDefault="004729FB" w:rsidP="004729FB">
      <w:pPr>
        <w:spacing w:before="200" w:line="260" w:lineRule="atLeast"/>
        <w:jc w:val="both"/>
      </w:pPr>
      <w:r>
        <w:rPr>
          <w:rFonts w:ascii="Arial" w:eastAsia="Arial" w:hAnsi="Arial" w:cs="Arial"/>
          <w:b/>
          <w:color w:val="000000"/>
          <w:sz w:val="20"/>
        </w:rPr>
        <w:t>[["Undue influence" means the exercise of domination and influence amounting to force and coercion to such an extent that a [vulnerable adult] [individual over the age of 68] was prevented from exercising free judgment and choice.]]</w:t>
      </w:r>
    </w:p>
    <w:p w:rsidR="004729FB" w:rsidRDefault="004729FB" w:rsidP="004729FB">
      <w:pPr>
        <w:spacing w:before="200" w:line="260" w:lineRule="atLeast"/>
        <w:jc w:val="both"/>
      </w:pPr>
      <w:r>
        <w:rPr>
          <w:rFonts w:ascii="Arial" w:eastAsia="Arial" w:hAnsi="Arial" w:cs="Arial"/>
          <w:b/>
          <w:color w:val="000000"/>
          <w:sz w:val="20"/>
        </w:rPr>
        <w:t>[Undue influence does not include the normal influence that one member of a family has over another member of the family.]</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431" w:history="1">
              <w:r>
                <w:rPr>
                  <w:rFonts w:ascii="Arial" w:eastAsia="Arial" w:hAnsi="Arial" w:cs="Arial"/>
                  <w:i/>
                  <w:color w:val="0077CC"/>
                  <w:sz w:val="20"/>
                  <w:u w:val="single"/>
                </w:rPr>
                <w:t>Tarray v. State, 410 Md. 594, 979 A.2d 729 (2009),</w:t>
              </w:r>
            </w:hyperlink>
            <w:r>
              <w:rPr>
                <w:rFonts w:ascii="Arial" w:eastAsia="Arial" w:hAnsi="Arial" w:cs="Arial"/>
                <w:color w:val="000000"/>
                <w:sz w:val="20"/>
              </w:rPr>
              <w:t xml:space="preserve"> the Court considered whether there was sufficient evidence to convict a live-in caretaker under § 8-801 for exploitation of a vulnerable adult and conspiracy to exploit a vulnerable adult. The Court held that the evidence was sufficient to prove "deception," but insufficient to prove "undue influence." The evidence of deception included that the caretaker opened several unauthorized bank accounts in the vulnerable adult's name and failed to pay withholding taxes from the caretaker's salary, although the caretaker had promised to do so. Then, § 8-801(a)(7)(i) defined "undue influence" as "domination and influence amounting to force and coercion exercised by another person to such an extent that a vulnerable adult was prevented from exercising free judgment and choice." (The current substantively same definition is in CRIM. LAW II § 8-801(a)(6)(i)). The Court said, "One may infer coercion from the totality of the facts and the circumstances surrounding the transfer of property." </w:t>
            </w:r>
            <w:hyperlink r:id="rId432" w:history="1">
              <w:r>
                <w:rPr>
                  <w:rFonts w:ascii="Arial" w:eastAsia="Arial" w:hAnsi="Arial" w:cs="Arial"/>
                  <w:i/>
                  <w:color w:val="0077CC"/>
                  <w:sz w:val="20"/>
                  <w:u w:val="single"/>
                </w:rPr>
                <w:t>Tarray, 410 Md. at 610, 979 A.2d at 738</w:t>
              </w:r>
            </w:hyperlink>
            <w:r>
              <w:rPr>
                <w:rFonts w:ascii="Arial" w:eastAsia="Arial" w:hAnsi="Arial" w:cs="Arial"/>
                <w:color w:val="000000"/>
                <w:sz w:val="20"/>
              </w:rPr>
              <w:t xml:space="preserve"> (citations omitted). There was evidence that the vulnerable adult had given significant salary increases to, and transferred an interest in a truck and possession of a house to the caretaker because he feared the caretaker would quit and had no ready replacement, but there was no evidence of force. The majority held that this did not amount to unlawful coercion. Three concurring judges would have found sufficient evidence of undue influence as well as of deception.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0" style="position:absolute;z-index:25175654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4:03, MPJI-Cr 4:07.4, MPJI-Cr 4:07.5, MPJI-Cr 4:07.6.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48" style="position:absolute;left:0;text-align:left;z-index:25176473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8" name="Picture 2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39" w:history="1">
        <w:r>
          <w:rPr>
            <w:rFonts w:ascii="Arial" w:eastAsia="Arial" w:hAnsi="Arial" w:cs="Arial"/>
            <w:b/>
            <w:bCs/>
            <w:i/>
            <w:color w:val="0077CC"/>
            <w:kern w:val="32"/>
            <w:sz w:val="28"/>
            <w:szCs w:val="32"/>
            <w:u w:val="single"/>
          </w:rPr>
          <w:t>MPJI-Cr 4:08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CONSPIRACY</w:t>
      </w:r>
    </w:p>
    <w:p w:rsidR="004729FB" w:rsidRDefault="004729FB" w:rsidP="004729FB">
      <w:pPr>
        <w:keepNext/>
        <w:spacing w:before="240" w:line="340" w:lineRule="atLeast"/>
      </w:pPr>
      <w:r>
        <w:br/>
      </w:r>
      <w:r>
        <w:rPr>
          <w:rFonts w:ascii="Arial" w:eastAsia="Arial" w:hAnsi="Arial" w:cs="Arial"/>
          <w:b/>
          <w:color w:val="000000"/>
          <w:sz w:val="28"/>
        </w:rPr>
        <w:t>4:08Conspiracy</w:t>
      </w:r>
    </w:p>
    <w:p w:rsidR="004729FB" w:rsidRDefault="004729FB" w:rsidP="004729FB">
      <w:pPr>
        <w:spacing w:line="60" w:lineRule="exact"/>
      </w:pPr>
      <w:r>
        <w:pict>
          <v:line id="_x0000_s1131" style="position:absolute;z-index:25174732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defendant[s] is [are] charged with the crime of conspiracy to commit the crime[s] of (</w:t>
      </w:r>
      <w:r>
        <w:rPr>
          <w:rFonts w:ascii="Arial" w:eastAsia="Arial" w:hAnsi="Arial" w:cs="Arial"/>
          <w:b/>
          <w:color w:val="000000"/>
          <w:sz w:val="20"/>
          <w:u w:val="single"/>
        </w:rPr>
        <w:t>crime(s) to which conspired</w:t>
      </w:r>
      <w:r>
        <w:rPr>
          <w:rFonts w:ascii="Arial" w:eastAsia="Arial" w:hAnsi="Arial" w:cs="Arial"/>
          <w:b/>
          <w:color w:val="000000"/>
          <w:sz w:val="20"/>
        </w:rPr>
        <w:t>). Conspiracy is an agreement between two or more persons to commit a crime. In order to convict the defendant[s] of conspiracy,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defendant[s] agreed with at least one other person to commit the crime[s] of (</w:t>
      </w:r>
      <w:r>
        <w:rPr>
          <w:rFonts w:ascii="Arial" w:eastAsia="Arial" w:hAnsi="Arial" w:cs="Arial"/>
          <w:b/>
          <w:color w:val="000000"/>
          <w:sz w:val="20"/>
          <w:u w:val="single"/>
        </w:rPr>
        <w:t>crime(s) to which conspired</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defendant[s] entered into the agreement with the intent that the crime[s] of (</w:t>
      </w:r>
      <w:r>
        <w:rPr>
          <w:rFonts w:ascii="Arial" w:eastAsia="Arial" w:hAnsi="Arial" w:cs="Arial"/>
          <w:b/>
          <w:color w:val="000000"/>
          <w:sz w:val="20"/>
          <w:u w:val="single"/>
        </w:rPr>
        <w:t>crime(s) to which conspired</w:t>
      </w:r>
      <w:r>
        <w:rPr>
          <w:rFonts w:ascii="Arial" w:eastAsia="Arial" w:hAnsi="Arial" w:cs="Arial"/>
          <w:b/>
          <w:color w:val="000000"/>
          <w:sz w:val="20"/>
        </w:rPr>
        <w:t>) be committed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Conspiracy is a common law misdemeanor with a statutory penalty. MD. CODE ANN., CRIMINAL LAW I § 1-202 (2012 &amp; Supp. 2018); </w:t>
            </w:r>
            <w:hyperlink r:id="rId440" w:history="1">
              <w:r>
                <w:rPr>
                  <w:rFonts w:ascii="Arial" w:eastAsia="Arial" w:hAnsi="Arial" w:cs="Arial"/>
                  <w:i/>
                  <w:color w:val="0077CC"/>
                  <w:sz w:val="20"/>
                  <w:u w:val="single"/>
                </w:rPr>
                <w:t>Jones v. State, 8 Md. App. 370, 259 A.2d 807 (1969).</w:t>
              </w:r>
            </w:hyperlink>
            <w:r>
              <w:rPr>
                <w:rFonts w:ascii="Arial" w:eastAsia="Arial" w:hAnsi="Arial" w:cs="Arial"/>
                <w:color w:val="000000"/>
                <w:sz w:val="20"/>
              </w:rPr>
              <w:t xml:space="preserve"> Conspiracy is an agreement between two or more individuals, with a specific intent to accomplish an unlawful consequence or a lawful consequence by unlawful means. </w:t>
            </w:r>
            <w:r>
              <w:rPr>
                <w:rFonts w:ascii="Arial" w:eastAsia="Arial" w:hAnsi="Arial" w:cs="Arial"/>
                <w:i/>
                <w:color w:val="000000"/>
                <w:sz w:val="20"/>
              </w:rPr>
              <w:t xml:space="preserve">See </w:t>
            </w:r>
            <w:hyperlink r:id="rId441" w:history="1">
              <w:r>
                <w:rPr>
                  <w:rFonts w:ascii="Arial" w:eastAsia="Arial" w:hAnsi="Arial" w:cs="Arial"/>
                  <w:i/>
                  <w:color w:val="0077CC"/>
                  <w:sz w:val="20"/>
                  <w:u w:val="single"/>
                </w:rPr>
                <w:t>Townes v. State, 314 Md. 71, 75, 548 A.2d 832, 834 (1988)</w:t>
              </w:r>
            </w:hyperlink>
            <w:r>
              <w:rPr>
                <w:rFonts w:ascii="Arial" w:eastAsia="Arial" w:hAnsi="Arial" w:cs="Arial"/>
                <w:color w:val="000000"/>
                <w:sz w:val="20"/>
              </w:rPr>
              <w:t xml:space="preserve"> (recognizing the crime of conspiracy to commit attempt); </w:t>
            </w:r>
            <w:r>
              <w:rPr>
                <w:rFonts w:ascii="Arial" w:eastAsia="Arial" w:hAnsi="Arial" w:cs="Arial"/>
                <w:i/>
                <w:color w:val="000000"/>
                <w:sz w:val="20"/>
              </w:rPr>
              <w:t xml:space="preserve">see also </w:t>
            </w:r>
            <w:hyperlink r:id="rId442" w:history="1">
              <w:r>
                <w:rPr>
                  <w:rFonts w:ascii="Arial" w:eastAsia="Arial" w:hAnsi="Arial" w:cs="Arial"/>
                  <w:i/>
                  <w:color w:val="0077CC"/>
                  <w:sz w:val="20"/>
                  <w:u w:val="single"/>
                </w:rPr>
                <w:t>Murray v. State, 89 Md. App. 626, 633-34, 599 A.2d 465, 468-69 (1991)</w:t>
              </w:r>
            </w:hyperlink>
            <w:r>
              <w:rPr>
                <w:rFonts w:ascii="Arial" w:eastAsia="Arial" w:hAnsi="Arial" w:cs="Arial"/>
                <w:color w:val="000000"/>
                <w:sz w:val="20"/>
              </w:rPr>
              <w:t xml:space="preserve"> (noting that the State is required only to present facts that would allow the fact finder to infer a tacit agreement); </w:t>
            </w:r>
            <w:hyperlink r:id="rId443" w:history="1">
              <w:r>
                <w:rPr>
                  <w:rFonts w:ascii="Arial" w:eastAsia="Arial" w:hAnsi="Arial" w:cs="Arial"/>
                  <w:i/>
                  <w:color w:val="0077CC"/>
                  <w:sz w:val="20"/>
                  <w:u w:val="single"/>
                </w:rPr>
                <w:t>Vandegrift v. State, 82 Md. App. 617, 640, 573 A.2d 56, 67</w:t>
              </w:r>
            </w:hyperlink>
            <w:r>
              <w:rPr>
                <w:rFonts w:ascii="Arial" w:eastAsia="Arial" w:hAnsi="Arial" w:cs="Arial"/>
                <w:color w:val="000000"/>
                <w:sz w:val="20"/>
              </w:rPr>
              <w:t xml:space="preserve"> (same),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320 Md. 801, 580 A.2d 219 (1990);</w:t>
            </w:r>
            <w:r>
              <w:rPr>
                <w:rFonts w:ascii="Arial" w:eastAsia="Arial" w:hAnsi="Arial" w:cs="Arial"/>
                <w:color w:val="000000"/>
                <w:sz w:val="20"/>
              </w:rPr>
              <w:t xml:space="preserve"> </w:t>
            </w:r>
            <w:hyperlink r:id="rId444" w:history="1">
              <w:r>
                <w:rPr>
                  <w:rFonts w:ascii="Arial" w:eastAsia="Arial" w:hAnsi="Arial" w:cs="Arial"/>
                  <w:i/>
                  <w:color w:val="0077CC"/>
                  <w:sz w:val="20"/>
                  <w:u w:val="single"/>
                </w:rPr>
                <w:t>Schrader v. State, 69 Md. App. 377, 394-95, 517 A.2d 1139, 1149 (1986)</w:t>
              </w:r>
            </w:hyperlink>
            <w:r>
              <w:rPr>
                <w:rFonts w:ascii="Arial" w:eastAsia="Arial" w:hAnsi="Arial" w:cs="Arial"/>
                <w:color w:val="000000"/>
                <w:sz w:val="20"/>
              </w:rPr>
              <w:t xml:space="preserve"> (same),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309 Md. 326, 523 A.2d 1014 (1987).</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9.00-9.08, at 550-86 (7th ed. 1967); RICHARD P. GILBERT &amp; CHARLES E. MOYLAN, JR., MARYLAND CRIMINAL LAW: PRACTICE &amp; PROCEDURE §§ 18 </w:t>
            </w:r>
            <w:r>
              <w:rPr>
                <w:rFonts w:ascii="Arial" w:eastAsia="Arial" w:hAnsi="Arial" w:cs="Arial"/>
                <w:i/>
                <w:color w:val="000000"/>
                <w:sz w:val="20"/>
              </w:rPr>
              <w:t>et seq.</w:t>
            </w:r>
            <w:r>
              <w:rPr>
                <w:rFonts w:ascii="Arial" w:eastAsia="Arial" w:hAnsi="Arial" w:cs="Arial"/>
                <w:color w:val="000000"/>
                <w:sz w:val="20"/>
              </w:rPr>
              <w:t>, at 195-201 (1983 &amp; Supp. 1990); WAYNE R. LAFAVE, CRIMINAL LAW §§ 12.1-12.4, at 648-99 (5th ed. 2010); ROLLIN M. PERKINS &amp; RONALD N. BOYCE, CRIMINAL LAW 680-715 (3d ed. 1982).</w:t>
            </w:r>
          </w:p>
          <w:p w:rsidR="004729FB" w:rsidRDefault="004729FB" w:rsidP="00713DA5">
            <w:pPr>
              <w:spacing w:before="200" w:line="260" w:lineRule="atLeast"/>
              <w:ind w:left="60" w:right="360"/>
              <w:jc w:val="both"/>
            </w:pPr>
            <w:r>
              <w:rPr>
                <w:rFonts w:ascii="Arial" w:eastAsia="Arial" w:hAnsi="Arial" w:cs="Arial"/>
                <w:color w:val="000000"/>
                <w:sz w:val="20"/>
              </w:rPr>
              <w:t>The instruction does not include the language that "a conspiracy may be an agreement to accomplish a lawful act by unlawful means." The Committee believes that this occurs too infrequently to include in the usual instruction.</w:t>
            </w:r>
          </w:p>
          <w:p w:rsidR="004729FB" w:rsidRDefault="004729FB" w:rsidP="00713DA5">
            <w:pPr>
              <w:spacing w:before="240" w:line="260" w:lineRule="atLeast"/>
              <w:ind w:left="60" w:right="360"/>
              <w:jc w:val="both"/>
            </w:pPr>
            <w:r>
              <w:rPr>
                <w:rFonts w:ascii="Arial" w:eastAsia="Arial" w:hAnsi="Arial" w:cs="Arial"/>
                <w:color w:val="000000"/>
                <w:sz w:val="20"/>
              </w:rPr>
              <w:t xml:space="preserve">"[T]o charge conspiracy, a charging document must allege both the fact of the conspiracy and its object." </w:t>
            </w:r>
            <w:hyperlink r:id="rId445" w:history="1">
              <w:r>
                <w:rPr>
                  <w:rFonts w:ascii="Arial" w:eastAsia="Arial" w:hAnsi="Arial" w:cs="Arial"/>
                  <w:i/>
                  <w:color w:val="0077CC"/>
                  <w:sz w:val="20"/>
                  <w:u w:val="single"/>
                </w:rPr>
                <w:t>Campbell v. State, 325 Md. 488, 496, 601 A.2d 667, 671 (1992).</w:t>
              </w:r>
            </w:hyperlink>
            <w:r>
              <w:rPr>
                <w:rFonts w:ascii="Arial" w:eastAsia="Arial" w:hAnsi="Arial" w:cs="Arial"/>
                <w:color w:val="000000"/>
                <w:sz w:val="20"/>
              </w:rPr>
              <w:t xml:space="preserve"> However, the means by which the conspiracy was intended to be accomplished need not be set forth because a conspiracy count does not </w:t>
            </w:r>
            <w:r>
              <w:rPr>
                <w:rFonts w:ascii="Arial" w:eastAsia="Arial" w:hAnsi="Arial" w:cs="Arial"/>
                <w:color w:val="000000"/>
                <w:sz w:val="20"/>
              </w:rPr>
              <w:lastRenderedPageBreak/>
              <w:t xml:space="preserve">require the degree of particularity required for the substantive offense. If the charging document alleges, as the object of the conspiracy, a category of crime, a bill of particulars can clarify the particular crime that the State alleges is the object of the conspiracy. </w:t>
            </w:r>
            <w:hyperlink r:id="rId446" w:history="1">
              <w:r>
                <w:rPr>
                  <w:rFonts w:ascii="Arial" w:eastAsia="Arial" w:hAnsi="Arial" w:cs="Arial"/>
                  <w:i/>
                  <w:color w:val="0077CC"/>
                  <w:sz w:val="20"/>
                  <w:u w:val="single"/>
                </w:rPr>
                <w:t>Id. at 499, 601 A.2d at 671-76;</w:t>
              </w:r>
            </w:hyperlink>
            <w:r>
              <w:rPr>
                <w:rFonts w:ascii="Arial" w:eastAsia="Arial" w:hAnsi="Arial" w:cs="Arial"/>
                <w:color w:val="000000"/>
                <w:sz w:val="20"/>
              </w:rPr>
              <w:t xml:space="preserve"> </w:t>
            </w:r>
            <w:r>
              <w:rPr>
                <w:rFonts w:ascii="Arial" w:eastAsia="Arial" w:hAnsi="Arial" w:cs="Arial"/>
                <w:i/>
                <w:color w:val="000000"/>
                <w:sz w:val="20"/>
              </w:rPr>
              <w:t xml:space="preserve">see, e.g., </w:t>
            </w:r>
            <w:hyperlink r:id="rId447" w:history="1">
              <w:r>
                <w:rPr>
                  <w:rFonts w:ascii="Arial" w:eastAsia="Arial" w:hAnsi="Arial" w:cs="Arial"/>
                  <w:i/>
                  <w:color w:val="0077CC"/>
                  <w:sz w:val="20"/>
                  <w:u w:val="single"/>
                </w:rPr>
                <w:t>Winters v. State, 301 Md. 214, 482 A.2d 886 (1984)</w:t>
              </w:r>
            </w:hyperlink>
            <w:r>
              <w:rPr>
                <w:rFonts w:ascii="Arial" w:eastAsia="Arial" w:hAnsi="Arial" w:cs="Arial"/>
                <w:color w:val="000000"/>
                <w:sz w:val="20"/>
              </w:rPr>
              <w:t xml:space="preserve"> (income tax laws); </w:t>
            </w:r>
            <w:hyperlink r:id="rId448" w:history="1">
              <w:r>
                <w:rPr>
                  <w:rFonts w:ascii="Arial" w:eastAsia="Arial" w:hAnsi="Arial" w:cs="Arial"/>
                  <w:i/>
                  <w:color w:val="0077CC"/>
                  <w:sz w:val="20"/>
                  <w:u w:val="single"/>
                </w:rPr>
                <w:t>Hurwitz v. State, 200 Md. 578, 92 A.2d 575 (1952)</w:t>
              </w:r>
            </w:hyperlink>
            <w:r>
              <w:rPr>
                <w:rFonts w:ascii="Arial" w:eastAsia="Arial" w:hAnsi="Arial" w:cs="Arial"/>
                <w:color w:val="000000"/>
                <w:sz w:val="20"/>
              </w:rPr>
              <w:t xml:space="preserve"> (lottery laws); </w:t>
            </w:r>
            <w:hyperlink r:id="rId449" w:history="1">
              <w:r>
                <w:rPr>
                  <w:rFonts w:ascii="Arial" w:eastAsia="Arial" w:hAnsi="Arial" w:cs="Arial"/>
                  <w:i/>
                  <w:color w:val="0077CC"/>
                  <w:sz w:val="20"/>
                  <w:u w:val="single"/>
                </w:rPr>
                <w:t>Quaglione v. State, 15 Md. App. 571, 292 A.2d 785 (1972)</w:t>
              </w:r>
            </w:hyperlink>
            <w:r>
              <w:rPr>
                <w:rFonts w:ascii="Arial" w:eastAsia="Arial" w:hAnsi="Arial" w:cs="Arial"/>
                <w:color w:val="000000"/>
                <w:sz w:val="20"/>
              </w:rPr>
              <w:t xml:space="preserve"> (narcotic laws).</w:t>
            </w:r>
          </w:p>
          <w:p w:rsidR="004729FB" w:rsidRDefault="004729FB" w:rsidP="00713DA5">
            <w:pPr>
              <w:spacing w:before="240" w:line="260" w:lineRule="atLeast"/>
              <w:ind w:left="60" w:right="360"/>
              <w:jc w:val="both"/>
            </w:pPr>
            <w:r>
              <w:rPr>
                <w:rFonts w:ascii="Arial" w:eastAsia="Arial" w:hAnsi="Arial" w:cs="Arial"/>
                <w:color w:val="000000"/>
                <w:sz w:val="20"/>
              </w:rPr>
              <w:t xml:space="preserve">All conspiracies require a specific intent to commit the crime, regardless of the intent required for the crime to which conspired. The criminal act of this inchoate crime is the illegal agreement. "Conspiracy is necessarily a specific intent crime; there must exist the specific intent to join with another person in the accomplishment of an unlawful purpose or a lawful purpose by unlawful means." </w:t>
            </w:r>
            <w:hyperlink r:id="rId450" w:history="1">
              <w:r>
                <w:rPr>
                  <w:rFonts w:ascii="Arial" w:eastAsia="Arial" w:hAnsi="Arial" w:cs="Arial"/>
                  <w:i/>
                  <w:color w:val="0077CC"/>
                  <w:sz w:val="20"/>
                  <w:u w:val="single"/>
                </w:rPr>
                <w:t>Mitchell v. State, 363 Md. 130, 146, 767 A.2d 844, 853 (2001).</w:t>
              </w:r>
            </w:hyperlink>
            <w:r>
              <w:rPr>
                <w:rFonts w:ascii="Arial" w:eastAsia="Arial" w:hAnsi="Arial" w:cs="Arial"/>
                <w:color w:val="000000"/>
                <w:sz w:val="20"/>
              </w:rPr>
              <w:t xml:space="preserve"> "When the object of the conspiracy is the commission of another crime, as in conspiracy to commit murder, the specific intent required for the conspiracy is not only the intent required for the agreement but also, pursuant to that agreement, the intent to assist in some way in causing that crime to be committed." </w:t>
            </w:r>
            <w:r>
              <w:rPr>
                <w:rFonts w:ascii="Arial" w:eastAsia="Arial" w:hAnsi="Arial" w:cs="Arial"/>
                <w:i/>
                <w:color w:val="000000"/>
                <w:sz w:val="20"/>
              </w:rPr>
              <w:t>Id.</w:t>
            </w:r>
            <w:r>
              <w:rPr>
                <w:rFonts w:ascii="Arial" w:eastAsia="Arial" w:hAnsi="Arial" w:cs="Arial"/>
                <w:color w:val="000000"/>
                <w:sz w:val="20"/>
              </w:rPr>
              <w:t xml:space="preserve"> This requirement precludes conspiracies for some crimes. </w:t>
            </w:r>
            <w:r>
              <w:rPr>
                <w:rFonts w:ascii="Arial" w:eastAsia="Arial" w:hAnsi="Arial" w:cs="Arial"/>
                <w:i/>
                <w:color w:val="000000"/>
                <w:sz w:val="20"/>
              </w:rPr>
              <w:t xml:space="preserve">See, e.g., </w:t>
            </w:r>
            <w:hyperlink r:id="rId451" w:history="1">
              <w:r>
                <w:rPr>
                  <w:rFonts w:ascii="Arial" w:eastAsia="Arial" w:hAnsi="Arial" w:cs="Arial"/>
                  <w:i/>
                  <w:color w:val="0077CC"/>
                  <w:sz w:val="20"/>
                  <w:u w:val="single"/>
                </w:rPr>
                <w:t>Alston v. State, 414 Md. 92, 118, 994 A.2d 896, 911 (2010)</w:t>
              </w:r>
            </w:hyperlink>
            <w:r>
              <w:rPr>
                <w:rFonts w:ascii="Arial" w:eastAsia="Arial" w:hAnsi="Arial" w:cs="Arial"/>
                <w:color w:val="000000"/>
                <w:sz w:val="20"/>
              </w:rPr>
              <w:t xml:space="preserve"> (holding that there can be no conspiracy to commit second degree murder based upon the intent to inflict grievous bodily injury since there is no shared specific intent to kill).</w:t>
            </w:r>
          </w:p>
          <w:p w:rsidR="004729FB" w:rsidRDefault="004729FB" w:rsidP="00713DA5">
            <w:pPr>
              <w:spacing w:before="200" w:line="260" w:lineRule="atLeast"/>
              <w:ind w:left="60" w:right="360"/>
              <w:jc w:val="both"/>
            </w:pPr>
            <w:r>
              <w:rPr>
                <w:rFonts w:ascii="Arial" w:eastAsia="Arial" w:hAnsi="Arial" w:cs="Arial"/>
                <w:color w:val="000000"/>
                <w:sz w:val="20"/>
              </w:rPr>
              <w:t xml:space="preserve">It is not necessary that a formal agreement be shown nor that it be manifested by formal words, either written or spoken. </w:t>
            </w:r>
            <w:hyperlink r:id="rId452" w:history="1">
              <w:r>
                <w:rPr>
                  <w:rFonts w:ascii="Arial" w:eastAsia="Arial" w:hAnsi="Arial" w:cs="Arial"/>
                  <w:i/>
                  <w:color w:val="0077CC"/>
                  <w:sz w:val="20"/>
                  <w:u w:val="single"/>
                </w:rPr>
                <w:t>Townes, 314 Md. at 75, 578 A.2d at 834.</w:t>
              </w:r>
            </w:hyperlink>
            <w:r>
              <w:rPr>
                <w:rFonts w:ascii="Arial" w:eastAsia="Arial" w:hAnsi="Arial" w:cs="Arial"/>
                <w:color w:val="000000"/>
                <w:sz w:val="20"/>
              </w:rPr>
              <w:t xml:space="preserve"> An agreement exists if the parties to a conspiracy tacitly come to an understanding with regard to an unlawful act or purpose. </w:t>
            </w:r>
            <w:hyperlink r:id="rId453" w:history="1">
              <w:r>
                <w:rPr>
                  <w:rFonts w:ascii="Arial" w:eastAsia="Arial" w:hAnsi="Arial" w:cs="Arial"/>
                  <w:i/>
                  <w:color w:val="0077CC"/>
                  <w:sz w:val="20"/>
                  <w:u w:val="single"/>
                </w:rPr>
                <w:t>Jones, 8 Md. App. at 377, 259 A.2d at 812.</w:t>
              </w:r>
            </w:hyperlink>
            <w:r>
              <w:rPr>
                <w:rFonts w:ascii="Arial" w:eastAsia="Arial" w:hAnsi="Arial" w:cs="Arial"/>
                <w:color w:val="000000"/>
                <w:sz w:val="20"/>
              </w:rPr>
              <w:t xml:space="preserve"> Both the agreement and the specific intent may be inferred from the surrounding circumstances. </w:t>
            </w:r>
            <w:r>
              <w:rPr>
                <w:rFonts w:ascii="Arial" w:eastAsia="Arial" w:hAnsi="Arial" w:cs="Arial"/>
                <w:i/>
                <w:color w:val="000000"/>
                <w:sz w:val="20"/>
              </w:rPr>
              <w:t xml:space="preserve">See, e.g., </w:t>
            </w:r>
            <w:hyperlink r:id="rId454" w:history="1">
              <w:r>
                <w:rPr>
                  <w:rFonts w:ascii="Arial" w:eastAsia="Arial" w:hAnsi="Arial" w:cs="Arial"/>
                  <w:i/>
                  <w:color w:val="0077CC"/>
                  <w:sz w:val="20"/>
                  <w:u w:val="single"/>
                </w:rPr>
                <w:t>Birchead v. State, 317 Md. 691, 707-08, 566 A.2d 488, 495-96 (1989).</w:t>
              </w:r>
            </w:hyperlink>
            <w:r>
              <w:rPr>
                <w:rFonts w:ascii="Arial" w:eastAsia="Arial" w:hAnsi="Arial" w:cs="Arial"/>
                <w:color w:val="000000"/>
                <w:sz w:val="20"/>
              </w:rPr>
              <w:t xml:space="preserve"> Mere knowledge of a conspiracy does not make an individual a member of that conspiracy. </w:t>
            </w:r>
            <w:hyperlink r:id="rId455" w:history="1">
              <w:r>
                <w:rPr>
                  <w:rFonts w:ascii="Arial" w:eastAsia="Arial" w:hAnsi="Arial" w:cs="Arial"/>
                  <w:i/>
                  <w:color w:val="0077CC"/>
                  <w:sz w:val="20"/>
                  <w:u w:val="single"/>
                </w:rPr>
                <w:t>Jones, 8 Md. App. at 379-80, 259 A.2d at 813.</w:t>
              </w:r>
            </w:hyperlink>
            <w:r>
              <w:rPr>
                <w:rFonts w:ascii="Arial" w:eastAsia="Arial" w:hAnsi="Arial" w:cs="Arial"/>
                <w:color w:val="000000"/>
                <w:sz w:val="20"/>
              </w:rPr>
              <w:t xml:space="preserve"> Nor does "mere association with conspirators" make one a conspirator. </w:t>
            </w:r>
            <w:hyperlink r:id="rId456" w:history="1">
              <w:r>
                <w:rPr>
                  <w:rFonts w:ascii="Arial" w:eastAsia="Arial" w:hAnsi="Arial" w:cs="Arial"/>
                  <w:i/>
                  <w:color w:val="0077CC"/>
                  <w:sz w:val="20"/>
                  <w:u w:val="single"/>
                </w:rPr>
                <w:t>Acquah v. State, 113 Md. App. 29, 51, 686 A.2d 690, 701 (1996)</w:t>
              </w:r>
            </w:hyperlink>
            <w:r>
              <w:rPr>
                <w:rFonts w:ascii="Arial" w:eastAsia="Arial" w:hAnsi="Arial" w:cs="Arial"/>
                <w:color w:val="000000"/>
                <w:sz w:val="20"/>
              </w:rPr>
              <w:t xml:space="preserve"> (quoting </w:t>
            </w:r>
            <w:hyperlink r:id="rId457" w:history="1">
              <w:r>
                <w:rPr>
                  <w:rFonts w:ascii="Arial" w:eastAsia="Arial" w:hAnsi="Arial" w:cs="Arial"/>
                  <w:i/>
                  <w:color w:val="0077CC"/>
                  <w:sz w:val="20"/>
                  <w:u w:val="single"/>
                </w:rPr>
                <w:t>United States v. Austin, 786 F.2d 986, 988 (10th Cir. 1986));</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458" w:history="1">
              <w:r>
                <w:rPr>
                  <w:rFonts w:ascii="Arial" w:eastAsia="Arial" w:hAnsi="Arial" w:cs="Arial"/>
                  <w:i/>
                  <w:color w:val="0077CC"/>
                  <w:sz w:val="20"/>
                  <w:u w:val="single"/>
                </w:rPr>
                <w:t>Heckstall v. State, 120 Md. App. 621, 707 A.2d 953 (1998)</w:t>
              </w:r>
            </w:hyperlink>
            <w:r>
              <w:rPr>
                <w:rFonts w:ascii="Arial" w:eastAsia="Arial" w:hAnsi="Arial" w:cs="Arial"/>
                <w:color w:val="000000"/>
                <w:sz w:val="20"/>
              </w:rPr>
              <w:t xml:space="preserve"> (holding that, standing alone, a single buy-sell transaction does not support a conspiracy to distribute drugs between the buyer and the seller). There was sufficient evidence for a conspiracy conviction where the defendant "knew of the larcenies [of parking meters]," and "he had participated in planning them," "made the keys used to open the meters," and "shared in the money taken." </w:t>
            </w:r>
            <w:hyperlink r:id="rId459" w:history="1">
              <w:r>
                <w:rPr>
                  <w:rFonts w:ascii="Arial" w:eastAsia="Arial" w:hAnsi="Arial" w:cs="Arial"/>
                  <w:i/>
                  <w:color w:val="0077CC"/>
                  <w:sz w:val="20"/>
                  <w:u w:val="single"/>
                </w:rPr>
                <w:t>Bichell v. State, 222 Md. 418, 420, 161 A.2d 116, 117,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364 U.S. 872 (1960).</w:t>
            </w:r>
          </w:p>
          <w:p w:rsidR="004729FB" w:rsidRDefault="004729FB" w:rsidP="00713DA5">
            <w:pPr>
              <w:spacing w:before="240" w:line="260" w:lineRule="atLeast"/>
              <w:ind w:left="60" w:right="360"/>
              <w:jc w:val="both"/>
            </w:pPr>
            <w:r>
              <w:rPr>
                <w:rFonts w:ascii="Arial" w:eastAsia="Arial" w:hAnsi="Arial" w:cs="Arial"/>
                <w:color w:val="000000"/>
                <w:sz w:val="20"/>
              </w:rPr>
              <w:t xml:space="preserve">The plurality requirement of conspiracy is satisfied by agreement between two conspirators, although it is not necessary to prosecute or convict all co-conspirators. </w:t>
            </w:r>
            <w:hyperlink r:id="rId460" w:history="1">
              <w:r>
                <w:rPr>
                  <w:rFonts w:ascii="Arial" w:eastAsia="Arial" w:hAnsi="Arial" w:cs="Arial"/>
                  <w:i/>
                  <w:color w:val="0077CC"/>
                  <w:sz w:val="20"/>
                  <w:u w:val="single"/>
                </w:rPr>
                <w:t>Terrell v. State, 34 Md. App. 418, 422, 367 A.2d 95, 98 (1977).</w:t>
              </w:r>
            </w:hyperlink>
            <w:r>
              <w:rPr>
                <w:rFonts w:ascii="Arial" w:eastAsia="Arial" w:hAnsi="Arial" w:cs="Arial"/>
                <w:color w:val="000000"/>
                <w:sz w:val="20"/>
              </w:rPr>
              <w:t xml:space="preserve"> However, if the offense to which conspired requires two persons as a matter of law, then the concert-of-action rule, also known as the Wharton rule, requires three for the conspiracy. Related to the Wharton rule are two situations in which the underlying offense requires two persons as a matter of fact and not as a matter of law, yet the offense only prohibits the conduct of one of the parties. This includes situations in which the legislature has failed to include one of the necessary parties to the offense, e.g., the player-buyer in an illegal lottery transaction, and situations in which the legislature has expressly immunized the conduct of one of the parties, e.g., the person under the age of consent in statutory rape. These offenses require only one person as a matter of law and therefore the plurality requirement of conspiracy is satisfied by two persons. However, the necessary party not included or the party expressly excluded may not have liability for the offense and therefore may not be counted toward the plurality requirement of conspiracy. </w:t>
            </w:r>
            <w:r>
              <w:rPr>
                <w:rFonts w:ascii="Arial" w:eastAsia="Arial" w:hAnsi="Arial" w:cs="Arial"/>
                <w:i/>
                <w:color w:val="000000"/>
                <w:sz w:val="20"/>
              </w:rPr>
              <w:t xml:space="preserve">See </w:t>
            </w:r>
            <w:hyperlink r:id="rId461" w:history="1">
              <w:r>
                <w:rPr>
                  <w:rFonts w:ascii="Arial" w:eastAsia="Arial" w:hAnsi="Arial" w:cs="Arial"/>
                  <w:i/>
                  <w:color w:val="0077CC"/>
                  <w:sz w:val="20"/>
                  <w:u w:val="single"/>
                </w:rPr>
                <w:t>Robinson v. State, 229 Md. 503, 184 A.2d 814 (1962).</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If all conspirators are tried jointly, the rule of consistency provides that an acquittal as to all but one conspirator requires an acquittal as to the final conspirator. </w:t>
            </w:r>
            <w:r>
              <w:rPr>
                <w:rFonts w:ascii="Arial" w:eastAsia="Arial" w:hAnsi="Arial" w:cs="Arial"/>
                <w:i/>
                <w:color w:val="000000"/>
                <w:sz w:val="20"/>
              </w:rPr>
              <w:t xml:space="preserve">See </w:t>
            </w:r>
            <w:hyperlink r:id="rId462" w:history="1">
              <w:r>
                <w:rPr>
                  <w:rFonts w:ascii="Arial" w:eastAsia="Arial" w:hAnsi="Arial" w:cs="Arial"/>
                  <w:i/>
                  <w:color w:val="0077CC"/>
                  <w:sz w:val="20"/>
                  <w:u w:val="single"/>
                </w:rPr>
                <w:t>Gardner v. State, 286 Md. 520, 524, 408 A.2d 1317, 1319-20 (1979).</w:t>
              </w:r>
            </w:hyperlink>
            <w:r>
              <w:rPr>
                <w:rFonts w:ascii="Arial" w:eastAsia="Arial" w:hAnsi="Arial" w:cs="Arial"/>
                <w:color w:val="000000"/>
                <w:sz w:val="20"/>
              </w:rPr>
              <w:t xml:space="preserve"> However, the rule of consistency is not violated if, for example, ten conspirators are tried jointly and eight are acquitted and two are convicted. In </w:t>
            </w:r>
            <w:hyperlink r:id="rId463" w:history="1">
              <w:r>
                <w:rPr>
                  <w:rFonts w:ascii="Arial" w:eastAsia="Arial" w:hAnsi="Arial" w:cs="Arial"/>
                  <w:i/>
                  <w:color w:val="0077CC"/>
                  <w:sz w:val="20"/>
                  <w:u w:val="single"/>
                </w:rPr>
                <w:t>McMillian v. State, 325 Md. 272, 600 A.2d 430 (1992),</w:t>
              </w:r>
            </w:hyperlink>
            <w:r>
              <w:rPr>
                <w:rFonts w:ascii="Arial" w:eastAsia="Arial" w:hAnsi="Arial" w:cs="Arial"/>
                <w:color w:val="000000"/>
                <w:sz w:val="20"/>
              </w:rPr>
              <w:t xml:space="preserve"> the defendant was charged with conspiring with A, B, and certain persons unknown, and the jury found the defendant guilty but acquitted A and B. The Court of Appeals affirmed the conviction as not being </w:t>
            </w:r>
            <w:r>
              <w:rPr>
                <w:rFonts w:ascii="Arial" w:eastAsia="Arial" w:hAnsi="Arial" w:cs="Arial"/>
                <w:color w:val="000000"/>
                <w:sz w:val="20"/>
              </w:rPr>
              <w:lastRenderedPageBreak/>
              <w:t xml:space="preserve">in violation of the rule of consistency, because there was circumstantial evidence that the defendant conspired with other persons. </w:t>
            </w:r>
            <w:hyperlink r:id="rId464" w:history="1">
              <w:r>
                <w:rPr>
                  <w:rFonts w:ascii="Arial" w:eastAsia="Arial" w:hAnsi="Arial" w:cs="Arial"/>
                  <w:i/>
                  <w:color w:val="0077CC"/>
                  <w:sz w:val="20"/>
                  <w:u w:val="single"/>
                </w:rPr>
                <w:t>Id. at 292-93, 600 A.2d at 439-41.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Conspirators may be tried separately. If a conspiracy trial has only one defendant, the State must prove that a conspiracy existed between the defendant and at least one other person. If the first of two defendants tried separately for conspiracy is convicted and the second is acquitted, the verdicts stand and the rule of consistency is inapplicable. </w:t>
            </w:r>
            <w:r>
              <w:rPr>
                <w:rFonts w:ascii="Arial" w:eastAsia="Arial" w:hAnsi="Arial" w:cs="Arial"/>
                <w:i/>
                <w:color w:val="000000"/>
                <w:sz w:val="20"/>
              </w:rPr>
              <w:t>Id.</w:t>
            </w:r>
            <w:r>
              <w:rPr>
                <w:rFonts w:ascii="Arial" w:eastAsia="Arial" w:hAnsi="Arial" w:cs="Arial"/>
                <w:color w:val="000000"/>
                <w:sz w:val="20"/>
              </w:rPr>
              <w:t xml:space="preserve"> If, on the other hand, the first of two defendants tried separately for conspiracy is acquitted, that prior acquittal mandates the acquittal of the subsequently tried defendant. </w:t>
            </w:r>
            <w:hyperlink r:id="rId465" w:history="1">
              <w:r>
                <w:rPr>
                  <w:rFonts w:ascii="Arial" w:eastAsia="Arial" w:hAnsi="Arial" w:cs="Arial"/>
                  <w:i/>
                  <w:color w:val="0077CC"/>
                  <w:sz w:val="20"/>
                  <w:u w:val="single"/>
                </w:rPr>
                <w:t>Rosenberg v. State, 54 Md. App. 673, 679-80, 460 A.2d 617, 620,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466" w:history="1">
              <w:r>
                <w:rPr>
                  <w:rFonts w:ascii="Arial" w:eastAsia="Arial" w:hAnsi="Arial" w:cs="Arial"/>
                  <w:i/>
                  <w:color w:val="0077CC"/>
                  <w:sz w:val="20"/>
                  <w:u w:val="single"/>
                </w:rPr>
                <w:t>297 Md. 110 (1983);</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467" w:history="1">
              <w:r>
                <w:rPr>
                  <w:rFonts w:ascii="Arial" w:eastAsia="Arial" w:hAnsi="Arial" w:cs="Arial"/>
                  <w:i/>
                  <w:color w:val="0077CC"/>
                  <w:sz w:val="20"/>
                  <w:u w:val="single"/>
                </w:rPr>
                <w:t>Heckstall, 120 Md. App. 621, 707 A.2d 953.</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If conspirators are tried separately, the rule of consistency is inapplicable. Thus, if the first of two defendants tried separately for conspiracy is convicted or acquitted, with the opposite result in the subsequent trial, the rule of consistency is inapplicable to the co-conspirator. </w:t>
            </w:r>
            <w:hyperlink r:id="rId468" w:history="1">
              <w:r>
                <w:rPr>
                  <w:rFonts w:ascii="Arial" w:eastAsia="Arial" w:hAnsi="Arial" w:cs="Arial"/>
                  <w:i/>
                  <w:color w:val="0077CC"/>
                  <w:sz w:val="20"/>
                  <w:u w:val="single"/>
                </w:rPr>
                <w:t>State v. Johnson, 367 Md. 418, 423, 788 A.2d 628, 631 (2002)</w:t>
              </w:r>
            </w:hyperlink>
            <w:r>
              <w:rPr>
                <w:rFonts w:ascii="Arial" w:eastAsia="Arial" w:hAnsi="Arial" w:cs="Arial"/>
                <w:color w:val="000000"/>
                <w:sz w:val="20"/>
              </w:rPr>
              <w:t xml:space="preserve"> (upholding a defendant's conviction for conspiracy notwithstanding the acquittal of all of the defendant's co-conspirators in a separate trial).</w:t>
            </w:r>
          </w:p>
          <w:p w:rsidR="004729FB" w:rsidRDefault="004729FB" w:rsidP="00713DA5">
            <w:pPr>
              <w:spacing w:before="240" w:line="260" w:lineRule="atLeast"/>
              <w:ind w:left="60" w:right="360"/>
              <w:jc w:val="both"/>
            </w:pPr>
            <w:r>
              <w:rPr>
                <w:rFonts w:ascii="Arial" w:eastAsia="Arial" w:hAnsi="Arial" w:cs="Arial"/>
                <w:color w:val="000000"/>
                <w:sz w:val="20"/>
              </w:rPr>
              <w:t xml:space="preserve">A conspiracy is one illegal community of interest, i.e., one common design. One agreement is one conspiracy, regardless of the number of criminal acts to which agreed. </w:t>
            </w:r>
            <w:hyperlink r:id="rId469" w:history="1">
              <w:r>
                <w:rPr>
                  <w:rFonts w:ascii="Arial" w:eastAsia="Arial" w:hAnsi="Arial" w:cs="Arial"/>
                  <w:i/>
                  <w:color w:val="0077CC"/>
                  <w:sz w:val="20"/>
                  <w:u w:val="single"/>
                </w:rPr>
                <w:t>Jordan v. State, 323 Md. 151, 160-61, 591 A.2d 875, 879-80 (1991).</w:t>
              </w:r>
            </w:hyperlink>
            <w:r>
              <w:rPr>
                <w:rFonts w:ascii="Arial" w:eastAsia="Arial" w:hAnsi="Arial" w:cs="Arial"/>
                <w:color w:val="000000"/>
                <w:sz w:val="20"/>
              </w:rPr>
              <w:t xml:space="preserve"> Occasionally, there may be multiple communities of interest intertwined. Determining the number of conspiracies in such a situation is essential from both a substantive offense liability standpoint and from an evidentiary standpoint. All conspirators are deemed to be the agents of all other conspirators.</w:t>
            </w:r>
          </w:p>
          <w:p w:rsidR="004729FB" w:rsidRDefault="004729FB" w:rsidP="00713DA5">
            <w:pPr>
              <w:spacing w:before="240" w:line="260" w:lineRule="atLeast"/>
              <w:ind w:left="60" w:right="360"/>
              <w:jc w:val="both"/>
            </w:pPr>
            <w:r>
              <w:rPr>
                <w:rFonts w:ascii="Arial" w:eastAsia="Arial" w:hAnsi="Arial" w:cs="Arial"/>
                <w:color w:val="000000"/>
                <w:sz w:val="20"/>
              </w:rPr>
              <w:t xml:space="preserve">Consequently, from a substantive offensive standpoint, all conspirators are liable for all offenses committed by all other conspirators, if such offenses were committed with the purpose of furthering the common design and were foreseeable as a natural and probable consequence of the common design. </w:t>
            </w:r>
            <w:r>
              <w:rPr>
                <w:rFonts w:ascii="Arial" w:eastAsia="Arial" w:hAnsi="Arial" w:cs="Arial"/>
                <w:i/>
                <w:color w:val="000000"/>
                <w:sz w:val="20"/>
              </w:rPr>
              <w:t xml:space="preserve">Cf. </w:t>
            </w:r>
            <w:hyperlink r:id="rId470" w:history="1">
              <w:r>
                <w:rPr>
                  <w:rFonts w:ascii="Arial" w:eastAsia="Arial" w:hAnsi="Arial" w:cs="Arial"/>
                  <w:i/>
                  <w:color w:val="0077CC"/>
                  <w:sz w:val="20"/>
                  <w:u w:val="single"/>
                </w:rPr>
                <w:t>Sheppard v. State, 312 Md. 118, 121-23 &amp; n.3, 538 A.2d 773, 774-75 &amp; n.3 (1988)</w:t>
              </w:r>
            </w:hyperlink>
            <w:r>
              <w:rPr>
                <w:rFonts w:ascii="Arial" w:eastAsia="Arial" w:hAnsi="Arial" w:cs="Arial"/>
                <w:color w:val="000000"/>
                <w:sz w:val="20"/>
              </w:rPr>
              <w:t xml:space="preserve"> (preferring "in furtherance of" over "natural and probable consequence of" in the aiding and abetting context), </w:t>
            </w:r>
            <w:r>
              <w:rPr>
                <w:rFonts w:ascii="Arial" w:eastAsia="Arial" w:hAnsi="Arial" w:cs="Arial"/>
                <w:i/>
                <w:color w:val="000000"/>
                <w:sz w:val="20"/>
              </w:rPr>
              <w:t xml:space="preserve">abrogated on other grounds by </w:t>
            </w:r>
            <w:hyperlink r:id="rId471" w:history="1">
              <w:r>
                <w:rPr>
                  <w:rFonts w:ascii="Arial" w:eastAsia="Arial" w:hAnsi="Arial" w:cs="Arial"/>
                  <w:i/>
                  <w:color w:val="0077CC"/>
                  <w:sz w:val="20"/>
                  <w:u w:val="single"/>
                </w:rPr>
                <w:t>State v. Hawkins, 326 Md. 270, 604 A.2d 489 (1992).</w:t>
              </w:r>
            </w:hyperlink>
            <w:r>
              <w:rPr>
                <w:rFonts w:ascii="Arial" w:eastAsia="Arial" w:hAnsi="Arial" w:cs="Arial"/>
                <w:color w:val="000000"/>
                <w:sz w:val="20"/>
              </w:rPr>
              <w:t xml:space="preserve"> It is irrelevant that the other conspirators did not participate in the substantive offense and did not even know of its commission.</w:t>
            </w:r>
          </w:p>
          <w:p w:rsidR="004729FB" w:rsidRDefault="004729FB" w:rsidP="00713DA5">
            <w:pPr>
              <w:spacing w:before="240" w:line="260" w:lineRule="atLeast"/>
              <w:ind w:left="60" w:right="360"/>
              <w:jc w:val="both"/>
            </w:pPr>
            <w:r>
              <w:rPr>
                <w:rFonts w:ascii="Arial" w:eastAsia="Arial" w:hAnsi="Arial" w:cs="Arial"/>
                <w:color w:val="000000"/>
                <w:sz w:val="20"/>
              </w:rPr>
              <w:t xml:space="preserve">From an evidentiary standpoint, any statement made by any conspirator in furtherance of the common design is admissible against all other conspirators. </w:t>
            </w:r>
            <w:hyperlink r:id="rId472" w:history="1">
              <w:r>
                <w:rPr>
                  <w:rFonts w:ascii="Arial" w:eastAsia="Arial" w:hAnsi="Arial" w:cs="Arial"/>
                  <w:i/>
                  <w:color w:val="0077CC"/>
                  <w:sz w:val="20"/>
                  <w:u w:val="single"/>
                </w:rPr>
                <w:t>State v. Rivenbark, 311 Md. 147, 533 A.2d 271 (1987);</w:t>
              </w:r>
            </w:hyperlink>
            <w:r>
              <w:rPr>
                <w:rFonts w:ascii="Arial" w:eastAsia="Arial" w:hAnsi="Arial" w:cs="Arial"/>
                <w:color w:val="000000"/>
                <w:sz w:val="20"/>
              </w:rPr>
              <w:t xml:space="preserve"> </w:t>
            </w:r>
            <w:hyperlink r:id="rId473" w:history="1">
              <w:r>
                <w:rPr>
                  <w:rFonts w:ascii="Arial" w:eastAsia="Arial" w:hAnsi="Arial" w:cs="Arial"/>
                  <w:i/>
                  <w:color w:val="0077CC"/>
                  <w:sz w:val="20"/>
                  <w:u w:val="single"/>
                </w:rPr>
                <w:t>Ezenwa v. State, 82 Md. App. 489, 512, 572 A.2d 1101, 1112 (1990).</w:t>
              </w:r>
            </w:hyperlink>
            <w:r>
              <w:rPr>
                <w:rFonts w:ascii="Arial" w:eastAsia="Arial" w:hAnsi="Arial" w:cs="Arial"/>
                <w:color w:val="000000"/>
                <w:sz w:val="20"/>
              </w:rPr>
              <w:t xml:space="preserve"> This continues through the time the conspirators have attained their central objectives. </w:t>
            </w:r>
            <w:hyperlink r:id="rId474" w:history="1">
              <w:r>
                <w:rPr>
                  <w:rFonts w:ascii="Arial" w:eastAsia="Arial" w:hAnsi="Arial" w:cs="Arial"/>
                  <w:i/>
                  <w:color w:val="0077CC"/>
                  <w:sz w:val="20"/>
                  <w:u w:val="single"/>
                </w:rPr>
                <w:t>Rivenbark, 311 Md. at 149-50, 533 A.2d at 272.</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However, Maryland rejects the theory of an implied subsidiary conspiracy of concealment, subsequent to attaining the central objectives, such that one conspirator could continue to bind another with hearsay. </w:t>
            </w:r>
            <w:hyperlink r:id="rId475" w:history="1">
              <w:r>
                <w:rPr>
                  <w:rFonts w:ascii="Arial" w:eastAsia="Arial" w:hAnsi="Arial" w:cs="Arial"/>
                  <w:i/>
                  <w:color w:val="0077CC"/>
                  <w:sz w:val="20"/>
                  <w:u w:val="single"/>
                </w:rPr>
                <w:t>Id. at 152-60, 533 A.2d at 273-77.</w:t>
              </w:r>
            </w:hyperlink>
            <w:r>
              <w:rPr>
                <w:rFonts w:ascii="Arial" w:eastAsia="Arial" w:hAnsi="Arial" w:cs="Arial"/>
                <w:color w:val="000000"/>
                <w:sz w:val="20"/>
              </w:rPr>
              <w:t xml:space="preserve"> The Court of Appeals did recognize that there may be concealment prior to the time that the central objectives are accomplished, thus rendering admissible statements made during this time. </w:t>
            </w:r>
            <w:hyperlink r:id="rId476" w:history="1">
              <w:r>
                <w:rPr>
                  <w:rFonts w:ascii="Arial" w:eastAsia="Arial" w:hAnsi="Arial" w:cs="Arial"/>
                  <w:i/>
                  <w:color w:val="0077CC"/>
                  <w:sz w:val="20"/>
                  <w:u w:val="single"/>
                </w:rPr>
                <w:t>Id. at 158, 533 A.2d at 276</w:t>
              </w:r>
            </w:hyperlink>
            <w:r>
              <w:rPr>
                <w:rFonts w:ascii="Arial" w:eastAsia="Arial" w:hAnsi="Arial" w:cs="Arial"/>
                <w:color w:val="000000"/>
                <w:sz w:val="20"/>
              </w:rPr>
              <w:t xml:space="preserve"> (discussing conspirators hiding while dividing the proceeds of their crime).</w:t>
            </w:r>
          </w:p>
          <w:p w:rsidR="004729FB" w:rsidRDefault="004729FB" w:rsidP="00713DA5">
            <w:pPr>
              <w:spacing w:before="240" w:line="260" w:lineRule="atLeast"/>
              <w:ind w:left="60" w:right="360"/>
              <w:jc w:val="both"/>
            </w:pPr>
            <w:r>
              <w:rPr>
                <w:rFonts w:ascii="Arial" w:eastAsia="Arial" w:hAnsi="Arial" w:cs="Arial"/>
                <w:color w:val="000000"/>
                <w:sz w:val="20"/>
              </w:rPr>
              <w:t xml:space="preserve">Determining whether there is one conspiracy, or multiple conspiracies with one or more common parties, is usually referred to as distinguishing a chain conspiracy from a wheel conspiracy. </w:t>
            </w:r>
            <w:r>
              <w:rPr>
                <w:rFonts w:ascii="Arial" w:eastAsia="Arial" w:hAnsi="Arial" w:cs="Arial"/>
                <w:i/>
                <w:color w:val="000000"/>
                <w:sz w:val="20"/>
              </w:rPr>
              <w:t xml:space="preserve">See </w:t>
            </w:r>
            <w:hyperlink r:id="rId477" w:history="1">
              <w:r>
                <w:rPr>
                  <w:rFonts w:ascii="Arial" w:eastAsia="Arial" w:hAnsi="Arial" w:cs="Arial"/>
                  <w:i/>
                  <w:color w:val="0077CC"/>
                  <w:sz w:val="20"/>
                  <w:u w:val="single"/>
                </w:rPr>
                <w:t>Bolden v. State, 44 Md. App. 643, 650, 410 A.2d 1085, 1091 (1980);</w:t>
              </w:r>
            </w:hyperlink>
            <w:r>
              <w:rPr>
                <w:rFonts w:ascii="Arial" w:eastAsia="Arial" w:hAnsi="Arial" w:cs="Arial"/>
                <w:color w:val="000000"/>
                <w:sz w:val="20"/>
              </w:rPr>
              <w:t xml:space="preserve"> </w:t>
            </w:r>
            <w:r>
              <w:rPr>
                <w:rFonts w:ascii="Arial" w:eastAsia="Arial" w:hAnsi="Arial" w:cs="Arial"/>
                <w:i/>
                <w:color w:val="000000"/>
                <w:sz w:val="20"/>
              </w:rPr>
              <w:t xml:space="preserve">cf. </w:t>
            </w:r>
            <w:hyperlink r:id="rId478" w:history="1">
              <w:r>
                <w:rPr>
                  <w:rFonts w:ascii="Arial" w:eastAsia="Arial" w:hAnsi="Arial" w:cs="Arial"/>
                  <w:i/>
                  <w:color w:val="0077CC"/>
                  <w:sz w:val="20"/>
                  <w:u w:val="single"/>
                </w:rPr>
                <w:t>Ezenwa, 82 Md. App. at 502-04, 572 A.2d at 1107-08</w:t>
              </w:r>
            </w:hyperlink>
            <w:r>
              <w:rPr>
                <w:rFonts w:ascii="Arial" w:eastAsia="Arial" w:hAnsi="Arial" w:cs="Arial"/>
                <w:color w:val="000000"/>
                <w:sz w:val="20"/>
              </w:rPr>
              <w:t xml:space="preserve"> (holding that one count of conspiracy to import heroin and one count of conspiracy to distribute heroin were not two conspiracies but rather was one conspiracy with two objects).</w:t>
            </w:r>
          </w:p>
          <w:p w:rsidR="004729FB" w:rsidRDefault="004729FB" w:rsidP="00713DA5">
            <w:pPr>
              <w:spacing w:before="200" w:line="260" w:lineRule="atLeast"/>
              <w:ind w:left="60" w:right="360"/>
              <w:jc w:val="both"/>
            </w:pPr>
            <w:r>
              <w:rPr>
                <w:rFonts w:ascii="Arial" w:eastAsia="Arial" w:hAnsi="Arial" w:cs="Arial"/>
                <w:color w:val="000000"/>
                <w:sz w:val="20"/>
              </w:rPr>
              <w:t>In a chain conspiracy, all conspirators are part of the same community of interest, even though all conspirators may not know of all other conspirators, e.g., a drug distribution scheme.</w:t>
            </w:r>
          </w:p>
          <w:p w:rsidR="004729FB" w:rsidRDefault="004729FB" w:rsidP="00713DA5">
            <w:pPr>
              <w:spacing w:before="200" w:line="260" w:lineRule="atLeast"/>
              <w:ind w:left="60" w:right="360"/>
              <w:jc w:val="both"/>
            </w:pPr>
            <w:r>
              <w:rPr>
                <w:rFonts w:ascii="Arial" w:eastAsia="Arial" w:hAnsi="Arial" w:cs="Arial"/>
                <w:color w:val="000000"/>
                <w:sz w:val="20"/>
              </w:rPr>
              <w:t>(- O - O - O - O)   (one conspiracy)</w:t>
            </w:r>
          </w:p>
          <w:p w:rsidR="004729FB" w:rsidRDefault="004729FB" w:rsidP="00713DA5">
            <w:pPr>
              <w:spacing w:before="200" w:line="260" w:lineRule="atLeast"/>
              <w:ind w:left="60" w:right="360"/>
              <w:jc w:val="both"/>
            </w:pPr>
            <w:r>
              <w:rPr>
                <w:rFonts w:ascii="Arial" w:eastAsia="Arial" w:hAnsi="Arial" w:cs="Arial"/>
                <w:color w:val="000000"/>
                <w:sz w:val="20"/>
              </w:rPr>
              <w:lastRenderedPageBreak/>
              <w:t>A B C D   A - B - C - D</w:t>
            </w:r>
          </w:p>
          <w:p w:rsidR="004729FB" w:rsidRDefault="004729FB" w:rsidP="00713DA5">
            <w:pPr>
              <w:spacing w:before="200" w:line="260" w:lineRule="atLeast"/>
              <w:ind w:left="60" w:right="360"/>
              <w:jc w:val="both"/>
            </w:pPr>
            <w:r>
              <w:rPr>
                <w:rFonts w:ascii="Arial" w:eastAsia="Arial" w:hAnsi="Arial" w:cs="Arial"/>
                <w:color w:val="000000"/>
                <w:sz w:val="20"/>
              </w:rPr>
              <w:t>A wheel conspiracy is multiple chain conspiracies with at least one person common to each chain. Each hub-spoke relationship is a separate chain conspiracy.</w:t>
            </w:r>
          </w:p>
          <w:p w:rsidR="004729FB" w:rsidRDefault="004729FB" w:rsidP="00713DA5">
            <w:pPr>
              <w:spacing w:before="200" w:line="260" w:lineRule="atLeast"/>
              <w:ind w:left="60" w:right="360"/>
              <w:jc w:val="both"/>
            </w:pPr>
            <w:r>
              <w:rPr>
                <w:rFonts w:ascii="Arial" w:eastAsia="Arial" w:hAnsi="Arial" w:cs="Arial"/>
                <w:color w:val="000000"/>
                <w:sz w:val="20"/>
              </w:rPr>
              <w:t>[SEE ILLUSTRATION IN ORIGINAL]</w:t>
            </w:r>
          </w:p>
          <w:p w:rsidR="004729FB" w:rsidRDefault="004729FB" w:rsidP="00713DA5">
            <w:pPr>
              <w:spacing w:before="200" w:line="260" w:lineRule="atLeast"/>
              <w:ind w:left="60" w:right="360"/>
              <w:jc w:val="both"/>
            </w:pPr>
            <w:r>
              <w:rPr>
                <w:rFonts w:ascii="Arial" w:eastAsia="Arial" w:hAnsi="Arial" w:cs="Arial"/>
                <w:color w:val="000000"/>
                <w:sz w:val="20"/>
              </w:rPr>
              <w:t>(four conspiracies)</w:t>
            </w:r>
          </w:p>
          <w:p w:rsidR="004729FB" w:rsidRDefault="004729FB" w:rsidP="00713DA5">
            <w:pPr>
              <w:spacing w:before="200" w:line="260" w:lineRule="atLeast"/>
              <w:ind w:left="60" w:right="360"/>
              <w:jc w:val="both"/>
            </w:pPr>
            <w:r>
              <w:rPr>
                <w:rFonts w:ascii="Arial" w:eastAsia="Arial" w:hAnsi="Arial" w:cs="Arial"/>
                <w:color w:val="000000"/>
                <w:sz w:val="20"/>
              </w:rPr>
              <w:t>A - B</w:t>
            </w:r>
          </w:p>
          <w:p w:rsidR="004729FB" w:rsidRDefault="004729FB" w:rsidP="00713DA5">
            <w:pPr>
              <w:spacing w:before="200" w:line="260" w:lineRule="atLeast"/>
              <w:ind w:left="60" w:right="360"/>
              <w:jc w:val="both"/>
            </w:pPr>
            <w:r>
              <w:rPr>
                <w:rFonts w:ascii="Arial" w:eastAsia="Arial" w:hAnsi="Arial" w:cs="Arial"/>
                <w:color w:val="000000"/>
                <w:sz w:val="20"/>
              </w:rPr>
              <w:t>A - C</w:t>
            </w:r>
          </w:p>
          <w:p w:rsidR="004729FB" w:rsidRDefault="004729FB" w:rsidP="00713DA5">
            <w:pPr>
              <w:spacing w:before="200" w:line="260" w:lineRule="atLeast"/>
              <w:ind w:left="60" w:right="360"/>
              <w:jc w:val="both"/>
            </w:pPr>
            <w:r>
              <w:rPr>
                <w:rFonts w:ascii="Arial" w:eastAsia="Arial" w:hAnsi="Arial" w:cs="Arial"/>
                <w:color w:val="000000"/>
                <w:sz w:val="20"/>
              </w:rPr>
              <w:t>A - D</w:t>
            </w:r>
          </w:p>
          <w:p w:rsidR="004729FB" w:rsidRDefault="004729FB" w:rsidP="00713DA5">
            <w:pPr>
              <w:spacing w:before="200" w:line="260" w:lineRule="atLeast"/>
              <w:ind w:left="60" w:right="360"/>
              <w:jc w:val="both"/>
            </w:pPr>
            <w:r>
              <w:rPr>
                <w:rFonts w:ascii="Arial" w:eastAsia="Arial" w:hAnsi="Arial" w:cs="Arial"/>
                <w:color w:val="000000"/>
                <w:sz w:val="20"/>
              </w:rPr>
              <w:t>A - E</w:t>
            </w:r>
          </w:p>
          <w:p w:rsidR="004729FB" w:rsidRDefault="004729FB" w:rsidP="00713DA5">
            <w:pPr>
              <w:spacing w:before="200" w:line="260" w:lineRule="atLeast"/>
              <w:ind w:left="60" w:right="360"/>
              <w:jc w:val="both"/>
            </w:pPr>
            <w:r>
              <w:rPr>
                <w:rFonts w:ascii="Arial" w:eastAsia="Arial" w:hAnsi="Arial" w:cs="Arial"/>
                <w:color w:val="000000"/>
                <w:sz w:val="20"/>
              </w:rPr>
              <w:t>If multiple hub-spoke relationships are part of the same community of interest and each is aware of the probable existence of the other, the spokes become connected by the rim and are part of one conspiracy.</w:t>
            </w:r>
          </w:p>
          <w:p w:rsidR="004729FB" w:rsidRDefault="004729FB" w:rsidP="00713DA5">
            <w:pPr>
              <w:spacing w:before="200" w:line="260" w:lineRule="atLeast"/>
              <w:ind w:left="60" w:right="360"/>
              <w:jc w:val="both"/>
            </w:pPr>
            <w:r>
              <w:rPr>
                <w:rFonts w:ascii="Arial" w:eastAsia="Arial" w:hAnsi="Arial" w:cs="Arial"/>
                <w:color w:val="000000"/>
                <w:sz w:val="20"/>
              </w:rPr>
              <w:t>[SEE ILLUSTRATION IN ORIGINAL]</w:t>
            </w:r>
          </w:p>
          <w:p w:rsidR="004729FB" w:rsidRDefault="004729FB" w:rsidP="00713DA5">
            <w:pPr>
              <w:spacing w:before="200" w:line="260" w:lineRule="atLeast"/>
              <w:ind w:left="60" w:right="360"/>
              <w:jc w:val="both"/>
            </w:pPr>
            <w:r>
              <w:rPr>
                <w:rFonts w:ascii="Arial" w:eastAsia="Arial" w:hAnsi="Arial" w:cs="Arial"/>
                <w:color w:val="000000"/>
                <w:sz w:val="20"/>
              </w:rPr>
              <w:t>(three conspiracies)</w:t>
            </w:r>
          </w:p>
          <w:p w:rsidR="004729FB" w:rsidRDefault="004729FB" w:rsidP="00713DA5">
            <w:pPr>
              <w:spacing w:before="200" w:line="260" w:lineRule="atLeast"/>
              <w:ind w:left="60" w:right="360"/>
              <w:jc w:val="both"/>
            </w:pPr>
            <w:r>
              <w:rPr>
                <w:rFonts w:ascii="Arial" w:eastAsia="Arial" w:hAnsi="Arial" w:cs="Arial"/>
                <w:color w:val="000000"/>
                <w:sz w:val="20"/>
              </w:rPr>
              <w:t>A - B - C</w:t>
            </w:r>
          </w:p>
          <w:p w:rsidR="004729FB" w:rsidRDefault="004729FB" w:rsidP="00713DA5">
            <w:pPr>
              <w:spacing w:before="200" w:line="260" w:lineRule="atLeast"/>
              <w:ind w:left="60" w:right="360"/>
              <w:jc w:val="both"/>
            </w:pPr>
            <w:r>
              <w:rPr>
                <w:rFonts w:ascii="Arial" w:eastAsia="Arial" w:hAnsi="Arial" w:cs="Arial"/>
                <w:color w:val="000000"/>
                <w:sz w:val="20"/>
              </w:rPr>
              <w:t>A - D</w:t>
            </w:r>
          </w:p>
          <w:p w:rsidR="004729FB" w:rsidRDefault="004729FB" w:rsidP="00713DA5">
            <w:pPr>
              <w:spacing w:before="200" w:line="260" w:lineRule="atLeast"/>
              <w:ind w:left="60" w:right="360"/>
              <w:jc w:val="both"/>
            </w:pPr>
            <w:r>
              <w:rPr>
                <w:rFonts w:ascii="Arial" w:eastAsia="Arial" w:hAnsi="Arial" w:cs="Arial"/>
                <w:color w:val="000000"/>
                <w:sz w:val="20"/>
              </w:rPr>
              <w:t>A - E</w:t>
            </w:r>
          </w:p>
          <w:p w:rsidR="004729FB" w:rsidRDefault="004729FB" w:rsidP="00713DA5">
            <w:pPr>
              <w:spacing w:before="200" w:line="260" w:lineRule="atLeast"/>
              <w:ind w:left="60" w:right="360"/>
              <w:jc w:val="both"/>
            </w:pPr>
            <w:r>
              <w:rPr>
                <w:rFonts w:ascii="Arial" w:eastAsia="Arial" w:hAnsi="Arial" w:cs="Arial"/>
                <w:color w:val="000000"/>
                <w:sz w:val="20"/>
              </w:rPr>
              <w:t xml:space="preserve">Once a conspiracy is formed, a conspirator may not withdraw from liability for the conspiracy itself. However, if a conspirator does voluntarily withdraw from a conspiracy, either by notifying all other conspirators with sufficient time for them to withdraw, or by informing or cooperating with law enforcement authorities, that conspirator may avoid liability for subsequent substantive offenses committed by the remaining conspirators. LAFAVE, </w:t>
            </w:r>
            <w:r>
              <w:rPr>
                <w:rFonts w:ascii="Arial" w:eastAsia="Arial" w:hAnsi="Arial" w:cs="Arial"/>
                <w:i/>
                <w:color w:val="000000"/>
                <w:sz w:val="20"/>
              </w:rPr>
              <w:t>supra</w:t>
            </w:r>
            <w:r>
              <w:rPr>
                <w:rFonts w:ascii="Arial" w:eastAsia="Arial" w:hAnsi="Arial" w:cs="Arial"/>
                <w:color w:val="000000"/>
                <w:sz w:val="20"/>
              </w:rPr>
              <w:t>, § 12.4(b), at 687-89. Neither factual nor legal impossibility can serve as a defense to conspiracy.</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41" style="position:absolute;left:0;text-align:left;z-index:25175756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7" name="Picture 2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85" w:history="1">
        <w:r>
          <w:rPr>
            <w:rFonts w:ascii="Arial" w:eastAsia="Arial" w:hAnsi="Arial" w:cs="Arial"/>
            <w:b/>
            <w:bCs/>
            <w:i/>
            <w:color w:val="0077CC"/>
            <w:kern w:val="32"/>
            <w:sz w:val="28"/>
            <w:szCs w:val="32"/>
            <w:u w:val="single"/>
          </w:rPr>
          <w:t>MPJI-Cr 4:09</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AGGRAVATED CRUELTY TO ANIMALS--GENERAL</w:t>
      </w:r>
    </w:p>
    <w:p w:rsidR="004729FB" w:rsidRDefault="004729FB" w:rsidP="004729FB">
      <w:pPr>
        <w:keepNext/>
        <w:spacing w:before="240" w:line="340" w:lineRule="atLeast"/>
      </w:pPr>
      <w:r>
        <w:br/>
      </w:r>
      <w:r>
        <w:rPr>
          <w:rFonts w:ascii="Arial" w:eastAsia="Arial" w:hAnsi="Arial" w:cs="Arial"/>
          <w:b/>
          <w:color w:val="000000"/>
          <w:sz w:val="28"/>
        </w:rPr>
        <w:t>4:09Aggravated Cruelty to Animals--General</w:t>
      </w:r>
    </w:p>
    <w:p w:rsidR="004729FB" w:rsidRDefault="004729FB" w:rsidP="004729FB">
      <w:pPr>
        <w:spacing w:line="60" w:lineRule="exact"/>
      </w:pPr>
      <w:r>
        <w:pict>
          <v:line id="_x0000_s1132" style="position:absolute;z-index:2517483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aggravated cruelty to animals. In order to convict the defendant, the State must prove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DEFENDANT'S OWN ACTIONS</w:t>
      </w:r>
    </w:p>
    <w:p w:rsidR="004729FB" w:rsidRDefault="004729FB" w:rsidP="004729FB">
      <w:pPr>
        <w:spacing w:before="200" w:line="260" w:lineRule="atLeast"/>
        <w:jc w:val="both"/>
      </w:pPr>
      <w:r>
        <w:rPr>
          <w:rFonts w:ascii="Arial" w:eastAsia="Arial" w:hAnsi="Arial" w:cs="Arial"/>
          <w:b/>
          <w:color w:val="000000"/>
          <w:sz w:val="20"/>
        </w:rPr>
        <w:t>That the defendant intentionally [mutilated] [tortured] [cruelly beat] [cruelly killed] an animal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act is cruel if it causes or allows unnecessary or unjustifiable physical pain or suffering to an animal. An act of torture or torment of an animal is cruel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ACTIONS BY ANOTHER</w:t>
      </w:r>
    </w:p>
    <w:p w:rsidR="004729FB" w:rsidRDefault="004729FB" w:rsidP="004729FB">
      <w:pPr>
        <w:spacing w:before="200" w:line="260" w:lineRule="atLeast"/>
        <w:jc w:val="both"/>
      </w:pPr>
      <w:r>
        <w:rPr>
          <w:rFonts w:ascii="Arial" w:eastAsia="Arial" w:hAnsi="Arial" w:cs="Arial"/>
          <w:b/>
          <w:color w:val="000000"/>
          <w:sz w:val="20"/>
        </w:rPr>
        <w:t>That the defendant intentionally caused, procured, or authorized another to [mutilate] [torture] [cruelly beat] [cruelly kill] an animal. An act is cruel if it causes or allows unnecessary or unjustifiable physical pain or suffering to an animal. An act of torture or torment of an animal is cruel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LAW ENFORCEMENT ANIMAL</w:t>
      </w:r>
    </w:p>
    <w:p w:rsidR="004729FB" w:rsidRDefault="004729FB" w:rsidP="004729FB">
      <w:pPr>
        <w:spacing w:before="200" w:line="260" w:lineRule="atLeast"/>
        <w:jc w:val="both"/>
      </w:pPr>
      <w:r>
        <w:rPr>
          <w:rFonts w:ascii="Arial" w:eastAsia="Arial" w:hAnsi="Arial" w:cs="Arial"/>
          <w:b/>
          <w:color w:val="000000"/>
          <w:sz w:val="20"/>
        </w:rPr>
        <w:t>That the defendant intentionally [inflicted bodily harm on] [permanently disabled] [caused the death of] an animal owned or used by a law enforcement unit [.] [and that the defendant was not acting in self-defense.]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486" w:history="1">
              <w:r>
                <w:rPr>
                  <w:rFonts w:ascii="Arial" w:eastAsia="Arial" w:hAnsi="Arial" w:cs="Arial"/>
                  <w:i/>
                  <w:color w:val="0077CC"/>
                  <w:sz w:val="20"/>
                  <w:u w:val="single"/>
                </w:rPr>
                <w:t>Haile v. State, 431 Md. 448, 66 A.3d 600 (2013),</w:t>
              </w:r>
            </w:hyperlink>
            <w:r>
              <w:rPr>
                <w:rFonts w:ascii="Arial" w:eastAsia="Arial" w:hAnsi="Arial" w:cs="Arial"/>
                <w:color w:val="000000"/>
                <w:sz w:val="20"/>
              </w:rPr>
              <w:t xml:space="preserve"> appellant was convicted under CRIM. LAW II § 10-606 for harming a police dog during his arrest. He argued: 1) that the State did not prove he had specific intent to inflict bodily harm, 2) the statute only prohibits "serious" bodily harm and he did not seriously harm the dog, and 3) he struck the dog in self-defense, a defense recognized by § 10-606(a)(3). </w:t>
            </w:r>
            <w:hyperlink r:id="rId487" w:history="1">
              <w:r>
                <w:rPr>
                  <w:rFonts w:ascii="Arial" w:eastAsia="Arial" w:hAnsi="Arial" w:cs="Arial"/>
                  <w:i/>
                  <w:color w:val="0077CC"/>
                  <w:sz w:val="20"/>
                  <w:u w:val="single"/>
                </w:rPr>
                <w:t>Haile, 431 Md. 488, 66 A.3d 600.</w:t>
              </w:r>
            </w:hyperlink>
            <w:r>
              <w:rPr>
                <w:rFonts w:ascii="Arial" w:eastAsia="Arial" w:hAnsi="Arial" w:cs="Arial"/>
                <w:color w:val="000000"/>
                <w:sz w:val="20"/>
              </w:rPr>
              <w:t xml:space="preserve"> The Court found that the evidence was sufficient to support the conviction. </w:t>
            </w:r>
            <w:r>
              <w:rPr>
                <w:rFonts w:ascii="Arial" w:eastAsia="Arial" w:hAnsi="Arial" w:cs="Arial"/>
                <w:i/>
                <w:color w:val="000000"/>
                <w:sz w:val="20"/>
              </w:rPr>
              <w:t>Id.</w:t>
            </w:r>
            <w:r>
              <w:rPr>
                <w:rFonts w:ascii="Arial" w:eastAsia="Arial" w:hAnsi="Arial" w:cs="Arial"/>
                <w:color w:val="000000"/>
                <w:sz w:val="20"/>
              </w:rPr>
              <w:t xml:space="preserve"> The State was not required to prove specific intent or "serious" bodily harm. </w:t>
            </w:r>
            <w:r>
              <w:rPr>
                <w:rFonts w:ascii="Arial" w:eastAsia="Arial" w:hAnsi="Arial" w:cs="Arial"/>
                <w:i/>
                <w:color w:val="000000"/>
                <w:sz w:val="20"/>
              </w:rPr>
              <w:t>Id.</w:t>
            </w:r>
            <w:r>
              <w:rPr>
                <w:rFonts w:ascii="Arial" w:eastAsia="Arial" w:hAnsi="Arial" w:cs="Arial"/>
                <w:color w:val="000000"/>
                <w:sz w:val="20"/>
              </w:rPr>
              <w:t xml:space="preserve"> Rather, § 10-606 only requires the State to </w:t>
            </w:r>
            <w:r>
              <w:rPr>
                <w:rFonts w:ascii="Arial" w:eastAsia="Arial" w:hAnsi="Arial" w:cs="Arial"/>
                <w:color w:val="000000"/>
                <w:sz w:val="20"/>
              </w:rPr>
              <w:lastRenderedPageBreak/>
              <w:t xml:space="preserve">prove bodily harm, which the State proved by showing the dog suffered a cut about its eye after being struck repeatedly by appellant. </w:t>
            </w:r>
            <w:r>
              <w:rPr>
                <w:rFonts w:ascii="Arial" w:eastAsia="Arial" w:hAnsi="Arial" w:cs="Arial"/>
                <w:i/>
                <w:color w:val="000000"/>
                <w:sz w:val="20"/>
              </w:rPr>
              <w:t>Id.</w:t>
            </w:r>
            <w:r>
              <w:rPr>
                <w:rFonts w:ascii="Arial" w:eastAsia="Arial" w:hAnsi="Arial" w:cs="Arial"/>
                <w:color w:val="000000"/>
                <w:sz w:val="20"/>
              </w:rPr>
              <w:t xml:space="preserve"> Appellant's assertion of self-defense lacked merit because he invited the conflict by fleeing from police and ignoring their orders, and used excessive force in his interaction with the dog. </w:t>
            </w:r>
            <w:r>
              <w:rPr>
                <w:rFonts w:ascii="Arial" w:eastAsia="Arial" w:hAnsi="Arial" w:cs="Arial"/>
                <w:i/>
                <w:color w:val="000000"/>
                <w:sz w:val="20"/>
              </w:rPr>
              <w:t>Id.</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488" w:history="1">
              <w:r>
                <w:rPr>
                  <w:rFonts w:ascii="Arial" w:eastAsia="Arial" w:hAnsi="Arial" w:cs="Arial"/>
                  <w:i/>
                  <w:color w:val="0077CC"/>
                  <w:sz w:val="20"/>
                  <w:u w:val="single"/>
                </w:rPr>
                <w:t>Hurd v. State, 190 Md. App. 479, 988 A.2d 1143,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415 Md. 40, 997 A.2d 790 (2010),</w:t>
            </w:r>
            <w:r>
              <w:rPr>
                <w:rFonts w:ascii="Arial" w:eastAsia="Arial" w:hAnsi="Arial" w:cs="Arial"/>
                <w:color w:val="000000"/>
                <w:sz w:val="20"/>
              </w:rPr>
              <w:t xml:space="preserve"> the Court clarified what it means to "cruelly kill" an animal. Appellant was convicted of two counts of aggravated cruelty for shooting two dogs of a neighbor in separate incidents. </w:t>
            </w:r>
            <w:hyperlink r:id="rId489" w:history="1">
              <w:r>
                <w:rPr>
                  <w:rFonts w:ascii="Arial" w:eastAsia="Arial" w:hAnsi="Arial" w:cs="Arial"/>
                  <w:i/>
                  <w:color w:val="0077CC"/>
                  <w:sz w:val="20"/>
                  <w:u w:val="single"/>
                </w:rPr>
                <w:t>Hurd, 190 Md. App. 479, 988 A.3d 1143.</w:t>
              </w:r>
            </w:hyperlink>
            <w:r>
              <w:rPr>
                <w:rFonts w:ascii="Arial" w:eastAsia="Arial" w:hAnsi="Arial" w:cs="Arial"/>
                <w:color w:val="000000"/>
                <w:sz w:val="20"/>
              </w:rPr>
              <w:t xml:space="preserve"> One dog was chasing a deer, and the second dog was chasing a wild turkey, across his property. </w:t>
            </w:r>
            <w:r>
              <w:rPr>
                <w:rFonts w:ascii="Arial" w:eastAsia="Arial" w:hAnsi="Arial" w:cs="Arial"/>
                <w:i/>
                <w:color w:val="000000"/>
                <w:sz w:val="20"/>
              </w:rPr>
              <w:t>Id.</w:t>
            </w:r>
            <w:r>
              <w:rPr>
                <w:rFonts w:ascii="Arial" w:eastAsia="Arial" w:hAnsi="Arial" w:cs="Arial"/>
                <w:color w:val="000000"/>
                <w:sz w:val="20"/>
              </w:rPr>
              <w:t xml:space="preserve"> The Court affirmed the latter conviction, rejecting defendant's argument that he did not "cruelly" kill the dog. </w:t>
            </w:r>
            <w:r>
              <w:rPr>
                <w:rFonts w:ascii="Arial" w:eastAsia="Arial" w:hAnsi="Arial" w:cs="Arial"/>
                <w:i/>
                <w:color w:val="000000"/>
                <w:sz w:val="20"/>
              </w:rPr>
              <w:t>Id.</w:t>
            </w:r>
            <w:r>
              <w:rPr>
                <w:rFonts w:ascii="Arial" w:eastAsia="Arial" w:hAnsi="Arial" w:cs="Arial"/>
                <w:color w:val="000000"/>
                <w:sz w:val="20"/>
              </w:rPr>
              <w:t xml:space="preserve"> There was no legitimate reason to shoot the dog, and it took two shots, with some delay between the two, to kill the dog. </w:t>
            </w:r>
            <w:r>
              <w:rPr>
                <w:rFonts w:ascii="Arial" w:eastAsia="Arial" w:hAnsi="Arial" w:cs="Arial"/>
                <w:i/>
                <w:color w:val="000000"/>
                <w:sz w:val="20"/>
              </w:rPr>
              <w:t>Id.</w:t>
            </w:r>
            <w:r>
              <w:rPr>
                <w:rFonts w:ascii="Arial" w:eastAsia="Arial" w:hAnsi="Arial" w:cs="Arial"/>
                <w:color w:val="000000"/>
                <w:sz w:val="20"/>
              </w:rPr>
              <w:t xml:space="preserve"> The Court reversed the former conviction, citing MD. CODE ANN., NATURAL RESOURCES II § 10-416(b)(1)(ii), which prohibits using dogs to hunt deer. </w:t>
            </w:r>
            <w:r>
              <w:rPr>
                <w:rFonts w:ascii="Arial" w:eastAsia="Arial" w:hAnsi="Arial" w:cs="Arial"/>
                <w:i/>
                <w:color w:val="000000"/>
                <w:sz w:val="20"/>
              </w:rPr>
              <w:t>Id.</w:t>
            </w:r>
            <w:r>
              <w:rPr>
                <w:rFonts w:ascii="Arial" w:eastAsia="Arial" w:hAnsi="Arial" w:cs="Arial"/>
                <w:color w:val="000000"/>
                <w:sz w:val="20"/>
              </w:rPr>
              <w:t xml:space="preserve"> The Court invoked the rule of lenity given uncertainty about whether this statute applied in these circumstances and thereby authorized the shooting of the dog. </w:t>
            </w:r>
            <w:r>
              <w:rPr>
                <w:rFonts w:ascii="Arial" w:eastAsia="Arial" w:hAnsi="Arial" w:cs="Arial"/>
                <w:i/>
                <w:color w:val="000000"/>
                <w:sz w:val="20"/>
              </w:rPr>
              <w:t>Id.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2" style="position:absolute;z-index:25175859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4:09.1; MPJI-Cr 4:09.2; MPJI-Cr 4:09.3.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49" style="position:absolute;left:0;text-align:left;z-index:25176576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6" name="Picture 2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496" w:history="1">
        <w:r>
          <w:rPr>
            <w:rFonts w:ascii="Arial" w:eastAsia="Arial" w:hAnsi="Arial" w:cs="Arial"/>
            <w:b/>
            <w:bCs/>
            <w:i/>
            <w:color w:val="0077CC"/>
            <w:kern w:val="32"/>
            <w:sz w:val="28"/>
            <w:szCs w:val="32"/>
            <w:u w:val="single"/>
          </w:rPr>
          <w:t>MPJI-Cr 4:09.1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AGGRAVATED CRUELTY TO ANIMALS RELATED TO DOGFIGHTS</w:t>
      </w:r>
    </w:p>
    <w:p w:rsidR="004729FB" w:rsidRDefault="004729FB" w:rsidP="004729FB">
      <w:pPr>
        <w:keepNext/>
        <w:spacing w:before="240" w:line="340" w:lineRule="atLeast"/>
      </w:pPr>
      <w:r>
        <w:br/>
      </w:r>
      <w:r>
        <w:rPr>
          <w:rFonts w:ascii="Arial" w:eastAsia="Arial" w:hAnsi="Arial" w:cs="Arial"/>
          <w:b/>
          <w:color w:val="000000"/>
          <w:sz w:val="28"/>
        </w:rPr>
        <w:t>4:09.1Aggravated Cruelty to Animals Related to Dogfights</w:t>
      </w:r>
    </w:p>
    <w:p w:rsidR="004729FB" w:rsidRDefault="004729FB" w:rsidP="004729FB">
      <w:pPr>
        <w:spacing w:line="60" w:lineRule="exact"/>
      </w:pPr>
      <w:r>
        <w:pict>
          <v:line id="_x0000_s1133" style="position:absolute;z-index:2517493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BAITING</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aggravated cruelty to animals related to dogfights. In order to convict the defendant, the State must prove that the defendant intentionally [used] [allowed to be used] a dog [in a dogfight] for baiting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"Baiting" means using a dog to train a fighting dog or to test the fighting or killing instinct of another dog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ARRANGING OR CONDUCTING DOGFIGHT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aggravated cruelty to animals related to dogfights. In order to convict the defendant, the State must prove that the defendant arranged or conducted a dogfight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POSSESSING, OWNING, SELLING, TRANSPORTING, TRAINING DOG FOR DOGFIGHT OR BAITING</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aggravated cruelty to animals related to dogfights. In order to convict the defendant, the State must prove that the defendant [possessed] [owned] [sold] [transported] [trained] a dog with the intent to use the dog [in a dogfight] [for baiting]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USING PREMISES FOR DOGFIGHT OR BAITING</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aggravated cruelty to animals related to dogfights. In order to convict the defendant, the State must prove that the defendant knowingly allowed a premises under his ownership, charge, or control to be used for [a dogfight] [baiting]</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There are no reported appellate opinions interpreting or applying CRIM. LAW II § 10-607. There are related </w:t>
            </w:r>
            <w:r>
              <w:rPr>
                <w:rFonts w:ascii="Arial" w:eastAsia="Arial" w:hAnsi="Arial" w:cs="Arial"/>
                <w:color w:val="000000"/>
                <w:sz w:val="20"/>
              </w:rPr>
              <w:lastRenderedPageBreak/>
              <w:t xml:space="preserve">crimes that protect animals. </w:t>
            </w:r>
            <w:r>
              <w:rPr>
                <w:rFonts w:ascii="Arial" w:eastAsia="Arial" w:hAnsi="Arial" w:cs="Arial"/>
                <w:i/>
                <w:color w:val="000000"/>
                <w:sz w:val="20"/>
              </w:rPr>
              <w:t>See</w:t>
            </w:r>
            <w:r>
              <w:rPr>
                <w:rFonts w:ascii="Arial" w:eastAsia="Arial" w:hAnsi="Arial" w:cs="Arial"/>
                <w:color w:val="000000"/>
                <w:sz w:val="20"/>
              </w:rPr>
              <w:t xml:space="preserve"> CRIM. LAW II §§ 10-604 (prohibiting the abuse or neglect of animals), 10-605 (prohibiting attending dogfights or cockfights), 10-606 (prohibiting aggravated cruelty to animals in general), 10-608 (prohibiting certain activities related to cockfights).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3" style="position:absolute;z-index:25175961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4:09, MPJI-Cr 4:09.2, MPJI-Cr 4:09.3.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50" style="position:absolute;left:0;text-align:left;z-index:25176678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5" name="Picture 2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03" w:history="1">
        <w:r>
          <w:rPr>
            <w:rFonts w:ascii="Arial" w:eastAsia="Arial" w:hAnsi="Arial" w:cs="Arial"/>
            <w:b/>
            <w:bCs/>
            <w:i/>
            <w:color w:val="0077CC"/>
            <w:kern w:val="32"/>
            <w:sz w:val="28"/>
            <w:szCs w:val="32"/>
            <w:u w:val="single"/>
          </w:rPr>
          <w:t>MPJI-Cr 4:09.2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ABUSE OR NEGLECT OF AN ANIMAL</w:t>
      </w:r>
    </w:p>
    <w:p w:rsidR="004729FB" w:rsidRDefault="004729FB" w:rsidP="004729FB">
      <w:pPr>
        <w:keepNext/>
        <w:spacing w:before="240" w:line="340" w:lineRule="atLeast"/>
      </w:pPr>
      <w:r>
        <w:br/>
      </w:r>
      <w:r>
        <w:rPr>
          <w:rFonts w:ascii="Arial" w:eastAsia="Arial" w:hAnsi="Arial" w:cs="Arial"/>
          <w:b/>
          <w:color w:val="000000"/>
          <w:sz w:val="28"/>
        </w:rPr>
        <w:t>4:09.2Abuse or Neglect of an Animal</w:t>
      </w:r>
    </w:p>
    <w:p w:rsidR="004729FB" w:rsidRDefault="004729FB" w:rsidP="004729FB">
      <w:pPr>
        <w:spacing w:line="60" w:lineRule="exact"/>
      </w:pPr>
      <w:r>
        <w:pict>
          <v:line id="_x0000_s1134" style="position:absolute;z-index:25175040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OVERDRIVING/OVERLOADING</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abuse or neglect of an animal. In order to convict the defendant, the State must prove that the defendant [overdrove] [overloaded] an animal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DEPRIVING SUSTENANCE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abuse or neglect of an animal. In order to convict the defendant, the State must prove that the defendant deprived an animal of necessary sustenance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INFLICTING UNNECESSARY PAIN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abuse or neglect of an animal. In order to convict the defendant, the State must prove that the defendant inflicted unnecessary suffering or pain on an animal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CAUSING, PROCURING, OR AUTHORIZING ACTS</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abuse or neglect of an animal. In order to convict the defendant, the State must prove that the defendant [caused] [procured] [authorized] an act to [overdrive] [overload] [deprive necessary sustenance to] [inflict unnecessary suffering or pain on] an animal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w:t>
      </w:r>
    </w:p>
    <w:p w:rsidR="004729FB" w:rsidRDefault="004729FB" w:rsidP="004729FB">
      <w:pPr>
        <w:spacing w:before="200" w:line="260" w:lineRule="atLeast"/>
        <w:jc w:val="both"/>
      </w:pPr>
      <w:r>
        <w:rPr>
          <w:rFonts w:ascii="Arial" w:eastAsia="Arial" w:hAnsi="Arial" w:cs="Arial"/>
          <w:b/>
          <w:color w:val="000000"/>
          <w:sz w:val="20"/>
        </w:rPr>
        <w:t>FAILING TO PROVIDE FOR AN ANIMAL</w:t>
      </w:r>
    </w:p>
    <w:p w:rsidR="004729FB" w:rsidRDefault="004729FB" w:rsidP="004729FB">
      <w:pPr>
        <w:spacing w:before="200" w:line="260" w:lineRule="atLeast"/>
        <w:jc w:val="both"/>
      </w:pPr>
      <w:r>
        <w:rPr>
          <w:rFonts w:ascii="Arial" w:eastAsia="Arial" w:hAnsi="Arial" w:cs="Arial"/>
          <w:b/>
          <w:color w:val="000000"/>
          <w:sz w:val="20"/>
        </w:rPr>
        <w:t>The defendant is charged with the crime of abuse or neglect of an animal.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had charge or custody of an animal; and</w:t>
      </w:r>
    </w:p>
    <w:p w:rsidR="004729FB" w:rsidRDefault="004729FB" w:rsidP="004729FB">
      <w:pPr>
        <w:spacing w:before="200" w:line="260" w:lineRule="atLeast"/>
        <w:ind w:left="400"/>
        <w:jc w:val="both"/>
      </w:pPr>
      <w:r>
        <w:rPr>
          <w:rFonts w:ascii="Arial" w:eastAsia="Arial" w:hAnsi="Arial" w:cs="Arial"/>
          <w:b/>
          <w:color w:val="000000"/>
          <w:sz w:val="20"/>
        </w:rPr>
        <w:lastRenderedPageBreak/>
        <w:t>(2) that the defendant unnecessarily failed to provide the animal with [nutritious food in sufficient quantity] [necessary veterinary care] [[proper drink] [air] [space] [shelter] [protection from the weather]]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There are no reported appellate opinions interpreting or applying CRIM. LAW II § 10-604. There are related crimes that protect animals. </w:t>
            </w:r>
            <w:r>
              <w:rPr>
                <w:rFonts w:ascii="Arial" w:eastAsia="Arial" w:hAnsi="Arial" w:cs="Arial"/>
                <w:i/>
                <w:color w:val="000000"/>
                <w:sz w:val="20"/>
              </w:rPr>
              <w:t>See</w:t>
            </w:r>
            <w:r>
              <w:rPr>
                <w:rFonts w:ascii="Arial" w:eastAsia="Arial" w:hAnsi="Arial" w:cs="Arial"/>
                <w:color w:val="000000"/>
                <w:sz w:val="20"/>
              </w:rPr>
              <w:t xml:space="preserve"> CRIM. LAW II §§ 10-605 (prohibiting attending dogfights or cockfights), 10-607 (prohibiting aggravated cruelty related to dogfights), 10-608 (prohibiting certain activities related to cockfights).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4" style="position:absolute;z-index:25176064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4:09, MPJI-Cr 4:09.1, MPJI-Cr 4:09.3.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51" style="position:absolute;left:0;text-align:left;z-index:2517678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4" name="Picture 2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10" w:history="1">
        <w:r>
          <w:rPr>
            <w:rFonts w:ascii="Arial" w:eastAsia="Arial" w:hAnsi="Arial" w:cs="Arial"/>
            <w:b/>
            <w:bCs/>
            <w:i/>
            <w:color w:val="0077CC"/>
            <w:kern w:val="32"/>
            <w:sz w:val="28"/>
            <w:szCs w:val="32"/>
            <w:u w:val="single"/>
          </w:rPr>
          <w:t>MPJI-Cr 4:10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UNDER THE INFLUENCE OF ALCOHOL AND DRIVING WHILE IMPAIRED BY ALCOHOL</w:t>
      </w:r>
    </w:p>
    <w:p w:rsidR="004729FB" w:rsidRDefault="004729FB" w:rsidP="004729FB">
      <w:pPr>
        <w:keepNext/>
        <w:spacing w:before="240" w:line="340" w:lineRule="atLeast"/>
      </w:pPr>
      <w:r>
        <w:br/>
      </w:r>
      <w:r>
        <w:rPr>
          <w:rFonts w:ascii="Arial" w:eastAsia="Arial" w:hAnsi="Arial" w:cs="Arial"/>
          <w:b/>
          <w:color w:val="000000"/>
          <w:sz w:val="28"/>
        </w:rPr>
        <w:t>4:10Driving under the Influence of Alcohol and Driving While Impaired by Alcohol</w:t>
      </w:r>
    </w:p>
    <w:p w:rsidR="004729FB" w:rsidRDefault="004729FB" w:rsidP="004729FB">
      <w:pPr>
        <w:spacing w:line="60" w:lineRule="exact"/>
      </w:pPr>
      <w:r>
        <w:pict>
          <v:line id="_x0000_s1135" style="position:absolute;z-index:25175142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crimes of driving under the influence of alcohol and driving while impaired by alcohol. In order to convict the defendant of either one of these crimes,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or moved a vehicle [or was in actual physical control of a vehicle]; and</w:t>
      </w:r>
    </w:p>
    <w:p w:rsidR="004729FB" w:rsidRDefault="004729FB" w:rsidP="004729FB">
      <w:pPr>
        <w:spacing w:before="200" w:line="260" w:lineRule="atLeast"/>
        <w:ind w:left="400"/>
        <w:jc w:val="both"/>
      </w:pPr>
      <w:r>
        <w:rPr>
          <w:rFonts w:ascii="Arial" w:eastAsia="Arial" w:hAnsi="Arial" w:cs="Arial"/>
          <w:b/>
          <w:color w:val="000000"/>
          <w:sz w:val="20"/>
        </w:rPr>
        <w:t>(2) that, at the time, the defendant was either under the influence of alcohol or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distinction between driving under the influence of alcohol and driving while impaired by alcohol is one of degree. Both crimes require that normal coordination be reduced as a result of the consumption of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Driving under the influence of alcohol is the more serious crime. It requires that alcohol has substantially impaired the person's normal coordination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Driving while impaired by alcohol is the less serious crime. It requires that alcohol has impaired the person's normal coordination to some extent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Even if there is evidence that the defendant consumed alcohol, the defendant cannot be found guilty unless the defendant was either under the influence of alcohol or impaired by alcohol</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TRANSPORTATION III § 21-902 prohibits, among other things, (1) driving or attempting to drive under the influence of alcohol, and (2) driving or attempting to drive while impaired by alcohol or drugs. In 2001, the Maryland General Assembly redefined the alcohol-related driving offenses. Under the new statutory scheme, the greater offense, formerly called "driving while intoxicated" (DWI), is now called "driving under the influence of alcohol" (DUI). The lesser offense, formerly called "driving under the influence of alcohol" (DUI), is now called "driving while impaired" (DWI). The enacting legislation provides that "the term 'under the influence of alcohol' as used in this Act shall include within its meaning the conduct prohibited by the former references to 'intoxicated,' and the term 'impaired' shall include within its meaning the conduct prohibited by the former references to 'under the influence.'" 2001 Md. Laws Ch. 4, (S.B. 108). In the 2001 revisions, the legislature created a third crime: driving under the influence of alcohol per se. The Court of </w:t>
            </w:r>
            <w:r>
              <w:rPr>
                <w:rFonts w:ascii="Arial" w:eastAsia="Arial" w:hAnsi="Arial" w:cs="Arial"/>
                <w:color w:val="000000"/>
                <w:sz w:val="20"/>
              </w:rPr>
              <w:lastRenderedPageBreak/>
              <w:t xml:space="preserve">Appeals in </w:t>
            </w:r>
            <w:r>
              <w:rPr>
                <w:rFonts w:ascii="Arial" w:eastAsia="Arial" w:hAnsi="Arial" w:cs="Arial"/>
                <w:i/>
                <w:color w:val="000000"/>
                <w:sz w:val="20"/>
              </w:rPr>
              <w:t>Meanor v. State</w:t>
            </w:r>
            <w:r>
              <w:rPr>
                <w:rFonts w:ascii="Arial" w:eastAsia="Arial" w:hAnsi="Arial" w:cs="Arial"/>
                <w:color w:val="000000"/>
                <w:sz w:val="20"/>
              </w:rPr>
              <w:t>, summarized the changes and described the three crimes:</w:t>
            </w:r>
          </w:p>
          <w:p w:rsidR="004729FB" w:rsidRDefault="004729FB" w:rsidP="00713DA5">
            <w:pPr>
              <w:spacing w:before="60" w:line="260" w:lineRule="atLeast"/>
              <w:ind w:left="460" w:right="360"/>
              <w:jc w:val="both"/>
            </w:pPr>
            <w:r>
              <w:rPr>
                <w:rFonts w:ascii="Arial" w:eastAsia="Arial" w:hAnsi="Arial" w:cs="Arial"/>
                <w:color w:val="000000"/>
                <w:sz w:val="20"/>
              </w:rPr>
              <w:t>Thus, § 21-902(a)(1) will now prohibit a person from driving or attempting to drive a vehicle "while under the influence of alcohol," § 21-902(a)(2) will prohibit driving or attempting to drive a vehicle "while the person is under the influence of alcohol per se," and § 21-902(b) will prohibit driving or attempting to drive a vehicle "while impaired by alcohol."</w:t>
            </w:r>
          </w:p>
          <w:p w:rsidR="004729FB" w:rsidRDefault="004729FB" w:rsidP="00713DA5">
            <w:pPr>
              <w:spacing w:before="240" w:line="260" w:lineRule="atLeast"/>
              <w:ind w:left="60" w:right="360"/>
              <w:jc w:val="both"/>
            </w:pPr>
            <w:hyperlink r:id="rId511" w:history="1">
              <w:r>
                <w:rPr>
                  <w:rFonts w:ascii="Arial" w:eastAsia="Arial" w:hAnsi="Arial" w:cs="Arial"/>
                  <w:i/>
                  <w:color w:val="0077CC"/>
                  <w:sz w:val="20"/>
                  <w:u w:val="single"/>
                </w:rPr>
                <w:t>364 Md. 511, 517 n.1, 518-19, 774 A.2d 394, 397 n.1, 398 (2001)</w:t>
              </w:r>
            </w:hyperlink>
            <w:r>
              <w:rPr>
                <w:rFonts w:ascii="Arial" w:eastAsia="Arial" w:hAnsi="Arial" w:cs="Arial"/>
                <w:color w:val="000000"/>
                <w:sz w:val="20"/>
              </w:rPr>
              <w:t xml:space="preserve"> (citing with approval MPJI-Cr 4:10).</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512" w:history="1">
              <w:r>
                <w:rPr>
                  <w:rFonts w:ascii="Arial" w:eastAsia="Arial" w:hAnsi="Arial" w:cs="Arial"/>
                  <w:i/>
                  <w:color w:val="0077CC"/>
                  <w:sz w:val="20"/>
                  <w:u w:val="single"/>
                </w:rPr>
                <w:t>Brooks v. State, 41 Md. App. 123, 126-29, 395 A.2d 1224, 1226-28 (1979),</w:t>
              </w:r>
            </w:hyperlink>
            <w:r>
              <w:rPr>
                <w:rFonts w:ascii="Arial" w:eastAsia="Arial" w:hAnsi="Arial" w:cs="Arial"/>
                <w:color w:val="000000"/>
                <w:sz w:val="20"/>
              </w:rPr>
              <w:t xml:space="preserve"> the Court of Special Appeals upheld the constitutionality of the former terms ("driving while intoxicated" and "driving under the influence") against a void for vagueness attack. </w:t>
            </w:r>
            <w:r>
              <w:rPr>
                <w:rFonts w:ascii="Arial" w:eastAsia="Arial" w:hAnsi="Arial" w:cs="Arial"/>
                <w:i/>
                <w:color w:val="000000"/>
                <w:sz w:val="20"/>
              </w:rPr>
              <w:t xml:space="preserve">Accord </w:t>
            </w:r>
            <w:hyperlink r:id="rId513" w:history="1">
              <w:r>
                <w:rPr>
                  <w:rFonts w:ascii="Arial" w:eastAsia="Arial" w:hAnsi="Arial" w:cs="Arial"/>
                  <w:i/>
                  <w:color w:val="0077CC"/>
                  <w:sz w:val="20"/>
                  <w:u w:val="single"/>
                </w:rPr>
                <w:t>United States v. Channel, 423 F. Supp. 1017 (D. Md. 1976);</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514" w:history="1">
              <w:r>
                <w:rPr>
                  <w:rFonts w:ascii="Arial" w:eastAsia="Arial" w:hAnsi="Arial" w:cs="Arial"/>
                  <w:i/>
                  <w:color w:val="0077CC"/>
                  <w:sz w:val="20"/>
                  <w:u w:val="single"/>
                </w:rPr>
                <w:t>Tereshuk v. State, 66 Md. App. 193, 503 A.2d 254,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306 Md. 119, 507 A.2d 631 (1986);</w:t>
            </w:r>
            <w:r>
              <w:rPr>
                <w:rFonts w:ascii="Arial" w:eastAsia="Arial" w:hAnsi="Arial" w:cs="Arial"/>
                <w:color w:val="000000"/>
                <w:sz w:val="20"/>
              </w:rPr>
              <w:t xml:space="preserve"> </w:t>
            </w:r>
            <w:hyperlink r:id="rId515" w:history="1">
              <w:r>
                <w:rPr>
                  <w:rFonts w:ascii="Arial" w:eastAsia="Arial" w:hAnsi="Arial" w:cs="Arial"/>
                  <w:i/>
                  <w:color w:val="0077CC"/>
                  <w:sz w:val="20"/>
                  <w:u w:val="single"/>
                </w:rPr>
                <w:t>Blackwell v. State, 34 Md. App. 547, 369 A.2d 153,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280 Md. 728, 735 (1977).</w:t>
            </w:r>
          </w:p>
          <w:p w:rsidR="004729FB" w:rsidRDefault="004729FB" w:rsidP="00713DA5">
            <w:pPr>
              <w:spacing w:before="200" w:line="260" w:lineRule="atLeast"/>
              <w:ind w:left="60" w:right="360"/>
              <w:jc w:val="both"/>
            </w:pPr>
            <w:r>
              <w:rPr>
                <w:rFonts w:ascii="Arial" w:eastAsia="Arial" w:hAnsi="Arial" w:cs="Arial"/>
                <w:color w:val="000000"/>
                <w:sz w:val="20"/>
              </w:rPr>
              <w:t>"'Drive' means to drive, operate, move, or be in actual physical control of a vehicle, including the exercise of control over, or the steering of a vehicle being towed by a motor vehicle." TRANSP. II § 11-114.</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5" style="position:absolute;z-index:25176166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4:10.1, MPJI-Cr 4:10.2, MPJI-Cr 4:10.3, MPJI-Cr 4:10.4, MPJI-Cr 4:10.5.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52" style="position:absolute;left:0;text-align:left;z-index:2517688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23" name="Picture 2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22" w:history="1">
        <w:r>
          <w:rPr>
            <w:rFonts w:ascii="Arial" w:eastAsia="Arial" w:hAnsi="Arial" w:cs="Arial"/>
            <w:b/>
            <w:bCs/>
            <w:i/>
            <w:color w:val="0077CC"/>
            <w:kern w:val="32"/>
            <w:sz w:val="28"/>
            <w:szCs w:val="32"/>
            <w:u w:val="single"/>
          </w:rPr>
          <w:t>MPJI-Cr 4:09.3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UNATTENDED OR RESTRICTED DOG</w:t>
      </w:r>
    </w:p>
    <w:p w:rsidR="004729FB" w:rsidRDefault="004729FB" w:rsidP="004729FB">
      <w:pPr>
        <w:keepNext/>
        <w:spacing w:before="240" w:line="340" w:lineRule="atLeast"/>
      </w:pPr>
      <w:r>
        <w:br/>
      </w:r>
      <w:r>
        <w:rPr>
          <w:rFonts w:ascii="Arial" w:eastAsia="Arial" w:hAnsi="Arial" w:cs="Arial"/>
          <w:b/>
          <w:color w:val="000000"/>
          <w:sz w:val="28"/>
        </w:rPr>
        <w:t>4:09.3Unattended or Restricted Dog</w:t>
      </w:r>
    </w:p>
    <w:p w:rsidR="004729FB" w:rsidRDefault="004729FB" w:rsidP="004729FB">
      <w:pPr>
        <w:spacing w:line="60" w:lineRule="exact"/>
      </w:pPr>
      <w:r>
        <w:pict>
          <v:line id="_x0000_s1136" style="position:absolute;z-index:25175244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leaving a dog outside and unattended by use of a restraint. In order to convict the defendant, the State must prove that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the defendant intentionally left a dog outside and unattended by the use of a restraint; and</w:t>
      </w:r>
    </w:p>
    <w:p w:rsidR="004729FB" w:rsidRDefault="004729FB" w:rsidP="004729FB">
      <w:pPr>
        <w:spacing w:before="200" w:line="260" w:lineRule="atLeast"/>
        <w:ind w:left="400"/>
        <w:jc w:val="both"/>
      </w:pPr>
      <w:r>
        <w:rPr>
          <w:rFonts w:ascii="Arial" w:eastAsia="Arial" w:hAnsi="Arial" w:cs="Arial"/>
          <w:b/>
          <w:color w:val="000000"/>
          <w:sz w:val="20"/>
        </w:rPr>
        <w:t>(2) the restraint unreasonably limited the movement of the dog; or</w:t>
      </w:r>
    </w:p>
    <w:p w:rsidR="004729FB" w:rsidRDefault="004729FB" w:rsidP="004729FB">
      <w:pPr>
        <w:spacing w:before="200" w:line="260" w:lineRule="atLeast"/>
        <w:ind w:left="400"/>
        <w:jc w:val="both"/>
      </w:pPr>
      <w:r>
        <w:rPr>
          <w:rFonts w:ascii="Arial" w:eastAsia="Arial" w:hAnsi="Arial" w:cs="Arial"/>
          <w:b/>
          <w:color w:val="000000"/>
          <w:sz w:val="20"/>
        </w:rPr>
        <w:t>(3) the restraint included a collar that [was made primarily of metal] [was not at least one (1) inch larger than the circumference of the dog's neck]; or</w:t>
      </w:r>
    </w:p>
    <w:p w:rsidR="004729FB" w:rsidRDefault="004729FB" w:rsidP="004729FB">
      <w:pPr>
        <w:spacing w:before="200" w:line="260" w:lineRule="atLeast"/>
        <w:ind w:left="400"/>
        <w:jc w:val="both"/>
      </w:pPr>
      <w:r>
        <w:rPr>
          <w:rFonts w:ascii="Arial" w:eastAsia="Arial" w:hAnsi="Arial" w:cs="Arial"/>
          <w:b/>
          <w:color w:val="000000"/>
          <w:sz w:val="20"/>
        </w:rPr>
        <w:t>(4) the restraint restricted access of the dog to [suitable and sufficient clean water] [appropriate shelter]; or</w:t>
      </w:r>
    </w:p>
    <w:p w:rsidR="004729FB" w:rsidRDefault="004729FB" w:rsidP="004729FB">
      <w:pPr>
        <w:spacing w:before="200" w:line="260" w:lineRule="atLeast"/>
        <w:ind w:left="400"/>
        <w:jc w:val="both"/>
      </w:pPr>
      <w:r>
        <w:rPr>
          <w:rFonts w:ascii="Arial" w:eastAsia="Arial" w:hAnsi="Arial" w:cs="Arial"/>
          <w:b/>
          <w:color w:val="000000"/>
          <w:sz w:val="20"/>
        </w:rPr>
        <w:t>(5) the restraint left the dog in unsafe or unsanitary conditions; or</w:t>
      </w:r>
    </w:p>
    <w:p w:rsidR="004729FB" w:rsidRDefault="004729FB" w:rsidP="004729FB">
      <w:pPr>
        <w:spacing w:before="200" w:line="260" w:lineRule="atLeast"/>
        <w:ind w:left="400"/>
        <w:jc w:val="both"/>
      </w:pPr>
      <w:r>
        <w:rPr>
          <w:rFonts w:ascii="Arial" w:eastAsia="Arial" w:hAnsi="Arial" w:cs="Arial"/>
          <w:b/>
          <w:color w:val="000000"/>
          <w:sz w:val="20"/>
        </w:rPr>
        <w:t>(6) the restraint caused an injury to the dog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"Collar" means a device constructed of nylon, leather, or similar material specifically designed to be used around the neck of a dog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"Restraint" means a chain, rope, tether, cable, or other device that attaches a dog to a stationary object or trolley system</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There are no reported appellate opinions interpreting or applying CRIM. LAW II § 10-623.</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46" style="position:absolute;z-index:25176268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4:09, MPJI-Cr 4:09.1, MPJI-Cr 4:09.2.</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53" style="position:absolute;left:0;text-align:left;z-index:251769856;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10:48:00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77923604</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523" w:history="1">
        <w:r>
          <w:rPr>
            <w:rFonts w:ascii="Arial" w:eastAsia="Arial" w:hAnsi="Arial" w:cs="Arial"/>
            <w:color w:val="000000"/>
            <w:sz w:val="20"/>
            <w:u w:val="single"/>
          </w:rPr>
          <w:t xml:space="preserve"> </w:t>
        </w:r>
      </w:hyperlink>
      <w:hyperlink r:id="rId524" w:history="1">
        <w:r>
          <w:rPr>
            <w:rFonts w:ascii="Arial" w:eastAsia="Arial" w:hAnsi="Arial" w:cs="Arial"/>
            <w:i/>
            <w:color w:val="0077CC"/>
            <w:sz w:val="20"/>
            <w:u w:val="single"/>
          </w:rPr>
          <w:t>Driving While Impaired by Alcohol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525" w:history="1">
        <w:r>
          <w:rPr>
            <w:rFonts w:ascii="Arial" w:eastAsia="Arial" w:hAnsi="Arial" w:cs="Arial"/>
            <w:color w:val="000000"/>
            <w:sz w:val="20"/>
            <w:u w:val="single"/>
          </w:rPr>
          <w:t xml:space="preserve"> </w:t>
        </w:r>
      </w:hyperlink>
      <w:hyperlink r:id="rId526" w:history="1">
        <w:r>
          <w:rPr>
            <w:rFonts w:ascii="Arial" w:eastAsia="Arial" w:hAnsi="Arial" w:cs="Arial"/>
            <w:i/>
            <w:color w:val="0077CC"/>
            <w:sz w:val="20"/>
            <w:u w:val="single"/>
          </w:rPr>
          <w:t>Driving--Actual Physical Control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527" w:history="1">
        <w:r>
          <w:rPr>
            <w:rFonts w:ascii="Arial" w:eastAsia="Arial" w:hAnsi="Arial" w:cs="Arial"/>
            <w:color w:val="000000"/>
            <w:sz w:val="20"/>
            <w:u w:val="single"/>
          </w:rPr>
          <w:t xml:space="preserve"> </w:t>
        </w:r>
      </w:hyperlink>
      <w:hyperlink r:id="rId528" w:history="1">
        <w:r>
          <w:rPr>
            <w:rFonts w:ascii="Arial" w:eastAsia="Arial" w:hAnsi="Arial" w:cs="Arial"/>
            <w:i/>
            <w:color w:val="0077CC"/>
            <w:sz w:val="20"/>
            <w:u w:val="single"/>
          </w:rPr>
          <w:t>Driving under the Influence of Alcohol Per Se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529" w:history="1">
        <w:r>
          <w:rPr>
            <w:rFonts w:ascii="Arial" w:eastAsia="Arial" w:hAnsi="Arial" w:cs="Arial"/>
            <w:color w:val="000000"/>
            <w:sz w:val="20"/>
            <w:u w:val="single"/>
          </w:rPr>
          <w:t xml:space="preserve"> </w:t>
        </w:r>
      </w:hyperlink>
      <w:hyperlink r:id="rId530" w:history="1">
        <w:r>
          <w:rPr>
            <w:rFonts w:ascii="Arial" w:eastAsia="Arial" w:hAnsi="Arial" w:cs="Arial"/>
            <w:i/>
            <w:color w:val="0077CC"/>
            <w:sz w:val="20"/>
            <w:u w:val="single"/>
          </w:rPr>
          <w:t>Driving under the Influence of Alcohol and Driving While Impaired by Alcohol--Blood or Breath Test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531" w:history="1">
        <w:r>
          <w:rPr>
            <w:rFonts w:ascii="Arial" w:eastAsia="Arial" w:hAnsi="Arial" w:cs="Arial"/>
            <w:color w:val="000000"/>
            <w:sz w:val="20"/>
            <w:u w:val="single"/>
          </w:rPr>
          <w:t xml:space="preserve"> </w:t>
        </w:r>
      </w:hyperlink>
      <w:hyperlink r:id="rId532" w:history="1">
        <w:r>
          <w:rPr>
            <w:rFonts w:ascii="Arial" w:eastAsia="Arial" w:hAnsi="Arial" w:cs="Arial"/>
            <w:i/>
            <w:color w:val="0077CC"/>
            <w:sz w:val="20"/>
            <w:u w:val="single"/>
          </w:rPr>
          <w:t>Driving under the Influence of Alcohol and Driving While Impaired by Alcohol--Effect of Refusal to Submit to Blood or Breath Test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533" w:history="1">
        <w:r>
          <w:rPr>
            <w:rFonts w:ascii="Arial" w:eastAsia="Arial" w:hAnsi="Arial" w:cs="Arial"/>
            <w:color w:val="000000"/>
            <w:sz w:val="20"/>
            <w:u w:val="single"/>
          </w:rPr>
          <w:t xml:space="preserve"> </w:t>
        </w:r>
      </w:hyperlink>
      <w:hyperlink r:id="rId534" w:history="1">
        <w:r>
          <w:rPr>
            <w:rFonts w:ascii="Arial" w:eastAsia="Arial" w:hAnsi="Arial" w:cs="Arial"/>
            <w:i/>
            <w:color w:val="0077CC"/>
            <w:sz w:val="20"/>
            <w:u w:val="single"/>
          </w:rPr>
          <w:t>Driving While Impaired by Drugs or Drugs and Alcohol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535" w:history="1">
        <w:r>
          <w:rPr>
            <w:rFonts w:ascii="Arial" w:eastAsia="Arial" w:hAnsi="Arial" w:cs="Arial"/>
            <w:color w:val="000000"/>
            <w:sz w:val="20"/>
            <w:u w:val="single"/>
          </w:rPr>
          <w:t xml:space="preserve"> </w:t>
        </w:r>
      </w:hyperlink>
      <w:hyperlink r:id="rId536" w:history="1">
        <w:r>
          <w:rPr>
            <w:rFonts w:ascii="Arial" w:eastAsia="Arial" w:hAnsi="Arial" w:cs="Arial"/>
            <w:i/>
            <w:color w:val="0077CC"/>
            <w:sz w:val="20"/>
            <w:u w:val="single"/>
          </w:rPr>
          <w:t>Second Degree Escape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537" w:history="1">
        <w:r>
          <w:rPr>
            <w:rFonts w:ascii="Arial" w:eastAsia="Arial" w:hAnsi="Arial" w:cs="Arial"/>
            <w:color w:val="000000"/>
            <w:sz w:val="20"/>
            <w:u w:val="single"/>
          </w:rPr>
          <w:t xml:space="preserve"> </w:t>
        </w:r>
      </w:hyperlink>
      <w:hyperlink r:id="rId538" w:history="1">
        <w:r>
          <w:rPr>
            <w:rFonts w:ascii="Arial" w:eastAsia="Arial" w:hAnsi="Arial" w:cs="Arial"/>
            <w:i/>
            <w:color w:val="0077CC"/>
            <w:sz w:val="20"/>
            <w:u w:val="single"/>
          </w:rPr>
          <w:t>First Degree Escape--Escape from Lawful Confinement or from Juvenile Facility with Assault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539" w:history="1">
        <w:r>
          <w:rPr>
            <w:rFonts w:ascii="Arial" w:eastAsia="Arial" w:hAnsi="Arial" w:cs="Arial"/>
            <w:color w:val="000000"/>
            <w:sz w:val="20"/>
            <w:u w:val="single"/>
          </w:rPr>
          <w:t xml:space="preserve"> </w:t>
        </w:r>
      </w:hyperlink>
      <w:hyperlink r:id="rId540" w:history="1">
        <w:r>
          <w:rPr>
            <w:rFonts w:ascii="Arial" w:eastAsia="Arial" w:hAnsi="Arial" w:cs="Arial"/>
            <w:i/>
            <w:color w:val="0077CC"/>
            <w:sz w:val="20"/>
            <w:u w:val="single"/>
          </w:rPr>
          <w:t>Extortion--Falsity an Element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541" w:history="1">
        <w:r>
          <w:rPr>
            <w:rFonts w:ascii="Arial" w:eastAsia="Arial" w:hAnsi="Arial" w:cs="Arial"/>
            <w:color w:val="000000"/>
            <w:sz w:val="20"/>
            <w:u w:val="single"/>
          </w:rPr>
          <w:t xml:space="preserve"> </w:t>
        </w:r>
      </w:hyperlink>
      <w:hyperlink r:id="rId542" w:history="1">
        <w:r>
          <w:rPr>
            <w:rFonts w:ascii="Arial" w:eastAsia="Arial" w:hAnsi="Arial" w:cs="Arial"/>
            <w:i/>
            <w:color w:val="0077CC"/>
            <w:sz w:val="20"/>
            <w:u w:val="single"/>
          </w:rPr>
          <w:t>Extortion by Verbal or Written Threat--Falsity not an Element</w:t>
        </w:r>
      </w:hyperlink>
    </w:p>
    <w:p w:rsidR="004729FB" w:rsidRDefault="004729FB" w:rsidP="004729FB">
      <w:pPr>
        <w:spacing w:before="80" w:line="240" w:lineRule="atLeast"/>
        <w:ind w:left="290"/>
        <w:sectPr w:rsidR="004729FB" w:rsidSect="004729FB">
          <w:headerReference w:type="even" r:id="rId543"/>
          <w:headerReference w:type="default" r:id="rId544"/>
          <w:footerReference w:type="even" r:id="rId545"/>
          <w:footerReference w:type="default" r:id="rId546"/>
          <w:headerReference w:type="first" r:id="rId547"/>
          <w:footerReference w:type="first" r:id="rId548"/>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3" name="Picture 4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55" w:history="1">
        <w:r>
          <w:rPr>
            <w:rFonts w:ascii="Arial" w:eastAsia="Arial" w:hAnsi="Arial" w:cs="Arial"/>
            <w:b/>
            <w:bCs/>
            <w:i/>
            <w:color w:val="0077CC"/>
            <w:kern w:val="32"/>
            <w:sz w:val="28"/>
            <w:szCs w:val="32"/>
            <w:u w:val="single"/>
          </w:rPr>
          <w:t>MPJI-Cr 4:10.1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WHILE IMPAIRED BY ALCOHOL</w:t>
      </w:r>
    </w:p>
    <w:p w:rsidR="004729FB" w:rsidRDefault="004729FB" w:rsidP="004729FB">
      <w:pPr>
        <w:keepNext/>
        <w:spacing w:before="240" w:line="340" w:lineRule="atLeast"/>
      </w:pPr>
      <w:r>
        <w:br/>
      </w:r>
      <w:r>
        <w:rPr>
          <w:rFonts w:ascii="Arial" w:eastAsia="Arial" w:hAnsi="Arial" w:cs="Arial"/>
          <w:b/>
          <w:color w:val="000000"/>
          <w:sz w:val="28"/>
        </w:rPr>
        <w:t>4:10.1Driving While Impaired by Alcohol</w:t>
      </w:r>
    </w:p>
    <w:p w:rsidR="004729FB" w:rsidRDefault="004729FB" w:rsidP="004729FB">
      <w:pPr>
        <w:spacing w:line="60" w:lineRule="exact"/>
      </w:pPr>
      <w:r>
        <w:pict>
          <v:line id="_x0000_s1154" style="position:absolute;z-index:25177190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driving while impaired by alcohol.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or moved a vehicle [or was in actual physical control of a vehicle]; and</w:t>
      </w:r>
    </w:p>
    <w:p w:rsidR="004729FB" w:rsidRDefault="004729FB" w:rsidP="004729FB">
      <w:pPr>
        <w:spacing w:before="200" w:line="260" w:lineRule="atLeast"/>
        <w:ind w:left="400"/>
        <w:jc w:val="both"/>
      </w:pPr>
      <w:r>
        <w:rPr>
          <w:rFonts w:ascii="Arial" w:eastAsia="Arial" w:hAnsi="Arial" w:cs="Arial"/>
          <w:b/>
          <w:color w:val="000000"/>
          <w:sz w:val="20"/>
        </w:rPr>
        <w:t>(2) that, at the time, the defendant was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person is impaired by alcohol when alcohol has to some extent impaired the person's normal coordination. This means that the person's abilities have been reduced by the consumption of alcohol. Even if the defendant consumed alcohol, the defendant cannot be found guilty unless the defendant was impaired by alcohol</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4:10 (Driving under the Influence of Alcohol and Driving While Impaired).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64" style="position:absolute;z-index:25178214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 MPJI-Cr 4:10.2, MPJI-Cr 4:10.3, MPJI-Cr 4:10.4, MPJI-Cr 4:10.5.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4" style="position:absolute;left:0;text-align:left;z-index:25179238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2" name="Picture 4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62" w:history="1">
        <w:r>
          <w:rPr>
            <w:rFonts w:ascii="Arial" w:eastAsia="Arial" w:hAnsi="Arial" w:cs="Arial"/>
            <w:b/>
            <w:bCs/>
            <w:i/>
            <w:color w:val="0077CC"/>
            <w:kern w:val="32"/>
            <w:sz w:val="28"/>
            <w:szCs w:val="32"/>
            <w:u w:val="single"/>
          </w:rPr>
          <w:t>MPJI-Cr 4:10.2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DRIVING--ACTUAL PHYSICAL CONTROL</w:t>
      </w:r>
    </w:p>
    <w:p w:rsidR="004729FB" w:rsidRDefault="004729FB" w:rsidP="004729FB">
      <w:pPr>
        <w:keepNext/>
        <w:spacing w:before="240" w:line="340" w:lineRule="atLeast"/>
      </w:pPr>
      <w:r>
        <w:br/>
      </w:r>
      <w:r>
        <w:rPr>
          <w:rFonts w:ascii="Arial" w:eastAsia="Arial" w:hAnsi="Arial" w:cs="Arial"/>
          <w:b/>
          <w:color w:val="000000"/>
          <w:sz w:val="28"/>
        </w:rPr>
        <w:t>4:10.2Driving--Actual Physical Control</w:t>
      </w:r>
    </w:p>
    <w:p w:rsidR="004729FB" w:rsidRDefault="004729FB" w:rsidP="004729FB">
      <w:pPr>
        <w:spacing w:line="60" w:lineRule="exact"/>
      </w:pPr>
      <w:r>
        <w:pict>
          <v:line id="_x0000_s1155" style="position:absolute;z-index:25177292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In this case, there [is] [may be] an issue as to whether the defendant was in actual physical control of a vehicle. To decide if the defendant was in actual physical control of the vehicle, you should consider whether there is evidence that the defendant was physically able and likely to move the vehicle at that time. Relevant factors and circumstances to consider may include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whether the vehicle's engine was running or the ignition was 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whether the parking brake was engaged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whether and in what position the defendant was found in the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whether the defendant was awake or asleep</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(5) where the vehicle's ignition key was located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(6) whether the vehicle's headlights were on; and</w:t>
      </w:r>
    </w:p>
    <w:p w:rsidR="004729FB" w:rsidRDefault="004729FB" w:rsidP="004729FB">
      <w:pPr>
        <w:spacing w:before="200" w:line="260" w:lineRule="atLeast"/>
        <w:ind w:left="400"/>
        <w:jc w:val="both"/>
      </w:pPr>
      <w:r>
        <w:rPr>
          <w:rFonts w:ascii="Arial" w:eastAsia="Arial" w:hAnsi="Arial" w:cs="Arial"/>
          <w:b/>
          <w:color w:val="000000"/>
          <w:sz w:val="20"/>
        </w:rPr>
        <w:t>(7) whether the vehicle was located in the roadway or was legally parked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No single factor will necessarily determine whether a person is in actual physical control, and it is up to you to decide what weight to give to the relevant factors. If a person is using a vehicle only as a stationary shelter, that person is not in actual physical control</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4:10 (Driving under the Influence of Alcohol and Driving While Impaired by Alcohol); MPJI-Cr 4:10.1 (Driving While Impaired by Alcohol).</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Atkinson v. State</w:t>
            </w:r>
            <w:r>
              <w:rPr>
                <w:rFonts w:ascii="Arial" w:eastAsia="Arial" w:hAnsi="Arial" w:cs="Arial"/>
                <w:color w:val="000000"/>
                <w:sz w:val="20"/>
              </w:rPr>
              <w:t xml:space="preserve">, the Court of Appeals determined that the phrase "actual physical control" means "something more than merely sleeping in a legally parked vehicle with the ignition off." </w:t>
            </w:r>
            <w:hyperlink r:id="rId563" w:history="1">
              <w:r>
                <w:rPr>
                  <w:rFonts w:ascii="Arial" w:eastAsia="Arial" w:hAnsi="Arial" w:cs="Arial"/>
                  <w:i/>
                  <w:color w:val="0077CC"/>
                  <w:sz w:val="20"/>
                  <w:u w:val="single"/>
                </w:rPr>
                <w:t>331 Md. 199, 215, 627 A.2d 1019, 1027 (1993).</w:t>
              </w:r>
            </w:hyperlink>
            <w:r>
              <w:rPr>
                <w:rFonts w:ascii="Arial" w:eastAsia="Arial" w:hAnsi="Arial" w:cs="Arial"/>
                <w:color w:val="000000"/>
                <w:sz w:val="20"/>
              </w:rPr>
              <w:t xml:space="preserve"> The court held that a "person is in 'actual physical control' if the person is presently exercising or is imminently likely to exercise 'restraining or directing influence' over a motor vehicle while in an intoxicated condition." </w:t>
            </w:r>
            <w:r>
              <w:rPr>
                <w:rFonts w:ascii="Arial" w:eastAsia="Arial" w:hAnsi="Arial" w:cs="Arial"/>
                <w:i/>
                <w:color w:val="000000"/>
                <w:sz w:val="20"/>
              </w:rPr>
              <w:t>Id.</w:t>
            </w:r>
            <w:r>
              <w:rPr>
                <w:rFonts w:ascii="Arial" w:eastAsia="Arial" w:hAnsi="Arial" w:cs="Arial"/>
                <w:color w:val="000000"/>
                <w:sz w:val="20"/>
              </w:rPr>
              <w:t xml:space="preserve"> The Court stated:</w:t>
            </w:r>
          </w:p>
          <w:p w:rsidR="004729FB" w:rsidRDefault="004729FB" w:rsidP="00713DA5">
            <w:pPr>
              <w:spacing w:before="60" w:line="260" w:lineRule="atLeast"/>
              <w:ind w:left="460" w:right="360"/>
              <w:jc w:val="both"/>
            </w:pPr>
            <w:r>
              <w:rPr>
                <w:rFonts w:ascii="Arial" w:eastAsia="Arial" w:hAnsi="Arial" w:cs="Arial"/>
                <w:color w:val="000000"/>
                <w:sz w:val="20"/>
              </w:rPr>
              <w:t xml:space="preserve">[B]y using the term "actual physical control," the legislature intended to differentiate between those inebriated people who represent no threat to the public because they are only using their vehicles as </w:t>
            </w:r>
            <w:r>
              <w:rPr>
                <w:rFonts w:ascii="Arial" w:eastAsia="Arial" w:hAnsi="Arial" w:cs="Arial"/>
                <w:color w:val="000000"/>
                <w:sz w:val="20"/>
              </w:rPr>
              <w:lastRenderedPageBreak/>
              <w:t>shelters until they are sober enough to drive and those people who represent an imminent threat to the public by reason of their control of a vehicle. When the occupant is totally passive, has not in any way attempted to actively control the vehicle, and there is no reason to believe that the inebriated person is imminently going to control the vehicle in his or her condition, we do not believe that the legislature intended criminal sanctions to apply.</w:t>
            </w:r>
          </w:p>
          <w:p w:rsidR="004729FB" w:rsidRDefault="004729FB" w:rsidP="00713DA5">
            <w:pPr>
              <w:spacing w:before="240" w:line="260" w:lineRule="atLeast"/>
              <w:ind w:left="60" w:right="360"/>
              <w:jc w:val="both"/>
            </w:pPr>
            <w:hyperlink r:id="rId564" w:history="1">
              <w:r>
                <w:rPr>
                  <w:rFonts w:ascii="Arial" w:eastAsia="Arial" w:hAnsi="Arial" w:cs="Arial"/>
                  <w:i/>
                  <w:color w:val="0077CC"/>
                  <w:sz w:val="20"/>
                  <w:u w:val="single"/>
                </w:rPr>
                <w:t>Id. at 216, 627 A.2d at 1027.</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The </w:t>
            </w:r>
            <w:r>
              <w:rPr>
                <w:rFonts w:ascii="Arial" w:eastAsia="Arial" w:hAnsi="Arial" w:cs="Arial"/>
                <w:i/>
                <w:color w:val="000000"/>
                <w:sz w:val="20"/>
              </w:rPr>
              <w:t>Atkinson</w:t>
            </w:r>
            <w:r>
              <w:rPr>
                <w:rFonts w:ascii="Arial" w:eastAsia="Arial" w:hAnsi="Arial" w:cs="Arial"/>
                <w:color w:val="000000"/>
                <w:sz w:val="20"/>
              </w:rPr>
              <w:t xml:space="preserve"> Court identified six non-exclusive factors to guide the determination of whether an individual is presently exercising, or will imminently exercise, control over the vehicle or is using the vehicle as a stationary shelter, as follows:</w:t>
            </w:r>
          </w:p>
          <w:p w:rsidR="004729FB" w:rsidRDefault="004729FB" w:rsidP="00713DA5">
            <w:pPr>
              <w:spacing w:before="60" w:line="260" w:lineRule="atLeast"/>
              <w:ind w:left="460" w:right="360"/>
              <w:jc w:val="both"/>
            </w:pPr>
            <w:r>
              <w:rPr>
                <w:rFonts w:ascii="Arial" w:eastAsia="Arial" w:hAnsi="Arial" w:cs="Arial"/>
                <w:color w:val="000000"/>
                <w:sz w:val="20"/>
              </w:rPr>
              <w:t>1) whether or not the vehicle's engine is running, or the ignition on;</w:t>
            </w:r>
          </w:p>
          <w:p w:rsidR="004729FB" w:rsidRDefault="004729FB" w:rsidP="00713DA5">
            <w:pPr>
              <w:spacing w:before="60" w:line="260" w:lineRule="atLeast"/>
              <w:ind w:left="460" w:right="360"/>
              <w:jc w:val="both"/>
            </w:pPr>
            <w:r>
              <w:rPr>
                <w:rFonts w:ascii="Arial" w:eastAsia="Arial" w:hAnsi="Arial" w:cs="Arial"/>
                <w:color w:val="000000"/>
                <w:sz w:val="20"/>
              </w:rPr>
              <w:t>2) where and in what position the person is found in the vehicle;</w:t>
            </w:r>
          </w:p>
          <w:p w:rsidR="004729FB" w:rsidRDefault="004729FB" w:rsidP="00713DA5">
            <w:pPr>
              <w:spacing w:before="60" w:line="260" w:lineRule="atLeast"/>
              <w:ind w:left="460" w:right="360"/>
              <w:jc w:val="both"/>
            </w:pPr>
            <w:r>
              <w:rPr>
                <w:rFonts w:ascii="Arial" w:eastAsia="Arial" w:hAnsi="Arial" w:cs="Arial"/>
                <w:color w:val="000000"/>
                <w:sz w:val="20"/>
              </w:rPr>
              <w:t>3) whether the person is awake or asleep;</w:t>
            </w:r>
          </w:p>
          <w:p w:rsidR="004729FB" w:rsidRDefault="004729FB" w:rsidP="00713DA5">
            <w:pPr>
              <w:spacing w:before="60" w:line="260" w:lineRule="atLeast"/>
              <w:ind w:left="460" w:right="360"/>
              <w:jc w:val="both"/>
            </w:pPr>
            <w:r>
              <w:rPr>
                <w:rFonts w:ascii="Arial" w:eastAsia="Arial" w:hAnsi="Arial" w:cs="Arial"/>
                <w:color w:val="000000"/>
                <w:sz w:val="20"/>
              </w:rPr>
              <w:t>4) where the vehicle's ignition key is located;</w:t>
            </w:r>
          </w:p>
          <w:p w:rsidR="004729FB" w:rsidRDefault="004729FB" w:rsidP="00713DA5">
            <w:pPr>
              <w:spacing w:before="60" w:line="260" w:lineRule="atLeast"/>
              <w:ind w:left="460" w:right="360"/>
              <w:jc w:val="both"/>
            </w:pPr>
            <w:r>
              <w:rPr>
                <w:rFonts w:ascii="Arial" w:eastAsia="Arial" w:hAnsi="Arial" w:cs="Arial"/>
                <w:color w:val="000000"/>
                <w:sz w:val="20"/>
              </w:rPr>
              <w:t>5) whether the vehicle's headlights are on; [and]</w:t>
            </w:r>
          </w:p>
          <w:p w:rsidR="004729FB" w:rsidRDefault="004729FB" w:rsidP="00713DA5">
            <w:pPr>
              <w:spacing w:before="60" w:line="260" w:lineRule="atLeast"/>
              <w:ind w:left="460" w:right="360"/>
              <w:jc w:val="both"/>
            </w:pPr>
            <w:r>
              <w:rPr>
                <w:rFonts w:ascii="Arial" w:eastAsia="Arial" w:hAnsi="Arial" w:cs="Arial"/>
                <w:color w:val="000000"/>
                <w:sz w:val="20"/>
              </w:rPr>
              <w:t>6) whether the vehicle is located in the roadway or is legally parked.</w:t>
            </w:r>
          </w:p>
          <w:p w:rsidR="004729FB" w:rsidRDefault="004729FB" w:rsidP="00713DA5">
            <w:pPr>
              <w:spacing w:before="200" w:line="260" w:lineRule="atLeast"/>
              <w:ind w:left="60" w:right="360"/>
              <w:jc w:val="both"/>
            </w:pPr>
            <w:r>
              <w:rPr>
                <w:rFonts w:ascii="Arial" w:eastAsia="Arial" w:hAnsi="Arial" w:cs="Arial"/>
                <w:i/>
                <w:color w:val="000000"/>
                <w:sz w:val="20"/>
              </w:rPr>
              <w:t xml:space="preserve">Id.; see also </w:t>
            </w:r>
            <w:hyperlink r:id="rId565" w:history="1">
              <w:r>
                <w:rPr>
                  <w:rFonts w:ascii="Arial" w:eastAsia="Arial" w:hAnsi="Arial" w:cs="Arial"/>
                  <w:i/>
                  <w:color w:val="0077CC"/>
                  <w:sz w:val="20"/>
                  <w:u w:val="single"/>
                </w:rPr>
                <w:t>Motor Vehicle Admin. v. Atterbeary, 368 Md. 480, 798 A.2d 75 (2002);</w:t>
              </w:r>
            </w:hyperlink>
            <w:r>
              <w:rPr>
                <w:rFonts w:ascii="Arial" w:eastAsia="Arial" w:hAnsi="Arial" w:cs="Arial"/>
                <w:color w:val="000000"/>
                <w:sz w:val="20"/>
              </w:rPr>
              <w:t xml:space="preserve"> </w:t>
            </w:r>
            <w:hyperlink r:id="rId566" w:history="1">
              <w:r>
                <w:rPr>
                  <w:rFonts w:ascii="Arial" w:eastAsia="Arial" w:hAnsi="Arial" w:cs="Arial"/>
                  <w:i/>
                  <w:color w:val="0077CC"/>
                  <w:sz w:val="20"/>
                  <w:u w:val="single"/>
                </w:rPr>
                <w:t>Thomas v. State, 277 Md. 314, 353 A.2d 256 (1976);</w:t>
              </w:r>
            </w:hyperlink>
            <w:r>
              <w:rPr>
                <w:rFonts w:ascii="Arial" w:eastAsia="Arial" w:hAnsi="Arial" w:cs="Arial"/>
                <w:color w:val="000000"/>
                <w:sz w:val="20"/>
              </w:rPr>
              <w:t xml:space="preserve"> </w:t>
            </w:r>
            <w:hyperlink r:id="rId567" w:history="1">
              <w:r>
                <w:rPr>
                  <w:rFonts w:ascii="Arial" w:eastAsia="Arial" w:hAnsi="Arial" w:cs="Arial"/>
                  <w:i/>
                  <w:color w:val="0077CC"/>
                  <w:sz w:val="20"/>
                  <w:u w:val="single"/>
                </w:rPr>
                <w:t>Dukes v. State, 178 Md. App. 38, 940 A.2d 211</w:t>
              </w:r>
            </w:hyperlink>
            <w:r>
              <w:rPr>
                <w:rFonts w:ascii="Arial" w:eastAsia="Arial" w:hAnsi="Arial" w:cs="Arial"/>
                <w:color w:val="000000"/>
                <w:sz w:val="20"/>
              </w:rPr>
              <w:t xml:space="preserve"> (finding that a driver who was asleep in a car stopped in the right turn lane with the headlights on and keys immediately below him on the car floor was in control of the car),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405 Md. 64, 949 A.2d 652 (2008);</w:t>
            </w:r>
            <w:r>
              <w:rPr>
                <w:rFonts w:ascii="Arial" w:eastAsia="Arial" w:hAnsi="Arial" w:cs="Arial"/>
                <w:color w:val="000000"/>
                <w:sz w:val="20"/>
              </w:rPr>
              <w:t xml:space="preserve"> </w:t>
            </w:r>
            <w:hyperlink r:id="rId568" w:history="1">
              <w:r>
                <w:rPr>
                  <w:rFonts w:ascii="Arial" w:eastAsia="Arial" w:hAnsi="Arial" w:cs="Arial"/>
                  <w:i/>
                  <w:color w:val="0077CC"/>
                  <w:sz w:val="20"/>
                  <w:u w:val="single"/>
                </w:rPr>
                <w:t>Gore v. State, 74 Md. App. 143, 536 A.2d 735,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312 Md. 601, 541 A.2d 964 (1988).</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65" style="position:absolute;z-index:25178316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 MPJI-Cr 4:10.1, MPJI-Cr 4:10.3, MPJI-Cr 4:10.4, MPJI-Cr 4:10.5.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5" style="position:absolute;left:0;text-align:left;z-index:2517934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1" name="Picture 4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75" w:history="1">
        <w:r>
          <w:rPr>
            <w:rFonts w:ascii="Arial" w:eastAsia="Arial" w:hAnsi="Arial" w:cs="Arial"/>
            <w:b/>
            <w:bCs/>
            <w:i/>
            <w:color w:val="0077CC"/>
            <w:kern w:val="32"/>
            <w:sz w:val="28"/>
            <w:szCs w:val="32"/>
            <w:u w:val="single"/>
          </w:rPr>
          <w:t>MPJI-Cr 4:10.3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UNDER THE INFLUENCE OF ALCOHOL PER SE</w:t>
      </w:r>
    </w:p>
    <w:p w:rsidR="004729FB" w:rsidRDefault="004729FB" w:rsidP="004729FB">
      <w:pPr>
        <w:keepNext/>
        <w:spacing w:before="240" w:line="340" w:lineRule="atLeast"/>
      </w:pPr>
      <w:r>
        <w:br/>
      </w:r>
      <w:r>
        <w:rPr>
          <w:rFonts w:ascii="Arial" w:eastAsia="Arial" w:hAnsi="Arial" w:cs="Arial"/>
          <w:b/>
          <w:color w:val="000000"/>
          <w:sz w:val="28"/>
        </w:rPr>
        <w:t>4:10.3Driving under the Influence of Alcohol Per Se</w:t>
      </w:r>
    </w:p>
    <w:p w:rsidR="004729FB" w:rsidRDefault="004729FB" w:rsidP="004729FB">
      <w:pPr>
        <w:spacing w:line="60" w:lineRule="exact"/>
      </w:pPr>
      <w:r>
        <w:pict>
          <v:line id="_x0000_s1156" style="position:absolute;z-index:2517739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driving under the influence of alcohol per se.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or moved a vehicle [or was in actual physical control of a vehicle]; and</w:t>
      </w:r>
    </w:p>
    <w:p w:rsidR="004729FB" w:rsidRDefault="004729FB" w:rsidP="004729FB">
      <w:pPr>
        <w:spacing w:before="200" w:line="260" w:lineRule="atLeast"/>
        <w:ind w:left="400"/>
        <w:jc w:val="both"/>
      </w:pPr>
      <w:r>
        <w:rPr>
          <w:rFonts w:ascii="Arial" w:eastAsia="Arial" w:hAnsi="Arial" w:cs="Arial"/>
          <w:b/>
          <w:color w:val="000000"/>
          <w:sz w:val="20"/>
        </w:rPr>
        <w:t>(2) that, at the time of testing, the defendant was under the influence of alcohol per 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person is under the influence of alcohol per se if the person took a test that showed an alcohol level at the time of 0.08 or more. If you find that, at the time of testing, the defendant had an alcohol level of 0.08 or more, from that fact alone, you may, but are not required to, find that the defendant was driving under the influence of alcohol per se. When deciding what weight, if any, to give to the test result you may consider all of the evidence in the case [including any evidence that tends to show the test result was inaccurate or unreliable]. [Alcohol level is measured by grams of alcohol per 100 milliliters of blood or grams of alcohol per 210 liters of breath.]</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In 1995, the Maryland General Assembly amended TRANSP. III § 21-902(a) to add a criminal per se provision. 1995 Md. Laws Ch. 498. Section 21-902(a)(2) provides: "A person may not drive or attempt to drive any vehicle while the person is under the influence of alcohol per se." Section 11-174.1(a) defines "under the influence of alcohol per se" as "having an alcohol concentration at the time of testing of 0.08 or more as measured by grams of alcohol per 100 milliliters of blood or grams of alcohol per 210 liters of breath."</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576" w:history="1">
              <w:r>
                <w:rPr>
                  <w:rFonts w:ascii="Arial" w:eastAsia="Arial" w:hAnsi="Arial" w:cs="Arial"/>
                  <w:i/>
                  <w:color w:val="0077CC"/>
                  <w:sz w:val="20"/>
                  <w:u w:val="single"/>
                </w:rPr>
                <w:t>Meanor, 364 Md. 511, 774 A.2d 394,</w:t>
              </w:r>
            </w:hyperlink>
            <w:r>
              <w:rPr>
                <w:rFonts w:ascii="Arial" w:eastAsia="Arial" w:hAnsi="Arial" w:cs="Arial"/>
                <w:color w:val="000000"/>
                <w:sz w:val="20"/>
              </w:rPr>
              <w:t xml:space="preserve"> the Court of Appeals held that (1) the legislature intended driving under the influence of alcohol per se to be a separate criminal offense and not merely an easier way of proving driving under the influence of alcohol, and (2) because driving under the influence of alcohol per se is not a lesser included offense, the defendant must be charged separately with driving under the influence of alcohol per se. Although DUI and DUI per se charges and convictions are separate, in </w:t>
            </w:r>
            <w:hyperlink r:id="rId577" w:history="1">
              <w:r>
                <w:rPr>
                  <w:rFonts w:ascii="Arial" w:eastAsia="Arial" w:hAnsi="Arial" w:cs="Arial"/>
                  <w:i/>
                  <w:color w:val="0077CC"/>
                  <w:sz w:val="20"/>
                  <w:u w:val="single"/>
                </w:rPr>
                <w:t>Washington v. State, 190 Md. App. 168, 174, 988 A.2d 61, 65 (2010),</w:t>
              </w:r>
            </w:hyperlink>
            <w:r>
              <w:rPr>
                <w:rFonts w:ascii="Arial" w:eastAsia="Arial" w:hAnsi="Arial" w:cs="Arial"/>
                <w:color w:val="000000"/>
                <w:sz w:val="20"/>
              </w:rPr>
              <w:t xml:space="preserve"> the Court of Special Appeals held that "sentences for DUI and DUI </w:t>
            </w:r>
            <w:r>
              <w:rPr>
                <w:rFonts w:ascii="Arial" w:eastAsia="Arial" w:hAnsi="Arial" w:cs="Arial"/>
                <w:i/>
                <w:color w:val="000000"/>
                <w:sz w:val="20"/>
              </w:rPr>
              <w:t>per se</w:t>
            </w:r>
            <w:r>
              <w:rPr>
                <w:rFonts w:ascii="Arial" w:eastAsia="Arial" w:hAnsi="Arial" w:cs="Arial"/>
                <w:color w:val="000000"/>
                <w:sz w:val="20"/>
              </w:rPr>
              <w:t xml:space="preserve"> should have been merged under the rule of lenity" when there was one act of driving.</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578" w:history="1">
              <w:r>
                <w:rPr>
                  <w:rFonts w:ascii="Arial" w:eastAsia="Arial" w:hAnsi="Arial" w:cs="Arial"/>
                  <w:i/>
                  <w:color w:val="0077CC"/>
                  <w:sz w:val="20"/>
                  <w:u w:val="single"/>
                </w:rPr>
                <w:t>Brown v. State, 171 Md. App. 489, 910 A.2d 571 (2006),</w:t>
              </w:r>
            </w:hyperlink>
            <w:r>
              <w:rPr>
                <w:rFonts w:ascii="Arial" w:eastAsia="Arial" w:hAnsi="Arial" w:cs="Arial"/>
                <w:color w:val="000000"/>
                <w:sz w:val="20"/>
              </w:rPr>
              <w:t xml:space="preserve"> the Court of Special Appeals rejected a claim </w:t>
            </w:r>
            <w:r>
              <w:rPr>
                <w:rFonts w:ascii="Arial" w:eastAsia="Arial" w:hAnsi="Arial" w:cs="Arial"/>
                <w:color w:val="000000"/>
                <w:sz w:val="20"/>
              </w:rPr>
              <w:lastRenderedPageBreak/>
              <w:t>that the offense of driving under the influence of alcohol per se under § 21-902(a)(2) contained an impermissible mandatory conclusive presumption that the defendant was under the influence of alcohol based on a test result of 0.08 or more. The Court, in rejecting that argument, cited with approval the following quote from a Texas appellate decision rejecting a similar argument:</w:t>
            </w:r>
          </w:p>
          <w:p w:rsidR="004729FB" w:rsidRDefault="004729FB" w:rsidP="00713DA5">
            <w:pPr>
              <w:spacing w:before="200" w:line="260" w:lineRule="atLeast"/>
              <w:ind w:left="460" w:right="360"/>
              <w:jc w:val="both"/>
            </w:pPr>
            <w:r>
              <w:rPr>
                <w:rFonts w:ascii="Arial" w:eastAsia="Arial" w:hAnsi="Arial" w:cs="Arial"/>
                <w:color w:val="000000"/>
                <w:sz w:val="20"/>
              </w:rPr>
              <w:t xml:space="preserve">[T]he trier of fact must still be convinced beyond a reasonable doubt that the chemical test provides trustworthy evidence of alcohol concentration in a defendant's breath, blood or urine. [And,] the [trier of fact] must still be convinced beyond a reasonable doubt that an inference can be made from the results of the chemical test that the defendant had [the statutorily defined] alcohol concentration in his body </w:t>
            </w:r>
            <w:r>
              <w:rPr>
                <w:rFonts w:ascii="Arial" w:eastAsia="Arial" w:hAnsi="Arial" w:cs="Arial"/>
                <w:i/>
                <w:color w:val="000000"/>
                <w:sz w:val="20"/>
              </w:rPr>
              <w:t>at the time of the offense</w:t>
            </w:r>
            <w:r>
              <w:rPr>
                <w:rFonts w:ascii="Arial" w:eastAsia="Arial" w:hAnsi="Arial" w:cs="Arial"/>
                <w:color w:val="000000"/>
                <w:sz w:val="20"/>
              </w:rPr>
              <w:t>.</w:t>
            </w:r>
          </w:p>
          <w:p w:rsidR="004729FB" w:rsidRDefault="004729FB" w:rsidP="00713DA5">
            <w:pPr>
              <w:spacing w:before="240" w:line="260" w:lineRule="atLeast"/>
              <w:ind w:left="60" w:right="360"/>
              <w:jc w:val="both"/>
            </w:pPr>
            <w:hyperlink r:id="rId579" w:history="1">
              <w:r>
                <w:rPr>
                  <w:rFonts w:ascii="Arial" w:eastAsia="Arial" w:hAnsi="Arial" w:cs="Arial"/>
                  <w:i/>
                  <w:color w:val="0077CC"/>
                  <w:sz w:val="20"/>
                  <w:u w:val="single"/>
                </w:rPr>
                <w:t>Brown, 171 Md. App. at 516, 910 A.2d at 586</w:t>
              </w:r>
            </w:hyperlink>
            <w:r>
              <w:rPr>
                <w:rFonts w:ascii="Arial" w:eastAsia="Arial" w:hAnsi="Arial" w:cs="Arial"/>
                <w:color w:val="000000"/>
                <w:sz w:val="20"/>
              </w:rPr>
              <w:t xml:space="preserve"> (quoting </w:t>
            </w:r>
            <w:hyperlink r:id="rId580" w:history="1">
              <w:r>
                <w:rPr>
                  <w:rFonts w:ascii="Arial" w:eastAsia="Arial" w:hAnsi="Arial" w:cs="Arial"/>
                  <w:i/>
                  <w:color w:val="0077CC"/>
                  <w:sz w:val="20"/>
                  <w:u w:val="single"/>
                </w:rPr>
                <w:t>Forte v. Texas, 707 S.W.2d 89, 94-95 (Tex. Crim. App. 1986)</w:t>
              </w:r>
            </w:hyperlink>
            <w:r>
              <w:rPr>
                <w:rFonts w:ascii="Arial" w:eastAsia="Arial" w:hAnsi="Arial" w:cs="Arial"/>
                <w:color w:val="000000"/>
                <w:sz w:val="20"/>
              </w:rPr>
              <w:t xml:space="preserve"> (en banc)) (emphasis in original).</w:t>
            </w:r>
          </w:p>
          <w:p w:rsidR="004729FB" w:rsidRDefault="004729FB" w:rsidP="00713DA5">
            <w:pPr>
              <w:spacing w:before="200" w:line="260" w:lineRule="atLeast"/>
              <w:ind w:left="60" w:right="360"/>
              <w:jc w:val="both"/>
            </w:pPr>
            <w:r>
              <w:rPr>
                <w:rFonts w:ascii="Arial" w:eastAsia="Arial" w:hAnsi="Arial" w:cs="Arial"/>
                <w:color w:val="000000"/>
                <w:sz w:val="20"/>
              </w:rPr>
              <w:t xml:space="preserve">Under revised MPJI-Cr 4:10.3, the jury "may, but [is] not required to find" from an 0.08 alcohol level "that the defendant was driving under the influence of alcohol per se." </w:t>
            </w:r>
            <w:r>
              <w:rPr>
                <w:rFonts w:ascii="Arial" w:eastAsia="Arial" w:hAnsi="Arial" w:cs="Arial"/>
                <w:i/>
                <w:color w:val="000000"/>
                <w:sz w:val="20"/>
              </w:rPr>
              <w:t>See id.</w:t>
            </w:r>
            <w:r>
              <w:rPr>
                <w:rFonts w:ascii="Arial" w:eastAsia="Arial" w:hAnsi="Arial" w:cs="Arial"/>
                <w:color w:val="000000"/>
                <w:sz w:val="20"/>
              </w:rPr>
              <w:t xml:space="preserve"> at 511, 910 A.2d at 583 ("Section 21-902(a)(2) can be read to create a permissive inference that allows, but does not require, the trier of fact to find the defendant was driving under the influence of alcohol or impaired by alcohol.").</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66" style="position:absolute;z-index:25178419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 MPJI-Cr 4:10.1, MPJI-Cr 4:10.2, MPJI-Cr 4:10.4, MPJI-Cr 4:10.5.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6" style="position:absolute;left:0;text-align:left;z-index:2517944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0" name="Picture 4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587" w:history="1">
        <w:r>
          <w:rPr>
            <w:rFonts w:ascii="Arial" w:eastAsia="Arial" w:hAnsi="Arial" w:cs="Arial"/>
            <w:b/>
            <w:bCs/>
            <w:i/>
            <w:color w:val="0077CC"/>
            <w:kern w:val="32"/>
            <w:sz w:val="28"/>
            <w:szCs w:val="32"/>
            <w:u w:val="single"/>
          </w:rPr>
          <w:t>MPJI-Cr 4:10.4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UNDER THE INFLUENCE OF ALCOHOL AND DRIVING WHILE IMPAIRED BY ALCOHOL--BLOOD OR BREATH TEST</w:t>
      </w:r>
    </w:p>
    <w:p w:rsidR="004729FB" w:rsidRDefault="004729FB" w:rsidP="004729FB">
      <w:pPr>
        <w:keepNext/>
        <w:spacing w:before="240" w:line="340" w:lineRule="atLeast"/>
      </w:pPr>
      <w:r>
        <w:br/>
      </w:r>
      <w:r>
        <w:rPr>
          <w:rFonts w:ascii="Arial" w:eastAsia="Arial" w:hAnsi="Arial" w:cs="Arial"/>
          <w:b/>
          <w:color w:val="000000"/>
          <w:sz w:val="28"/>
        </w:rPr>
        <w:t>4:10.4Driving under the Influence of Alcohol and Driving While Impaired by Alcohol--Blood or Breath Test</w:t>
      </w:r>
    </w:p>
    <w:p w:rsidR="004729FB" w:rsidRDefault="004729FB" w:rsidP="004729FB">
      <w:pPr>
        <w:spacing w:line="60" w:lineRule="exact"/>
      </w:pPr>
      <w:r>
        <w:pict>
          <v:line id="_x0000_s1157" style="position:absolute;z-index:2517749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You have heard evidence that the defendant's [blood] [breath] was tested for the purpose of determining the level of alcohol in the defendant's [blood] [breath]. [Alcohol level is measured by grams of alcohol per 100 milliliters of blood or grams of alcohol per 210 liters of breath.] The effect of such test results is as follows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ALCOHOL LEVEL OF.08 OR MORE</w:t>
      </w:r>
    </w:p>
    <w:p w:rsidR="004729FB" w:rsidRDefault="004729FB" w:rsidP="004729FB">
      <w:pPr>
        <w:spacing w:before="200" w:line="260" w:lineRule="atLeast"/>
        <w:jc w:val="both"/>
      </w:pPr>
      <w:r>
        <w:rPr>
          <w:rFonts w:ascii="Arial" w:eastAsia="Arial" w:hAnsi="Arial" w:cs="Arial"/>
          <w:b/>
          <w:color w:val="000000"/>
          <w:sz w:val="20"/>
        </w:rPr>
        <w:t>If you find that, at the time of testing, the defendant had an alcohol level of .08 or more, from that amount alone, you may, but are not required to, find that the defendant was under the influence of alcohol or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ALCOHOL LEVEL OF.07</w:t>
      </w:r>
    </w:p>
    <w:p w:rsidR="004729FB" w:rsidRDefault="004729FB" w:rsidP="004729FB">
      <w:pPr>
        <w:spacing w:before="200" w:line="260" w:lineRule="atLeast"/>
        <w:jc w:val="both"/>
      </w:pPr>
      <w:r>
        <w:rPr>
          <w:rFonts w:ascii="Arial" w:eastAsia="Arial" w:hAnsi="Arial" w:cs="Arial"/>
          <w:b/>
          <w:color w:val="000000"/>
          <w:sz w:val="20"/>
        </w:rPr>
        <w:t>If you find that, at the time of testing, the defendant had an alcohol level of .07 or more, but less than .08, you may consider this alcohol level in determining whether the defendant was either under the influence of alcohol or impaired by alcohol. You cannot find that the defendant was under the influence of alcohol based solely on an alcohol level of .07. However, you may, but are not required to, find that the defendant was impaired by alcohol based solely on an alcohol level of .07</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ALCOHOL LEVEL OF GREATER THAN .05, BUT LESS THAN .07</w:t>
      </w:r>
    </w:p>
    <w:p w:rsidR="004729FB" w:rsidRDefault="004729FB" w:rsidP="004729FB">
      <w:pPr>
        <w:spacing w:before="200" w:line="260" w:lineRule="atLeast"/>
        <w:jc w:val="both"/>
      </w:pPr>
      <w:r>
        <w:rPr>
          <w:rFonts w:ascii="Arial" w:eastAsia="Arial" w:hAnsi="Arial" w:cs="Arial"/>
          <w:b/>
          <w:color w:val="000000"/>
          <w:sz w:val="20"/>
        </w:rPr>
        <w:t>If you find that, at the time of testing, the defendant had an alcohol level greater than .05, but less than .07, you may consider this alcohol level in determining whether the defendant was under the influence of alcohol or impaired by alcohol. You cannot find either that the defendant was under the influence of alcohol or impaired by alcohol based solely on an alcohol level greater than .05, but less than .07</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ALCOHOL LEVEL OF.05 OR LESS</w:t>
      </w:r>
    </w:p>
    <w:p w:rsidR="004729FB" w:rsidRDefault="004729FB" w:rsidP="004729FB">
      <w:pPr>
        <w:spacing w:before="200" w:line="260" w:lineRule="atLeast"/>
        <w:jc w:val="both"/>
      </w:pPr>
      <w:r>
        <w:rPr>
          <w:rFonts w:ascii="Arial" w:eastAsia="Arial" w:hAnsi="Arial" w:cs="Arial"/>
          <w:b/>
          <w:color w:val="000000"/>
          <w:sz w:val="20"/>
        </w:rPr>
        <w:lastRenderedPageBreak/>
        <w:t>If you find that, at the time of testing, the defendant had an alcohol level of .05 or less, you must presume that the defendant was not under the influence of alcohol and was not impaired by alcohol. You are required to find the defendant not guilty unless the State has persuaded you, beyond a reasonable doubt, that the other evidence in the case overcomes the presumption and proves that the defendant was under the influence of alcohol or impaired by alcohol</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results of chemical testing to determine the alcohol content of the defendant's blood are admissible for the offenses of homicide by motor vehicle while under the influence of alcohol under MD. CODE ANN., CRIMINAL LAW I § 2-503 (2012 &amp; Supp. 2018) (hereinafter CRIM. LAW I or II § _____________ ), and driving or attempting to drive under the influence of alcohol or driving while impaired by alcohol or drugs under MD. CODE ANN., TRANSPORTATION III § 21-902 (2012 &amp; Supp. 2018). </w:t>
            </w:r>
            <w:r>
              <w:rPr>
                <w:rFonts w:ascii="Arial" w:eastAsia="Arial" w:hAnsi="Arial" w:cs="Arial"/>
                <w:i/>
                <w:color w:val="000000"/>
                <w:sz w:val="20"/>
              </w:rPr>
              <w:t>See</w:t>
            </w:r>
            <w:r>
              <w:rPr>
                <w:rFonts w:ascii="Arial" w:eastAsia="Arial" w:hAnsi="Arial" w:cs="Arial"/>
                <w:color w:val="000000"/>
                <w:sz w:val="20"/>
              </w:rPr>
              <w:t xml:space="preserve"> MD. CODE ANN., COURTS AND JUDICIAL PROCEEDINGS II § 10-307 (2013 &amp; Supp. 2018) (hereinafter CTS. &amp; JUD. PROC. I or II § ____ ); CRIM. LAW I § 2-502(b) (applying evidentiary rules and presumptions of CTS. &amp; JUD. PROC. II § 10-307).</w:t>
            </w:r>
          </w:p>
          <w:p w:rsidR="004729FB" w:rsidRDefault="004729FB" w:rsidP="00713DA5">
            <w:pPr>
              <w:spacing w:before="200" w:line="260" w:lineRule="atLeast"/>
              <w:ind w:left="60" w:right="360"/>
              <w:jc w:val="both"/>
            </w:pPr>
            <w:r>
              <w:rPr>
                <w:rFonts w:ascii="Arial" w:eastAsia="Arial" w:hAnsi="Arial" w:cs="Arial"/>
                <w:color w:val="000000"/>
                <w:sz w:val="20"/>
              </w:rPr>
              <w:t xml:space="preserve">For the procedural requirements surrounding the admissibility of the results of chemical testing, see CTS. &amp; JUD. PROC. II §§ 10-302-09. </w:t>
            </w:r>
            <w:r>
              <w:rPr>
                <w:rFonts w:ascii="Arial" w:eastAsia="Arial" w:hAnsi="Arial" w:cs="Arial"/>
                <w:i/>
                <w:color w:val="000000"/>
                <w:sz w:val="20"/>
              </w:rPr>
              <w:t xml:space="preserve">See </w:t>
            </w:r>
            <w:hyperlink r:id="rId588" w:history="1">
              <w:r>
                <w:rPr>
                  <w:rFonts w:ascii="Arial" w:eastAsia="Arial" w:hAnsi="Arial" w:cs="Arial"/>
                  <w:i/>
                  <w:color w:val="0077CC"/>
                  <w:sz w:val="20"/>
                  <w:u w:val="single"/>
                </w:rPr>
                <w:t>State v. Loscomb, 291 Md. 424, 435 A.2d 764 (1981),</w:t>
              </w:r>
            </w:hyperlink>
            <w:r>
              <w:rPr>
                <w:rFonts w:ascii="Arial" w:eastAsia="Arial" w:hAnsi="Arial" w:cs="Arial"/>
                <w:color w:val="000000"/>
                <w:sz w:val="20"/>
              </w:rPr>
              <w:t xml:space="preserve"> </w:t>
            </w:r>
            <w:r>
              <w:rPr>
                <w:rFonts w:ascii="Arial" w:eastAsia="Arial" w:hAnsi="Arial" w:cs="Arial"/>
                <w:i/>
                <w:color w:val="000000"/>
                <w:sz w:val="20"/>
              </w:rPr>
              <w:t xml:space="preserve">superseded by statute as stated in </w:t>
            </w:r>
            <w:hyperlink r:id="rId589" w:history="1">
              <w:r>
                <w:rPr>
                  <w:rFonts w:ascii="Arial" w:eastAsia="Arial" w:hAnsi="Arial" w:cs="Arial"/>
                  <w:i/>
                  <w:color w:val="0077CC"/>
                  <w:sz w:val="20"/>
                  <w:u w:val="single"/>
                </w:rPr>
                <w:t>Meanor v. State, 364 Md. 511, 527 n.7, 774 A.2d 394, 403 n.7 (2001);</w:t>
              </w:r>
            </w:hyperlink>
            <w:r>
              <w:rPr>
                <w:rFonts w:ascii="Arial" w:eastAsia="Arial" w:hAnsi="Arial" w:cs="Arial"/>
                <w:color w:val="000000"/>
                <w:sz w:val="20"/>
              </w:rPr>
              <w:t xml:space="preserve"> </w:t>
            </w:r>
            <w:hyperlink r:id="rId590" w:history="1">
              <w:r>
                <w:rPr>
                  <w:rFonts w:ascii="Arial" w:eastAsia="Arial" w:hAnsi="Arial" w:cs="Arial"/>
                  <w:i/>
                  <w:color w:val="0077CC"/>
                  <w:sz w:val="20"/>
                  <w:u w:val="single"/>
                </w:rPr>
                <w:t>Willis v. State, 55 Md. App. 65, 460 A.2d 1043 (1983),</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591" w:history="1">
              <w:r>
                <w:rPr>
                  <w:rFonts w:ascii="Arial" w:eastAsia="Arial" w:hAnsi="Arial" w:cs="Arial"/>
                  <w:i/>
                  <w:color w:val="0077CC"/>
                  <w:sz w:val="20"/>
                  <w:u w:val="single"/>
                </w:rPr>
                <w:t>302 Md. 363, 488 A.2d 171 (1985);</w:t>
              </w:r>
            </w:hyperlink>
            <w:r>
              <w:rPr>
                <w:rFonts w:ascii="Arial" w:eastAsia="Arial" w:hAnsi="Arial" w:cs="Arial"/>
                <w:color w:val="000000"/>
                <w:sz w:val="20"/>
              </w:rPr>
              <w:t xml:space="preserve"> 68 Op. Md. Att'y Gen. 446 (1983); Christopher W. Nicholson, Note, </w:t>
            </w:r>
            <w:r>
              <w:rPr>
                <w:rFonts w:ascii="Arial" w:eastAsia="Arial" w:hAnsi="Arial" w:cs="Arial"/>
                <w:i/>
                <w:color w:val="000000"/>
                <w:sz w:val="20"/>
              </w:rPr>
              <w:t>Maryland's Drunk Driving Laws: An Overview</w:t>
            </w:r>
            <w:r>
              <w:rPr>
                <w:rFonts w:ascii="Arial" w:eastAsia="Arial" w:hAnsi="Arial" w:cs="Arial"/>
                <w:color w:val="000000"/>
                <w:sz w:val="20"/>
              </w:rPr>
              <w:t xml:space="preserve">, 11 U. BALT. L. REV. 357, 363-65 (1982); </w:t>
            </w:r>
            <w:r>
              <w:rPr>
                <w:rFonts w:ascii="Arial" w:eastAsia="Arial" w:hAnsi="Arial" w:cs="Arial"/>
                <w:i/>
                <w:color w:val="000000"/>
                <w:sz w:val="20"/>
              </w:rPr>
              <w:t xml:space="preserve">see also </w:t>
            </w:r>
            <w:hyperlink r:id="rId592" w:history="1">
              <w:r>
                <w:rPr>
                  <w:rFonts w:ascii="Arial" w:eastAsia="Arial" w:hAnsi="Arial" w:cs="Arial"/>
                  <w:i/>
                  <w:color w:val="0077CC"/>
                  <w:sz w:val="20"/>
                  <w:u w:val="single"/>
                </w:rPr>
                <w:t>State v. Moon, 291 Md. 463, 436 A.2d 420 (1981),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469 U.S. 1207 (1985).</w:t>
            </w:r>
          </w:p>
          <w:p w:rsidR="004729FB" w:rsidRDefault="004729FB" w:rsidP="00713DA5">
            <w:pPr>
              <w:spacing w:before="240" w:line="260" w:lineRule="atLeast"/>
              <w:ind w:left="60" w:right="360"/>
              <w:jc w:val="both"/>
            </w:pPr>
            <w:r>
              <w:rPr>
                <w:rFonts w:ascii="Arial" w:eastAsia="Arial" w:hAnsi="Arial" w:cs="Arial"/>
                <w:color w:val="000000"/>
                <w:sz w:val="20"/>
              </w:rPr>
              <w:t xml:space="preserve">Evidence of being under the influence of alcohol or impaired by alcohol may come from chemical testing alone, CTS. &amp; JUD. PROC. II § 10-307, from a combination of chemical testing and other evidence, CTS. &amp; JUD. PROC. II § 10-308, or from other evidence alone. </w:t>
            </w:r>
            <w:hyperlink r:id="rId593" w:history="1">
              <w:r>
                <w:rPr>
                  <w:rFonts w:ascii="Arial" w:eastAsia="Arial" w:hAnsi="Arial" w:cs="Arial"/>
                  <w:i/>
                  <w:color w:val="0077CC"/>
                  <w:sz w:val="20"/>
                  <w:u w:val="single"/>
                </w:rPr>
                <w:t>Major v. State, 31 Md. App. 590, 595-96, 358 A.2d 609, 612-13</w:t>
              </w:r>
            </w:hyperlink>
            <w:r>
              <w:rPr>
                <w:rFonts w:ascii="Arial" w:eastAsia="Arial" w:hAnsi="Arial" w:cs="Arial"/>
                <w:color w:val="000000"/>
                <w:sz w:val="20"/>
              </w:rPr>
              <w:t xml:space="preserve"> (strong odor of alcohol, staggering, inability to perform the "finger-to-nose" test, and confused speech),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722 (1976);</w:t>
            </w:r>
            <w:r>
              <w:rPr>
                <w:rFonts w:ascii="Arial" w:eastAsia="Arial" w:hAnsi="Arial" w:cs="Arial"/>
                <w:color w:val="000000"/>
                <w:sz w:val="20"/>
              </w:rPr>
              <w:t xml:space="preserve"> </w:t>
            </w:r>
            <w:r>
              <w:rPr>
                <w:rFonts w:ascii="Arial" w:eastAsia="Arial" w:hAnsi="Arial" w:cs="Arial"/>
                <w:i/>
                <w:color w:val="000000"/>
                <w:sz w:val="20"/>
              </w:rPr>
              <w:t xml:space="preserve">see </w:t>
            </w:r>
            <w:hyperlink r:id="rId594" w:history="1">
              <w:r>
                <w:rPr>
                  <w:rFonts w:ascii="Arial" w:eastAsia="Arial" w:hAnsi="Arial" w:cs="Arial"/>
                  <w:i/>
                  <w:color w:val="0077CC"/>
                  <w:sz w:val="20"/>
                  <w:u w:val="single"/>
                </w:rPr>
                <w:t>State v. Werkheiser, 299 Md. 529, 540, 474 A.2d 898, 904 (1984).</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Brown v. State</w:t>
            </w:r>
            <w:r>
              <w:rPr>
                <w:rFonts w:ascii="Arial" w:eastAsia="Arial" w:hAnsi="Arial" w:cs="Arial"/>
                <w:color w:val="000000"/>
                <w:sz w:val="20"/>
              </w:rPr>
              <w:t xml:space="preserve">, the Court of Special Appeals rejected the argument that CTS. &amp; JUD. PROC. II § 10-307, which gives evidentiary significance to the results of chemical tests, is unconstitutional because it "permits the State to rely upon evidentiary presumptions that relieve the State of its burden of proof." </w:t>
            </w:r>
            <w:hyperlink r:id="rId595" w:history="1">
              <w:r>
                <w:rPr>
                  <w:rFonts w:ascii="Arial" w:eastAsia="Arial" w:hAnsi="Arial" w:cs="Arial"/>
                  <w:i/>
                  <w:color w:val="0077CC"/>
                  <w:sz w:val="20"/>
                  <w:u w:val="single"/>
                </w:rPr>
                <w:t>171 Md. App. 489, 504, 910 A.2d 571, 579 (2006).</w:t>
              </w:r>
            </w:hyperlink>
            <w:r>
              <w:rPr>
                <w:rFonts w:ascii="Arial" w:eastAsia="Arial" w:hAnsi="Arial" w:cs="Arial"/>
                <w:color w:val="000000"/>
                <w:sz w:val="20"/>
              </w:rPr>
              <w:t xml:space="preserve"> The Court read the statute "to create a permissive inference that allows, but does not require, the trier of fact to find the defendant was driving under the influence of alcohol or impaired by alcohol." </w:t>
            </w:r>
            <w:hyperlink r:id="rId596" w:history="1">
              <w:r>
                <w:rPr>
                  <w:rFonts w:ascii="Arial" w:eastAsia="Arial" w:hAnsi="Arial" w:cs="Arial"/>
                  <w:i/>
                  <w:color w:val="0077CC"/>
                  <w:sz w:val="20"/>
                  <w:u w:val="single"/>
                </w:rPr>
                <w:t>Id. at 511, 910 A.2d at 583.</w:t>
              </w:r>
            </w:hyperlink>
            <w:r>
              <w:rPr>
                <w:rFonts w:ascii="Arial" w:eastAsia="Arial" w:hAnsi="Arial" w:cs="Arial"/>
                <w:color w:val="000000"/>
                <w:sz w:val="20"/>
              </w:rPr>
              <w:t xml:space="preserve"> Therefore, the statute "does not shift to the defendant either a burden of production or of persuasion that the defendant was not driving while under the influence of alcohol or impaired by alcohol." </w:t>
            </w:r>
            <w:r>
              <w:rPr>
                <w:rFonts w:ascii="Arial" w:eastAsia="Arial" w:hAnsi="Arial" w:cs="Arial"/>
                <w:i/>
                <w:color w:val="000000"/>
                <w:sz w:val="20"/>
              </w:rPr>
              <w:t>Id.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lastRenderedPageBreak/>
        <w:br/>
      </w:r>
      <w:r>
        <w:pict>
          <v:line id="_x0000_s1167" style="position:absolute;left:0;text-align:left;z-index:25178521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9" name="Picture 3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03" w:history="1">
        <w:r>
          <w:rPr>
            <w:rFonts w:ascii="Arial" w:eastAsia="Arial" w:hAnsi="Arial" w:cs="Arial"/>
            <w:b/>
            <w:bCs/>
            <w:i/>
            <w:color w:val="0077CC"/>
            <w:kern w:val="32"/>
            <w:sz w:val="28"/>
            <w:szCs w:val="32"/>
            <w:u w:val="single"/>
          </w:rPr>
          <w:t>MPJI-Cr 4:10.5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UNDER THE INFLUENCE OF ALCOHOL AND DRIVING WHILE IMPAIRED BY ALCOHOL--EFFECT OF REFUSAL TO SUBMIT TO BLOOD OR BREATH TEST</w:t>
      </w:r>
    </w:p>
    <w:p w:rsidR="004729FB" w:rsidRDefault="004729FB" w:rsidP="004729FB">
      <w:pPr>
        <w:keepNext/>
        <w:spacing w:before="240" w:line="340" w:lineRule="atLeast"/>
      </w:pPr>
      <w:r>
        <w:br/>
      </w:r>
      <w:r>
        <w:rPr>
          <w:rFonts w:ascii="Arial" w:eastAsia="Arial" w:hAnsi="Arial" w:cs="Arial"/>
          <w:b/>
          <w:color w:val="000000"/>
          <w:sz w:val="28"/>
        </w:rPr>
        <w:t>4:10.5Driving under the Influence of Alcohol and Driving While Impaired by Alcohol--Effect of Refusal to Submit to Blood or Breath Test</w:t>
      </w:r>
    </w:p>
    <w:p w:rsidR="004729FB" w:rsidRDefault="004729FB" w:rsidP="004729FB">
      <w:pPr>
        <w:spacing w:line="60" w:lineRule="exact"/>
      </w:pPr>
      <w:r>
        <w:pict>
          <v:line id="_x0000_s1158" style="position:absolute;z-index:25177600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You have heard evidence that the defendant refused to submit to a test to determine [his] [her] [alcohol level] [the presence of drugs or a controlled dangerous substance]. You must first decide whether the defendant refused to submit to a test. If you find that the defendant refused to submit to a test, you must then decide whether this refusal is evidence of guilt. Refusal to submit to a test may be based on reasons that are consistent with innocence or other reasons that are consistent with guilt. In order to decide whether the defendant refused to submit to a test and what, if any, weight to give the refusal, you should consider all of the evidence in the case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South Dakota v. Neville</w:t>
            </w:r>
            <w:r>
              <w:rPr>
                <w:rFonts w:ascii="Arial" w:eastAsia="Arial" w:hAnsi="Arial" w:cs="Arial"/>
                <w:color w:val="000000"/>
                <w:sz w:val="20"/>
              </w:rPr>
              <w:t xml:space="preserve">, the Supreme Court held that the admission of the defendant's refusal to submit to a chemical test in an alcohol-related driving case does not violate the Fifth Amendment prohibition against compelled self-incrimination. </w:t>
            </w:r>
            <w:hyperlink r:id="rId604" w:history="1">
              <w:r>
                <w:rPr>
                  <w:rFonts w:ascii="Arial" w:eastAsia="Arial" w:hAnsi="Arial" w:cs="Arial"/>
                  <w:i/>
                  <w:color w:val="0077CC"/>
                  <w:sz w:val="20"/>
                  <w:u w:val="single"/>
                </w:rPr>
                <w:t>459 U.S. 553, 564 (1983).</w:t>
              </w:r>
            </w:hyperlink>
            <w:r>
              <w:rPr>
                <w:rFonts w:ascii="Arial" w:eastAsia="Arial" w:hAnsi="Arial" w:cs="Arial"/>
                <w:color w:val="000000"/>
                <w:sz w:val="20"/>
              </w:rPr>
              <w:t xml:space="preserve"> Subsequently, in 1986, the Maryland General Assembly permitted, under MD. CODE ANN., COURTS AND JUDICIAL PROCEEDINGS II § 10-309(a)(2) (1984) (hereinafter CTS. &amp; JUD. PROC. I or II § ____ ), the admissibility of such a refusal. However, the refusal could not be a factor in deciding the guilt or innocence of the defendant. In </w:t>
            </w:r>
            <w:r>
              <w:rPr>
                <w:rFonts w:ascii="Arial" w:eastAsia="Arial" w:hAnsi="Arial" w:cs="Arial"/>
                <w:i/>
                <w:color w:val="000000"/>
                <w:sz w:val="20"/>
              </w:rPr>
              <w:t>Krauss v. State</w:t>
            </w:r>
            <w:r>
              <w:rPr>
                <w:rFonts w:ascii="Arial" w:eastAsia="Arial" w:hAnsi="Arial" w:cs="Arial"/>
                <w:color w:val="000000"/>
                <w:sz w:val="20"/>
              </w:rPr>
              <w:t xml:space="preserve">, the Court of Appeals held that it was error to admit the refusal into evidence when such refusal is irrelevant to guilt or innocence. </w:t>
            </w:r>
            <w:hyperlink r:id="rId605" w:history="1">
              <w:r>
                <w:rPr>
                  <w:rFonts w:ascii="Arial" w:eastAsia="Arial" w:hAnsi="Arial" w:cs="Arial"/>
                  <w:i/>
                  <w:color w:val="0077CC"/>
                  <w:sz w:val="20"/>
                  <w:u w:val="single"/>
                </w:rPr>
                <w:t>322 Md. 376, 385-88, 587 A.2d 1102, 1106-08 (1991).</w:t>
              </w:r>
            </w:hyperlink>
          </w:p>
          <w:p w:rsidR="004729FB" w:rsidRDefault="004729FB" w:rsidP="00713DA5">
            <w:pPr>
              <w:spacing w:before="200" w:line="260" w:lineRule="atLeast"/>
              <w:ind w:left="60" w:right="360"/>
              <w:jc w:val="both"/>
            </w:pPr>
            <w:r>
              <w:rPr>
                <w:rFonts w:ascii="Arial" w:eastAsia="Arial" w:hAnsi="Arial" w:cs="Arial"/>
                <w:color w:val="000000"/>
                <w:sz w:val="20"/>
              </w:rPr>
              <w:t>In 2001, the Maryland General Assembly amended CTS. &amp; JUD. PROC. II § 10-309(a) to remedy the conflict discussed above. The new section permits the admission of the refusal but eliminated the requirement that such refusal was not to be considered in deciding guilt or innocence. Thus, the jury may determine what, if any, weight to give to the refusal.</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606" w:history="1">
              <w:r>
                <w:rPr>
                  <w:rFonts w:ascii="Arial" w:eastAsia="Arial" w:hAnsi="Arial" w:cs="Arial"/>
                  <w:i/>
                  <w:color w:val="0077CC"/>
                  <w:sz w:val="20"/>
                  <w:u w:val="single"/>
                </w:rPr>
                <w:t>Wyatt v. State, 149 Md. App. 554, 817 A.2d 901 (2003),</w:t>
              </w:r>
            </w:hyperlink>
            <w:r>
              <w:rPr>
                <w:rFonts w:ascii="Arial" w:eastAsia="Arial" w:hAnsi="Arial" w:cs="Arial"/>
                <w:color w:val="000000"/>
                <w:sz w:val="20"/>
              </w:rPr>
              <w:t xml:space="preserve"> the Court of Special Appeals held that (1) the statutory amendment that made evidence of a defendant's refusal to submit to breath-alcohol test admissible in DUI prosecution applies retroactively, (2) such retroactive application of the statute does not violate the prohibition against ex post facto laws, and (3) admission of evidence of refusal to submit to breath-alcohol testing does not violate the privilege against compelled self-incrimination.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68" style="position:absolute;z-index:25178624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 MPJI-Cr 4:10.1, MPJI-Cr 4:10.2, MPJI-Cr 4:10.3, MPJI-Cr 4:10.4.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7" style="position:absolute;left:0;text-align:left;z-index:2517954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8" name="Picture 3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13" w:history="1">
        <w:r>
          <w:rPr>
            <w:rFonts w:ascii="Arial" w:eastAsia="Arial" w:hAnsi="Arial" w:cs="Arial"/>
            <w:b/>
            <w:bCs/>
            <w:i/>
            <w:color w:val="0077CC"/>
            <w:kern w:val="32"/>
            <w:sz w:val="28"/>
            <w:szCs w:val="32"/>
            <w:u w:val="single"/>
          </w:rPr>
          <w:t>MPJI-Cr 4:10.6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DRIVING WHILE IMPAIRED BY DRUGS OR DRUGS AND ALCOHOL</w:t>
      </w:r>
    </w:p>
    <w:p w:rsidR="004729FB" w:rsidRDefault="004729FB" w:rsidP="004729FB">
      <w:pPr>
        <w:keepNext/>
        <w:spacing w:before="240" w:line="340" w:lineRule="atLeast"/>
      </w:pPr>
      <w:r>
        <w:br/>
      </w:r>
      <w:r>
        <w:rPr>
          <w:rFonts w:ascii="Arial" w:eastAsia="Arial" w:hAnsi="Arial" w:cs="Arial"/>
          <w:b/>
          <w:color w:val="000000"/>
          <w:sz w:val="28"/>
        </w:rPr>
        <w:t>4:10.6Driving While Impaired by Drugs or Drugs and Alcohol</w:t>
      </w:r>
    </w:p>
    <w:p w:rsidR="004729FB" w:rsidRDefault="004729FB" w:rsidP="004729FB">
      <w:pPr>
        <w:spacing w:line="60" w:lineRule="exact"/>
      </w:pPr>
      <w:r>
        <w:pict>
          <v:line id="_x0000_s1159" style="position:absolute;z-index:25177702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driving while impaired by (a) drug(s) [and alcohol].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or moved a vehicle [or was in actual physical control of a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at the time, the defendant was impaired by (a) drug(s) [and alcohol]; and</w:t>
      </w:r>
    </w:p>
    <w:p w:rsidR="004729FB" w:rsidRDefault="004729FB" w:rsidP="004729FB">
      <w:pPr>
        <w:spacing w:before="200" w:line="260" w:lineRule="atLeast"/>
        <w:ind w:left="400"/>
        <w:jc w:val="both"/>
      </w:pPr>
      <w:r>
        <w:rPr>
          <w:rFonts w:ascii="Arial" w:eastAsia="Arial" w:hAnsi="Arial" w:cs="Arial"/>
          <w:b/>
          <w:color w:val="000000"/>
          <w:sz w:val="20"/>
        </w:rPr>
        <w:t>(3) that, at the time, as a result of consuming (a) drug(s) [and alcohol], the defendant was incapable of driving safely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person is impaired by (a) drug(s) [and alcohol] when the drug(s) [and alcohol] has/have, to some extent, impaired the person's normal coordination. This means that the person's abilities have been reduced by the consumption of the drug(s) [and alcohol]. Even if the defendant consumed (a) drug(s) [and alcohol], the defendant cannot be found guilty unless the defendant was impaired by the drug(s) [and alcohol] and as a result was incapable of driving safely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[Legal use of a drug is a defense to this charge if the defendant was unaware that the drug(s) [and alcohol] would make him/her incapable of safely driving a vehicle. You are required to find the defendant not guilty unless the State has persuaded you, beyond a reasonable doubt, that [either] [the defendant was aware that the drug(s) [and alcohol] would make him/her incapable of safely driving a vehicle] [or that] [the defendant was not legally permitted to use the drug(s)].]</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TRANSPORTATION III § 21-902(c) prohibits driving while impaired by a drug, combination of drugs, or a combination of drugs and alcohol. This is the only offense under § 21-902 that also requires the State to prove that the defendant was incapable of driving safely. In </w:t>
            </w:r>
            <w:hyperlink r:id="rId614" w:history="1">
              <w:r>
                <w:rPr>
                  <w:rFonts w:ascii="Arial" w:eastAsia="Arial" w:hAnsi="Arial" w:cs="Arial"/>
                  <w:i/>
                  <w:color w:val="0077CC"/>
                  <w:sz w:val="20"/>
                  <w:u w:val="single"/>
                </w:rPr>
                <w:t>Cook v. State, 62 Md. App. 634, 490 A.2d 1311 (1985),</w:t>
              </w:r>
            </w:hyperlink>
            <w:r>
              <w:rPr>
                <w:rFonts w:ascii="Arial" w:eastAsia="Arial" w:hAnsi="Arial" w:cs="Arial"/>
                <w:color w:val="000000"/>
                <w:sz w:val="20"/>
              </w:rPr>
              <w:t xml:space="preserve"> the Court of Special Appeals held that "drugs" include controlled dangerous substances. Although the term is not defined in the statute, the court accepted the Webster International Dictionary definition of any "substance intended to affect the structure or function of the body of man or other animals," and as "a narcotic substance." </w:t>
            </w:r>
            <w:hyperlink r:id="rId615" w:history="1">
              <w:r>
                <w:rPr>
                  <w:rFonts w:ascii="Arial" w:eastAsia="Arial" w:hAnsi="Arial" w:cs="Arial"/>
                  <w:i/>
                  <w:color w:val="0077CC"/>
                  <w:sz w:val="20"/>
                  <w:u w:val="single"/>
                </w:rPr>
                <w:t>Cook, 62 Md. App. at 642, 490 A.2d at 1315.</w:t>
              </w:r>
            </w:hyperlink>
            <w:r>
              <w:rPr>
                <w:rFonts w:ascii="Arial" w:eastAsia="Arial" w:hAnsi="Arial" w:cs="Arial"/>
                <w:color w:val="000000"/>
                <w:sz w:val="20"/>
              </w:rPr>
              <w:t xml:space="preserve"> Drug is also defined in § 5-101 Criminal Law Article. MD. CODE ANN., CRIMINAL LAW I § 5-101(n) (2012 &amp; Supp. 2018) provides:</w:t>
            </w:r>
          </w:p>
          <w:p w:rsidR="004729FB" w:rsidRDefault="004729FB" w:rsidP="00713DA5">
            <w:pPr>
              <w:spacing w:before="200" w:line="260" w:lineRule="atLeast"/>
              <w:ind w:left="60" w:right="360"/>
              <w:jc w:val="both"/>
            </w:pPr>
            <w:r>
              <w:rPr>
                <w:rFonts w:ascii="Arial" w:eastAsia="Arial" w:hAnsi="Arial" w:cs="Arial"/>
                <w:color w:val="000000"/>
                <w:sz w:val="20"/>
              </w:rPr>
              <w:lastRenderedPageBreak/>
              <w:t>(n)(1) "Drug" means:</w:t>
            </w:r>
          </w:p>
          <w:p w:rsidR="004729FB" w:rsidRDefault="004729FB" w:rsidP="00713DA5">
            <w:pPr>
              <w:spacing w:before="60" w:line="260" w:lineRule="atLeast"/>
              <w:ind w:left="860" w:right="360"/>
              <w:jc w:val="both"/>
            </w:pPr>
            <w:r>
              <w:rPr>
                <w:rFonts w:ascii="Arial" w:eastAsia="Arial" w:hAnsi="Arial" w:cs="Arial"/>
                <w:color w:val="000000"/>
                <w:sz w:val="20"/>
              </w:rPr>
              <w:t>(i) a substance recognized in the official United States Pharmacopoeia, official Homeopathic Pharmacopoeia of the United States, or official National Formulary;</w:t>
            </w:r>
          </w:p>
          <w:p w:rsidR="004729FB" w:rsidRDefault="004729FB" w:rsidP="00713DA5">
            <w:pPr>
              <w:spacing w:before="60" w:line="260" w:lineRule="atLeast"/>
              <w:ind w:left="860" w:right="360"/>
              <w:jc w:val="both"/>
            </w:pPr>
            <w:r>
              <w:rPr>
                <w:rFonts w:ascii="Arial" w:eastAsia="Arial" w:hAnsi="Arial" w:cs="Arial"/>
                <w:color w:val="000000"/>
                <w:sz w:val="20"/>
              </w:rPr>
              <w:t>(ii) a substance intended for use in the diagnosis, cure, mitigation, treatment, or prevention of disease in humans or other animals;</w:t>
            </w:r>
          </w:p>
          <w:p w:rsidR="004729FB" w:rsidRDefault="004729FB" w:rsidP="00713DA5">
            <w:pPr>
              <w:spacing w:before="60" w:line="260" w:lineRule="atLeast"/>
              <w:ind w:left="860" w:right="360"/>
              <w:jc w:val="both"/>
            </w:pPr>
            <w:r>
              <w:rPr>
                <w:rFonts w:ascii="Arial" w:eastAsia="Arial" w:hAnsi="Arial" w:cs="Arial"/>
                <w:color w:val="000000"/>
                <w:sz w:val="20"/>
              </w:rPr>
              <w:t>(iii) except for food, a substance intended to affect the structure or function of the body of humans or other animals; or</w:t>
            </w:r>
          </w:p>
          <w:p w:rsidR="004729FB" w:rsidRDefault="004729FB" w:rsidP="00713DA5">
            <w:pPr>
              <w:spacing w:before="60" w:line="260" w:lineRule="atLeast"/>
              <w:ind w:left="860" w:right="360"/>
              <w:jc w:val="both"/>
            </w:pPr>
            <w:r>
              <w:rPr>
                <w:rFonts w:ascii="Arial" w:eastAsia="Arial" w:hAnsi="Arial" w:cs="Arial"/>
                <w:color w:val="000000"/>
                <w:sz w:val="20"/>
              </w:rPr>
              <w:t>(iv) a substance intended for use as a component of any substance specified in item (i), (ii), or (iii) of this paragraph.</w:t>
            </w:r>
          </w:p>
          <w:p w:rsidR="004729FB" w:rsidRDefault="004729FB" w:rsidP="00713DA5">
            <w:pPr>
              <w:spacing w:before="60" w:line="260" w:lineRule="atLeast"/>
              <w:ind w:left="460" w:right="360"/>
              <w:jc w:val="both"/>
            </w:pPr>
            <w:r>
              <w:rPr>
                <w:rFonts w:ascii="Arial" w:eastAsia="Arial" w:hAnsi="Arial" w:cs="Arial"/>
                <w:color w:val="000000"/>
                <w:sz w:val="20"/>
              </w:rPr>
              <w:t>(2) "Drug" does not include a device or an accessory, part, or a component of a device.</w:t>
            </w:r>
          </w:p>
          <w:p w:rsidR="004729FB" w:rsidRDefault="004729FB" w:rsidP="00713DA5">
            <w:pPr>
              <w:spacing w:before="200" w:line="260" w:lineRule="atLeast"/>
              <w:ind w:left="60" w:right="360"/>
              <w:jc w:val="both"/>
            </w:pPr>
            <w:r>
              <w:rPr>
                <w:rFonts w:ascii="Arial" w:eastAsia="Arial" w:hAnsi="Arial" w:cs="Arial"/>
                <w:color w:val="000000"/>
                <w:sz w:val="20"/>
              </w:rPr>
              <w:t>If the defendant has a prescription and "was entitled" to use the drug or drugs, it is not a defense "unless the person was unaware that the drug or combination would make the person incapable of safely driving a vehicle." TRANSP. III § 21-902(c)(1)(iv).</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69" style="position:absolute;left:0;text-align:left;z-index:25178726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7" name="Picture 3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22" w:history="1">
        <w:r>
          <w:rPr>
            <w:rFonts w:ascii="Arial" w:eastAsia="Arial" w:hAnsi="Arial" w:cs="Arial"/>
            <w:b/>
            <w:bCs/>
            <w:i/>
            <w:color w:val="0077CC"/>
            <w:kern w:val="32"/>
            <w:sz w:val="28"/>
            <w:szCs w:val="32"/>
            <w:u w:val="single"/>
          </w:rPr>
          <w:t>MPJI-Cr 4:11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SECOND DEGREE ESCAPE</w:t>
      </w:r>
    </w:p>
    <w:p w:rsidR="004729FB" w:rsidRDefault="004729FB" w:rsidP="004729FB">
      <w:pPr>
        <w:keepNext/>
        <w:spacing w:before="240" w:line="340" w:lineRule="atLeast"/>
      </w:pPr>
      <w:r>
        <w:br/>
      </w:r>
      <w:r>
        <w:rPr>
          <w:rFonts w:ascii="Arial" w:eastAsia="Arial" w:hAnsi="Arial" w:cs="Arial"/>
          <w:b/>
          <w:color w:val="000000"/>
          <w:sz w:val="28"/>
        </w:rPr>
        <w:t>4:11Second Degree Escape</w:t>
      </w:r>
    </w:p>
    <w:p w:rsidR="004729FB" w:rsidRDefault="004729FB" w:rsidP="004729FB">
      <w:pPr>
        <w:spacing w:line="60" w:lineRule="exact"/>
      </w:pPr>
      <w:r>
        <w:pict>
          <v:line id="_x0000_s1160" style="position:absolute;z-index:25177804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ESCAPE FROM CUSTODY FOLLOWING ARREST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second degree escape. A person commits the crime of second degree escape when [he] [she] leaves custody without permission after having been lawfully arrested. In order to convict the defendant of second degree escape,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lawfully arrested and placed in custody; and</w:t>
      </w:r>
    </w:p>
    <w:p w:rsidR="004729FB" w:rsidRDefault="004729FB" w:rsidP="004729FB">
      <w:pPr>
        <w:spacing w:before="200" w:line="260" w:lineRule="atLeast"/>
        <w:ind w:left="400"/>
        <w:jc w:val="both"/>
      </w:pPr>
      <w:r>
        <w:rPr>
          <w:rFonts w:ascii="Arial" w:eastAsia="Arial" w:hAnsi="Arial" w:cs="Arial"/>
          <w:b/>
          <w:color w:val="000000"/>
          <w:sz w:val="20"/>
        </w:rPr>
        <w:t>(2) that the defendant knowingly departed from custody without the permission of a law enforcement officer or a judicial officer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FAILURE TO REPORT TO PLACE OF CONFINEMENT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second degree escape. A person commits the crime of second degree escape when [he] [she] fails to report to a place of confinement. In order to convict the defendant of second degree escape,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ordered by a court to report to [a correctional facility] [a health and mental hygiene facility] [(</w:t>
      </w:r>
      <w:r>
        <w:rPr>
          <w:rFonts w:ascii="Arial" w:eastAsia="Arial" w:hAnsi="Arial" w:cs="Arial"/>
          <w:b/>
          <w:color w:val="000000"/>
          <w:sz w:val="20"/>
          <w:u w:val="single"/>
        </w:rPr>
        <w:t>other place of confinement</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knowingly failed to report to that [correctional facility] [health and mental hygiene facility] [(</w:t>
      </w:r>
      <w:r>
        <w:rPr>
          <w:rFonts w:ascii="Arial" w:eastAsia="Arial" w:hAnsi="Arial" w:cs="Arial"/>
          <w:b/>
          <w:color w:val="000000"/>
          <w:sz w:val="20"/>
          <w:u w:val="single"/>
        </w:rPr>
        <w:t>other place of confinement</w:t>
      </w:r>
      <w:r>
        <w:rPr>
          <w:rFonts w:ascii="Arial" w:eastAsia="Arial" w:hAnsi="Arial" w:cs="Arial"/>
          <w:b/>
          <w:color w:val="000000"/>
          <w:sz w:val="20"/>
        </w:rPr>
        <w:t>)] at the time required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FAILURE TO COMPLY WITH A HOME DETENTION ORDER OR AGREEMENT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second degree escape. In order to convict the defendant of second degree escape,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committed to home detention under the terms of an order or agreement; and</w:t>
      </w:r>
    </w:p>
    <w:p w:rsidR="004729FB" w:rsidRDefault="004729FB" w:rsidP="004729FB">
      <w:pPr>
        <w:spacing w:before="200" w:line="260" w:lineRule="atLeast"/>
        <w:ind w:left="400"/>
        <w:jc w:val="both"/>
      </w:pPr>
      <w:r>
        <w:rPr>
          <w:rFonts w:ascii="Arial" w:eastAsia="Arial" w:hAnsi="Arial" w:cs="Arial"/>
          <w:b/>
          <w:color w:val="000000"/>
          <w:sz w:val="20"/>
        </w:rPr>
        <w:t>(2) that the defendant knowingly violated a restriction on [his] [her] movement in the home detention order or agreement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D</w:t>
      </w:r>
    </w:p>
    <w:p w:rsidR="004729FB" w:rsidRDefault="004729FB" w:rsidP="004729FB">
      <w:pPr>
        <w:spacing w:before="200" w:line="260" w:lineRule="atLeast"/>
        <w:jc w:val="both"/>
      </w:pPr>
      <w:r>
        <w:rPr>
          <w:rFonts w:ascii="Arial" w:eastAsia="Arial" w:hAnsi="Arial" w:cs="Arial"/>
          <w:b/>
          <w:color w:val="000000"/>
          <w:sz w:val="20"/>
        </w:rPr>
        <w:t>ESCAPE FOLLOWING AUTHORIZED TEMPORARY RELEASE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second degree escape. In order to convict the defendant of second degree escape,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temporarily released from confinement in [a correctional facility] [a health and mental hygiene facility] [(</w:t>
      </w:r>
      <w:r>
        <w:rPr>
          <w:rFonts w:ascii="Arial" w:eastAsia="Arial" w:hAnsi="Arial" w:cs="Arial"/>
          <w:b/>
          <w:color w:val="000000"/>
          <w:sz w:val="20"/>
          <w:u w:val="single"/>
        </w:rPr>
        <w:t>other place of confinement</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knowingly violated a restriction on [his] [her] movement under the terms of the temporary release order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CRIMINAL LAW II § 9-405 prohibits four different types of conduct, all of which constitute second degree escape: (1) knowingly leaving custody following arrest without authorization from a law enforcement officer or judicial officer (Version A), CRIM. LAW II § 9-405(a)(1); (2) knowingly failing to obey a court order to report to a place of confinement (Version B), CRIM. LAW II § 9-405(a)(2); (3) when committed to home detention, knowingly (a) violating any restriction on movement imposed under a home detention order or agreement, or (b) failing to return to a place of confinement under a home detention order or agreement (Version C), CRIM. LAW II § 9-405(a)(3)(ii); and (4) knowingly (a) violating any restriction on movement imposed under a temporary release order, or (b) failing to return to a place of confinement under a temporary release order (Version D), CRIM. LAW II § 9-405(b). The statute also provides that if a person escapes from a detention center for juveniles, a juvenile facility listed in § 9-226(b) of the HUMAN SERVICES Article, a place identified in a juvenile community detention order, or a privately operated, hardware secure facility for juveniles committed to the Department of Juvenile Services, as set forth in CRIM. LAW II § 9-404, and an assault is not involved, the person is guilty of second degree escape. If an assault is involved during an escape from a juvenile facility, the crime is first degree escape.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70" style="position:absolute;z-index:25178828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4:11.1.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8" style="position:absolute;left:0;text-align:left;z-index:25179648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6" name="Picture 3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29" w:history="1">
        <w:r>
          <w:rPr>
            <w:rFonts w:ascii="Arial" w:eastAsia="Arial" w:hAnsi="Arial" w:cs="Arial"/>
            <w:b/>
            <w:bCs/>
            <w:i/>
            <w:color w:val="0077CC"/>
            <w:kern w:val="32"/>
            <w:sz w:val="28"/>
            <w:szCs w:val="32"/>
            <w:u w:val="single"/>
          </w:rPr>
          <w:t>MPJI-Cr 4:11.1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FIRST DEGREE ESCAPE--ESCAPE FROM LAWFUL CONFINEMENT OR FROM JUVENILE FACILITY WITH ASSAULT</w:t>
      </w:r>
    </w:p>
    <w:p w:rsidR="004729FB" w:rsidRDefault="004729FB" w:rsidP="004729FB">
      <w:pPr>
        <w:keepNext/>
        <w:spacing w:before="240" w:line="340" w:lineRule="atLeast"/>
      </w:pPr>
      <w:r>
        <w:br/>
      </w:r>
      <w:r>
        <w:rPr>
          <w:rFonts w:ascii="Arial" w:eastAsia="Arial" w:hAnsi="Arial" w:cs="Arial"/>
          <w:b/>
          <w:color w:val="000000"/>
          <w:sz w:val="28"/>
        </w:rPr>
        <w:t>4:11.1First Degree Escape--Escape from Lawful Confinement or from Juvenile Facility with Assault</w:t>
      </w:r>
    </w:p>
    <w:p w:rsidR="004729FB" w:rsidRDefault="004729FB" w:rsidP="004729FB">
      <w:pPr>
        <w:spacing w:line="60" w:lineRule="exact"/>
      </w:pPr>
      <w:r>
        <w:pict>
          <v:line id="_x0000_s1161" style="position:absolute;z-index:25177907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first degree escape. In order to convict the defendant of first degree escape,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lawfully confined in [a correctional facility] [a health and mental hygiene facility] [a juvenile detention facility] [a place identified in a home detention order or agreement] [(</w:t>
      </w:r>
      <w:r>
        <w:rPr>
          <w:rFonts w:ascii="Arial" w:eastAsia="Arial" w:hAnsi="Arial" w:cs="Arial"/>
          <w:b/>
          <w:color w:val="000000"/>
          <w:sz w:val="20"/>
          <w:u w:val="single"/>
        </w:rPr>
        <w:t>other place of confinement</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knowingly left that place of confinement without the lawful permission of a law enforcement officer or a judicial officer[; and] [.]</w:t>
      </w:r>
    </w:p>
    <w:p w:rsidR="004729FB" w:rsidRDefault="004729FB" w:rsidP="004729FB">
      <w:pPr>
        <w:spacing w:before="200" w:line="260" w:lineRule="atLeast"/>
        <w:ind w:left="400"/>
        <w:jc w:val="both"/>
      </w:pPr>
      <w:r>
        <w:rPr>
          <w:rFonts w:ascii="Arial" w:eastAsia="Arial" w:hAnsi="Arial" w:cs="Arial"/>
          <w:b/>
          <w:color w:val="000000"/>
          <w:sz w:val="20"/>
        </w:rPr>
        <w:t>[(3) if the defendant was lawfully confined in a juvenile detention facility, the defendant committed an assault in the course of the escape.]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4:11 (Second Degree Escape).</w:t>
            </w:r>
          </w:p>
          <w:p w:rsidR="004729FB" w:rsidRDefault="004729FB" w:rsidP="00713DA5">
            <w:pPr>
              <w:spacing w:before="200" w:line="260" w:lineRule="atLeast"/>
              <w:ind w:left="60" w:right="360"/>
              <w:jc w:val="both"/>
            </w:pPr>
            <w:r>
              <w:rPr>
                <w:rFonts w:ascii="Arial" w:eastAsia="Arial" w:hAnsi="Arial" w:cs="Arial"/>
                <w:color w:val="000000"/>
                <w:sz w:val="20"/>
              </w:rPr>
              <w:t>CRIMINAL LAW II § 9-404 prohibits two different types of conduct, each of which constitutes first degree escape: (1) knowingly escaping from a place of lawful confinement, and (2) if an assault is involved, escaping from a detention center for juveniles, a juvenile facility listed in § 9-226(b) of the HUMAN SERVICES Article, a place identified in a juvenile community detention order, or a privately operated, hardware secure facility for juveniles committed to the Department of Juvenile Services. CRIM. LAW II § 9-404(a)-(b).</w:t>
            </w:r>
          </w:p>
          <w:p w:rsidR="004729FB" w:rsidRDefault="004729FB" w:rsidP="00713DA5">
            <w:pPr>
              <w:spacing w:before="240" w:line="260" w:lineRule="atLeast"/>
              <w:ind w:left="60" w:right="360"/>
              <w:jc w:val="both"/>
            </w:pPr>
            <w:r>
              <w:rPr>
                <w:rFonts w:ascii="Arial" w:eastAsia="Arial" w:hAnsi="Arial" w:cs="Arial"/>
                <w:color w:val="000000"/>
                <w:sz w:val="20"/>
              </w:rPr>
              <w:t xml:space="preserve">Under CRIM. LAW II § 9-401(c), "escape" retains its judicially determined meaning. Escape is the unauthorized physical departure from actual or constructive custody in a place of confinement. </w:t>
            </w:r>
            <w:hyperlink r:id="rId630" w:history="1">
              <w:r>
                <w:rPr>
                  <w:rFonts w:ascii="Arial" w:eastAsia="Arial" w:hAnsi="Arial" w:cs="Arial"/>
                  <w:i/>
                  <w:color w:val="0077CC"/>
                  <w:sz w:val="20"/>
                  <w:u w:val="single"/>
                </w:rPr>
                <w:t>Boffen v. State, 372 Md. 724, 816 A.2d 88 (2003).</w:t>
              </w:r>
            </w:hyperlink>
            <w:r>
              <w:rPr>
                <w:rFonts w:ascii="Arial" w:eastAsia="Arial" w:hAnsi="Arial" w:cs="Arial"/>
                <w:color w:val="000000"/>
                <w:sz w:val="20"/>
              </w:rPr>
              <w:t xml:space="preserve"> A "place of confinement" is (1) a correctional facility, (2) a facility of the Department of Health and Mental Hygiene, or (3) any other facility in which a person is confined under color of law. CRIM. LAW II § 9-401(g)(1).</w:t>
            </w:r>
          </w:p>
          <w:p w:rsidR="004729FB" w:rsidRDefault="004729FB" w:rsidP="00713DA5">
            <w:pPr>
              <w:spacing w:before="240" w:line="260" w:lineRule="atLeast"/>
              <w:ind w:left="60" w:right="360"/>
              <w:jc w:val="both"/>
            </w:pPr>
            <w:r>
              <w:rPr>
                <w:rFonts w:ascii="Arial" w:eastAsia="Arial" w:hAnsi="Arial" w:cs="Arial"/>
                <w:color w:val="000000"/>
                <w:sz w:val="20"/>
              </w:rPr>
              <w:t xml:space="preserve">Custody may be actual or constructive. </w:t>
            </w:r>
            <w:hyperlink r:id="rId631" w:history="1">
              <w:r>
                <w:rPr>
                  <w:rFonts w:ascii="Arial" w:eastAsia="Arial" w:hAnsi="Arial" w:cs="Arial"/>
                  <w:i/>
                  <w:color w:val="0077CC"/>
                  <w:sz w:val="20"/>
                  <w:u w:val="single"/>
                </w:rPr>
                <w:t>Stewart v. State, 275 Md. 258, 340 A.2d 290 (1975).</w:t>
              </w:r>
            </w:hyperlink>
            <w:r>
              <w:rPr>
                <w:rFonts w:ascii="Arial" w:eastAsia="Arial" w:hAnsi="Arial" w:cs="Arial"/>
                <w:color w:val="000000"/>
                <w:sz w:val="20"/>
              </w:rPr>
              <w:t xml:space="preserve"> Actual custody exists when an individual is incarcerated. </w:t>
            </w:r>
            <w:hyperlink r:id="rId632" w:history="1">
              <w:r>
                <w:rPr>
                  <w:rFonts w:ascii="Arial" w:eastAsia="Arial" w:hAnsi="Arial" w:cs="Arial"/>
                  <w:i/>
                  <w:color w:val="0077CC"/>
                  <w:sz w:val="20"/>
                  <w:u w:val="single"/>
                </w:rPr>
                <w:t>Boffen, 372 Md. 724, 816 A.2d 88;</w:t>
              </w:r>
            </w:hyperlink>
            <w:r>
              <w:rPr>
                <w:rFonts w:ascii="Arial" w:eastAsia="Arial" w:hAnsi="Arial" w:cs="Arial"/>
                <w:color w:val="000000"/>
                <w:sz w:val="20"/>
              </w:rPr>
              <w:t xml:space="preserve"> </w:t>
            </w:r>
            <w:hyperlink r:id="rId633" w:history="1">
              <w:r>
                <w:rPr>
                  <w:rFonts w:ascii="Arial" w:eastAsia="Arial" w:hAnsi="Arial" w:cs="Arial"/>
                  <w:i/>
                  <w:color w:val="0077CC"/>
                  <w:sz w:val="20"/>
                  <w:u w:val="single"/>
                </w:rPr>
                <w:t xml:space="preserve">Farris v. State, 351 Md. 24, 33, </w:t>
              </w:r>
              <w:r>
                <w:rPr>
                  <w:rFonts w:ascii="Arial" w:eastAsia="Arial" w:hAnsi="Arial" w:cs="Arial"/>
                  <w:i/>
                  <w:color w:val="0077CC"/>
                  <w:sz w:val="20"/>
                  <w:u w:val="single"/>
                </w:rPr>
                <w:lastRenderedPageBreak/>
                <w:t>716 A.2d 237, 242 (1998).</w:t>
              </w:r>
            </w:hyperlink>
            <w:r>
              <w:rPr>
                <w:rFonts w:ascii="Arial" w:eastAsia="Arial" w:hAnsi="Arial" w:cs="Arial"/>
                <w:color w:val="000000"/>
                <w:sz w:val="20"/>
              </w:rPr>
              <w:t xml:space="preserve"> CRIM. LAW II § 9-405(b) sets forth several types of constructive custody, e.g., temporary release and home detention. </w:t>
            </w:r>
            <w:r>
              <w:rPr>
                <w:rFonts w:ascii="Arial" w:eastAsia="Arial" w:hAnsi="Arial" w:cs="Arial"/>
                <w:i/>
                <w:color w:val="000000"/>
                <w:sz w:val="20"/>
              </w:rPr>
              <w:t xml:space="preserve">See </w:t>
            </w:r>
            <w:hyperlink r:id="rId634" w:history="1">
              <w:r>
                <w:rPr>
                  <w:rFonts w:ascii="Arial" w:eastAsia="Arial" w:hAnsi="Arial" w:cs="Arial"/>
                  <w:i/>
                  <w:color w:val="0077CC"/>
                  <w:sz w:val="20"/>
                  <w:u w:val="single"/>
                </w:rPr>
                <w:t>Boffen, 372 Md. at 743-44, 816 A.2d at 99-100</w:t>
              </w:r>
            </w:hyperlink>
            <w:r>
              <w:rPr>
                <w:rFonts w:ascii="Arial" w:eastAsia="Arial" w:hAnsi="Arial" w:cs="Arial"/>
                <w:color w:val="000000"/>
                <w:sz w:val="20"/>
              </w:rPr>
              <w:t xml:space="preserve"> (finding that the defendant was not in actual or constructive custody for first degree escape when the defendant fled from the courtroom after the judge pronounced sentence on the first of two counts); </w:t>
            </w:r>
            <w:r>
              <w:rPr>
                <w:rFonts w:ascii="Arial" w:eastAsia="Arial" w:hAnsi="Arial" w:cs="Arial"/>
                <w:i/>
                <w:color w:val="000000"/>
                <w:sz w:val="20"/>
              </w:rPr>
              <w:t xml:space="preserve">see </w:t>
            </w:r>
            <w:hyperlink r:id="rId635" w:history="1">
              <w:r>
                <w:rPr>
                  <w:rFonts w:ascii="Arial" w:eastAsia="Arial" w:hAnsi="Arial" w:cs="Arial"/>
                  <w:i/>
                  <w:color w:val="0077CC"/>
                  <w:sz w:val="20"/>
                  <w:u w:val="single"/>
                </w:rPr>
                <w:t>Farris, 351 Md. at 29-30, 716 A.2d at 240;</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636" w:history="1">
              <w:r>
                <w:rPr>
                  <w:rFonts w:ascii="Arial" w:eastAsia="Arial" w:hAnsi="Arial" w:cs="Arial"/>
                  <w:i/>
                  <w:color w:val="0077CC"/>
                  <w:sz w:val="20"/>
                  <w:u w:val="single"/>
                </w:rPr>
                <w:t>Hill v. State, 419 Md. 674, 20 A.3d 780 (2011)</w:t>
              </w:r>
            </w:hyperlink>
            <w:r>
              <w:rPr>
                <w:rFonts w:ascii="Arial" w:eastAsia="Arial" w:hAnsi="Arial" w:cs="Arial"/>
                <w:color w:val="000000"/>
                <w:sz w:val="20"/>
              </w:rPr>
              <w:t xml:space="preserve"> (finding that, where judge sentenced defendants to periods of incarceration, deferred the report dates, and told defendants that, if they were trouble-free in the interim, their sentences would be vacated if they returned to court, failures of defendants to return to court and to report were second degree escapes even though underlying "springing sentences" were illegal).</w:t>
            </w:r>
          </w:p>
          <w:p w:rsidR="004729FB" w:rsidRDefault="004729FB" w:rsidP="00713DA5">
            <w:pPr>
              <w:spacing w:before="240" w:line="260" w:lineRule="atLeast"/>
              <w:ind w:left="60" w:right="360"/>
              <w:jc w:val="both"/>
            </w:pPr>
            <w:r>
              <w:rPr>
                <w:rFonts w:ascii="Arial" w:eastAsia="Arial" w:hAnsi="Arial" w:cs="Arial"/>
                <w:color w:val="000000"/>
                <w:sz w:val="20"/>
              </w:rPr>
              <w:t xml:space="preserve">Any place of confinement is sufficient. </w:t>
            </w:r>
            <w:hyperlink r:id="rId637" w:history="1">
              <w:r>
                <w:rPr>
                  <w:rFonts w:ascii="Arial" w:eastAsia="Arial" w:hAnsi="Arial" w:cs="Arial"/>
                  <w:i/>
                  <w:color w:val="0077CC"/>
                  <w:sz w:val="20"/>
                  <w:u w:val="single"/>
                </w:rPr>
                <w:t>Bedford v. State, 317 Md. 659, 666, 566 A.2d 111, 114 (1989)</w:t>
              </w:r>
            </w:hyperlink>
            <w:r>
              <w:rPr>
                <w:rFonts w:ascii="Arial" w:eastAsia="Arial" w:hAnsi="Arial" w:cs="Arial"/>
                <w:color w:val="000000"/>
                <w:sz w:val="20"/>
              </w:rPr>
              <w:t xml:space="preserve"> (holding that departing from, instead of entering, the cell in the courthouse as directed was a departure "from the bounds where [defendant was] assigned," even though the defendant never left the courthouse); </w:t>
            </w:r>
            <w:hyperlink r:id="rId638" w:history="1">
              <w:r>
                <w:rPr>
                  <w:rFonts w:ascii="Arial" w:eastAsia="Arial" w:hAnsi="Arial" w:cs="Arial"/>
                  <w:i/>
                  <w:color w:val="0077CC"/>
                  <w:sz w:val="20"/>
                  <w:u w:val="single"/>
                </w:rPr>
                <w:t>Fabian v. State, 3 Md. App. 270, 278-80, 239 A.2d 100, 107-08</w:t>
              </w:r>
            </w:hyperlink>
            <w:r>
              <w:rPr>
                <w:rFonts w:ascii="Arial" w:eastAsia="Arial" w:hAnsi="Arial" w:cs="Arial"/>
                <w:color w:val="000000"/>
                <w:sz w:val="20"/>
              </w:rPr>
              <w:t xml:space="preserve"> (holding that the departure from a maximum security area was escape, even though the defendant did not leave the correctional facility),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250 Md. 731 (1968).</w:t>
            </w:r>
            <w:r>
              <w:rPr>
                <w:rFonts w:ascii="Arial" w:eastAsia="Arial" w:hAnsi="Arial" w:cs="Arial"/>
                <w:color w:val="000000"/>
                <w:sz w:val="20"/>
              </w:rPr>
              <w:t xml:space="preserve"> An indictment for escape is sufficient if it alleges "the dates and place of the crime and the name of the lawful custodian." </w:t>
            </w:r>
            <w:hyperlink r:id="rId639" w:history="1">
              <w:r>
                <w:rPr>
                  <w:rFonts w:ascii="Arial" w:eastAsia="Arial" w:hAnsi="Arial" w:cs="Arial"/>
                  <w:i/>
                  <w:color w:val="0077CC"/>
                  <w:sz w:val="20"/>
                  <w:u w:val="single"/>
                </w:rPr>
                <w:t>State v. Morton, 295 Md. 487, 495, 456 A.2d 909, 913 (1983).</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Escape may be excused on the basis of necessity if the person confined (1) was subject to threats of imminent death, forcible sexual attack, or substantial bodily injury; (2) had no time to complain to authorities, or there existed a history of futile complaints; (3) had no time or opportunity to resort to the courts; (4) used no force toward prison personnel or innocent third parties; and (5) immediately reported to proper authorities upon attaining a position of safety. </w:t>
            </w:r>
            <w:hyperlink r:id="rId640" w:history="1">
              <w:r>
                <w:rPr>
                  <w:rFonts w:ascii="Arial" w:eastAsia="Arial" w:hAnsi="Arial" w:cs="Arial"/>
                  <w:i/>
                  <w:color w:val="0077CC"/>
                  <w:sz w:val="20"/>
                  <w:u w:val="single"/>
                </w:rPr>
                <w:t>Craddock v. State, 47 Md. App. 513, 515, 424 A.2d 168, 169</w:t>
              </w:r>
            </w:hyperlink>
            <w:r>
              <w:rPr>
                <w:rFonts w:ascii="Arial" w:eastAsia="Arial" w:hAnsi="Arial" w:cs="Arial"/>
                <w:color w:val="000000"/>
                <w:sz w:val="20"/>
              </w:rPr>
              <w:t xml:space="preserve"> (citing </w:t>
            </w:r>
            <w:hyperlink r:id="rId641" w:history="1">
              <w:r>
                <w:rPr>
                  <w:rFonts w:ascii="Arial" w:eastAsia="Arial" w:hAnsi="Arial" w:cs="Arial"/>
                  <w:i/>
                  <w:color w:val="0077CC"/>
                  <w:sz w:val="20"/>
                  <w:u w:val="single"/>
                </w:rPr>
                <w:t>Robinson v. State, 42 Md. App. 617, 621-22, 402 A.2d 115, 117 (1979)),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642" w:history="1">
              <w:r>
                <w:rPr>
                  <w:rFonts w:ascii="Arial" w:eastAsia="Arial" w:hAnsi="Arial" w:cs="Arial"/>
                  <w:i/>
                  <w:color w:val="0077CC"/>
                  <w:sz w:val="20"/>
                  <w:u w:val="single"/>
                </w:rPr>
                <w:t>290 Md. 713 (1981).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 person who is illegally detained following procedural defects is not entitled to resort to self-help, but rather must apply for release through regular legal channels. </w:t>
            </w:r>
            <w:hyperlink r:id="rId643" w:history="1">
              <w:r>
                <w:rPr>
                  <w:rFonts w:ascii="Arial" w:eastAsia="Arial" w:hAnsi="Arial" w:cs="Arial"/>
                  <w:i/>
                  <w:color w:val="0077CC"/>
                  <w:sz w:val="20"/>
                  <w:u w:val="single"/>
                </w:rPr>
                <w:t>Vucci v. State, 18 Md. App. 157, 305 A.2d 483,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644" w:history="1">
              <w:r>
                <w:rPr>
                  <w:rFonts w:ascii="Arial" w:eastAsia="Arial" w:hAnsi="Arial" w:cs="Arial"/>
                  <w:i/>
                  <w:color w:val="0077CC"/>
                  <w:sz w:val="20"/>
                  <w:u w:val="single"/>
                </w:rPr>
                <w:t>290 Md. 767 (1973).</w:t>
              </w:r>
            </w:hyperlink>
            <w:r>
              <w:rPr>
                <w:rFonts w:ascii="Arial" w:eastAsia="Arial" w:hAnsi="Arial" w:cs="Arial"/>
                <w:color w:val="000000"/>
                <w:sz w:val="20"/>
              </w:rPr>
              <w:t xml:space="preserve"> It is a crime to aid or assist an escape. </w:t>
            </w:r>
            <w:hyperlink r:id="rId645" w:history="1">
              <w:r>
                <w:rPr>
                  <w:rFonts w:ascii="Arial" w:eastAsia="Arial" w:hAnsi="Arial" w:cs="Arial"/>
                  <w:i/>
                  <w:color w:val="0077CC"/>
                  <w:sz w:val="20"/>
                  <w:u w:val="single"/>
                </w:rPr>
                <w:t>State v. Magliano, 7 Md. App. 286, 255 A.2d 470 (1969).</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71" style="position:absolute;z-index:25178931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9" style="position:absolute;left:0;text-align:left;z-index:25179750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5" name="Picture 3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52" w:history="1">
        <w:r>
          <w:rPr>
            <w:rFonts w:ascii="Arial" w:eastAsia="Arial" w:hAnsi="Arial" w:cs="Arial"/>
            <w:b/>
            <w:bCs/>
            <w:i/>
            <w:color w:val="0077CC"/>
            <w:kern w:val="32"/>
            <w:sz w:val="28"/>
            <w:szCs w:val="32"/>
            <w:u w:val="single"/>
          </w:rPr>
          <w:t>MPJI-Cr 4:12.1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EXTORTION--FALSITY AN ELEMENT</w:t>
      </w:r>
    </w:p>
    <w:p w:rsidR="004729FB" w:rsidRDefault="004729FB" w:rsidP="004729FB">
      <w:pPr>
        <w:keepNext/>
        <w:spacing w:before="240" w:line="340" w:lineRule="atLeast"/>
      </w:pPr>
      <w:r>
        <w:br/>
      </w:r>
      <w:r>
        <w:rPr>
          <w:rFonts w:ascii="Arial" w:eastAsia="Arial" w:hAnsi="Arial" w:cs="Arial"/>
          <w:b/>
          <w:color w:val="000000"/>
          <w:sz w:val="28"/>
        </w:rPr>
        <w:t>4:12.1Extortion--Falsity an Element</w:t>
      </w:r>
    </w:p>
    <w:p w:rsidR="004729FB" w:rsidRDefault="004729FB" w:rsidP="004729FB">
      <w:pPr>
        <w:spacing w:line="60" w:lineRule="exact"/>
      </w:pPr>
      <w:r>
        <w:pict>
          <v:line id="_x0000_s1162" style="position:absolute;z-index:25178009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extortion. In order to convict the defendant of extortion,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[threatened to falsely accuse] [falsely accused]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[threat] [false accusation] related to anything that, if true, would damage the reputation of (</w:t>
      </w:r>
      <w:r>
        <w:rPr>
          <w:rFonts w:ascii="Arial" w:eastAsia="Arial" w:hAnsi="Arial" w:cs="Arial"/>
          <w:b/>
          <w:color w:val="000000"/>
          <w:sz w:val="20"/>
          <w:u w:val="single"/>
        </w:rPr>
        <w:t>name</w:t>
      </w:r>
      <w:r>
        <w:rPr>
          <w:rFonts w:ascii="Arial" w:eastAsia="Arial" w:hAnsi="Arial" w:cs="Arial"/>
          <w:b/>
          <w:color w:val="000000"/>
          <w:sz w:val="20"/>
        </w:rPr>
        <w:t>) or bring (</w:t>
      </w:r>
      <w:r>
        <w:rPr>
          <w:rFonts w:ascii="Arial" w:eastAsia="Arial" w:hAnsi="Arial" w:cs="Arial"/>
          <w:b/>
          <w:color w:val="000000"/>
          <w:sz w:val="20"/>
          <w:u w:val="single"/>
        </w:rPr>
        <w:t>name</w:t>
      </w:r>
      <w:r>
        <w:rPr>
          <w:rFonts w:ascii="Arial" w:eastAsia="Arial" w:hAnsi="Arial" w:cs="Arial"/>
          <w:b/>
          <w:color w:val="000000"/>
          <w:sz w:val="20"/>
        </w:rPr>
        <w:t>) into contempt; and</w:t>
      </w:r>
    </w:p>
    <w:p w:rsidR="004729FB" w:rsidRDefault="004729FB" w:rsidP="004729FB">
      <w:pPr>
        <w:spacing w:before="200" w:line="260" w:lineRule="atLeast"/>
        <w:ind w:left="400"/>
        <w:jc w:val="both"/>
      </w:pPr>
      <w:r>
        <w:rPr>
          <w:rFonts w:ascii="Arial" w:eastAsia="Arial" w:hAnsi="Arial" w:cs="Arial"/>
          <w:b/>
          <w:color w:val="000000"/>
          <w:sz w:val="20"/>
        </w:rPr>
        <w:t>(3) that the defendant made [the threat] [false accusation] with the intent to obtain unlawfully money, property, labor, services, or anything of value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[threat] [false accusation] may be direct or implied.]]</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4:12 (Extortion--Falsity Not an Element). CRIMINAL LAW I § 3-704 prohibits extortion by actual or threatened false accusation of a crime or other conduct that would bring the person into contempt or disrepute. </w:t>
            </w:r>
            <w:r>
              <w:rPr>
                <w:rFonts w:ascii="Arial" w:eastAsia="Arial" w:hAnsi="Arial" w:cs="Arial"/>
                <w:i/>
                <w:color w:val="000000"/>
                <w:sz w:val="20"/>
              </w:rPr>
              <w:t xml:space="preserve">See </w:t>
            </w:r>
            <w:hyperlink r:id="rId653" w:history="1">
              <w:r>
                <w:rPr>
                  <w:rFonts w:ascii="Arial" w:eastAsia="Arial" w:hAnsi="Arial" w:cs="Arial"/>
                  <w:i/>
                  <w:color w:val="0077CC"/>
                  <w:sz w:val="20"/>
                  <w:u w:val="single"/>
                </w:rPr>
                <w:t>Lano v. State, 195 Md. 363, 77 A.2d 125 (1950).</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72" style="position:absolute;left:0;text-align:left;z-index:25179033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34" name="Picture 3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660" w:history="1">
        <w:r>
          <w:rPr>
            <w:rFonts w:ascii="Arial" w:eastAsia="Arial" w:hAnsi="Arial" w:cs="Arial"/>
            <w:b/>
            <w:bCs/>
            <w:i/>
            <w:color w:val="0077CC"/>
            <w:kern w:val="32"/>
            <w:sz w:val="28"/>
            <w:szCs w:val="32"/>
            <w:u w:val="single"/>
          </w:rPr>
          <w:t>MPJI-Cr 4:12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EXTORTION BY VERBAL OR WRITTEN THREAT--FALSITY NOT AN ELEMENT</w:t>
      </w:r>
    </w:p>
    <w:p w:rsidR="004729FB" w:rsidRDefault="004729FB" w:rsidP="004729FB">
      <w:pPr>
        <w:keepNext/>
        <w:spacing w:before="240" w:line="340" w:lineRule="atLeast"/>
      </w:pPr>
      <w:r>
        <w:br/>
      </w:r>
      <w:r>
        <w:rPr>
          <w:rFonts w:ascii="Arial" w:eastAsia="Arial" w:hAnsi="Arial" w:cs="Arial"/>
          <w:b/>
          <w:color w:val="000000"/>
          <w:sz w:val="28"/>
        </w:rPr>
        <w:t>4:12Extortion by Verbal or Written Threat--Falsity not an Element</w:t>
      </w:r>
    </w:p>
    <w:p w:rsidR="004729FB" w:rsidRDefault="004729FB" w:rsidP="004729FB">
      <w:pPr>
        <w:spacing w:line="60" w:lineRule="exact"/>
      </w:pPr>
      <w:r>
        <w:pict>
          <v:line id="_x0000_s1163" style="position:absolute;z-index:25178112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3-705: VERBAL THREAT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extortion by making a verbal threat. In order to convict the defendant of extortion,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 verbal threat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threat was to [physically injure (</w:t>
      </w:r>
      <w:r>
        <w:rPr>
          <w:rFonts w:ascii="Arial" w:eastAsia="Arial" w:hAnsi="Arial" w:cs="Arial"/>
          <w:b/>
          <w:color w:val="000000"/>
          <w:sz w:val="20"/>
          <w:u w:val="single"/>
        </w:rPr>
        <w:t>name</w:t>
      </w:r>
      <w:r>
        <w:rPr>
          <w:rFonts w:ascii="Arial" w:eastAsia="Arial" w:hAnsi="Arial" w:cs="Arial"/>
          <w:b/>
          <w:color w:val="000000"/>
          <w:sz w:val="20"/>
        </w:rPr>
        <w:t>)] [inflict emotional distress on (</w:t>
      </w:r>
      <w:r>
        <w:rPr>
          <w:rFonts w:ascii="Arial" w:eastAsia="Arial" w:hAnsi="Arial" w:cs="Arial"/>
          <w:b/>
          <w:color w:val="000000"/>
          <w:sz w:val="20"/>
          <w:u w:val="single"/>
        </w:rPr>
        <w:t>name</w:t>
      </w:r>
      <w:r>
        <w:rPr>
          <w:rFonts w:ascii="Arial" w:eastAsia="Arial" w:hAnsi="Arial" w:cs="Arial"/>
          <w:b/>
          <w:color w:val="000000"/>
          <w:sz w:val="20"/>
        </w:rPr>
        <w:t>)] [economically damage (</w:t>
      </w:r>
      <w:r>
        <w:rPr>
          <w:rFonts w:ascii="Arial" w:eastAsia="Arial" w:hAnsi="Arial" w:cs="Arial"/>
          <w:b/>
          <w:color w:val="000000"/>
          <w:sz w:val="20"/>
          <w:u w:val="single"/>
        </w:rPr>
        <w:t>name</w:t>
      </w:r>
      <w:r>
        <w:rPr>
          <w:rFonts w:ascii="Arial" w:eastAsia="Arial" w:hAnsi="Arial" w:cs="Arial"/>
          <w:b/>
          <w:color w:val="000000"/>
          <w:sz w:val="20"/>
        </w:rPr>
        <w:t>)] [damage the property of (</w:t>
      </w:r>
      <w:r>
        <w:rPr>
          <w:rFonts w:ascii="Arial" w:eastAsia="Arial" w:hAnsi="Arial" w:cs="Arial"/>
          <w:b/>
          <w:color w:val="000000"/>
          <w:sz w:val="20"/>
          <w:u w:val="single"/>
        </w:rPr>
        <w:t>name</w:t>
      </w:r>
      <w:r>
        <w:rPr>
          <w:rFonts w:ascii="Arial" w:eastAsia="Arial" w:hAnsi="Arial" w:cs="Arial"/>
          <w:b/>
          <w:color w:val="000000"/>
          <w:sz w:val="20"/>
        </w:rPr>
        <w:t>)] [accuse (</w:t>
      </w:r>
      <w:r>
        <w:rPr>
          <w:rFonts w:ascii="Arial" w:eastAsia="Arial" w:hAnsi="Arial" w:cs="Arial"/>
          <w:b/>
          <w:color w:val="000000"/>
          <w:sz w:val="20"/>
          <w:u w:val="single"/>
        </w:rPr>
        <w:t>name</w:t>
      </w:r>
      <w:r>
        <w:rPr>
          <w:rFonts w:ascii="Arial" w:eastAsia="Arial" w:hAnsi="Arial" w:cs="Arial"/>
          <w:b/>
          <w:color w:val="000000"/>
          <w:sz w:val="20"/>
        </w:rPr>
        <w:t>)] of (list crime[s])] [accuse (</w:t>
      </w:r>
      <w:r>
        <w:rPr>
          <w:rFonts w:ascii="Arial" w:eastAsia="Arial" w:hAnsi="Arial" w:cs="Arial"/>
          <w:b/>
          <w:color w:val="000000"/>
          <w:sz w:val="20"/>
          <w:u w:val="single"/>
        </w:rPr>
        <w:t>name</w:t>
      </w:r>
      <w:r>
        <w:rPr>
          <w:rFonts w:ascii="Arial" w:eastAsia="Arial" w:hAnsi="Arial" w:cs="Arial"/>
          <w:b/>
          <w:color w:val="000000"/>
          <w:sz w:val="20"/>
        </w:rPr>
        <w:t>) of anything that, if true, would bring [him] [her] into contempt or disrepute]; and</w:t>
      </w:r>
    </w:p>
    <w:p w:rsidR="004729FB" w:rsidRDefault="004729FB" w:rsidP="004729FB">
      <w:pPr>
        <w:spacing w:before="200" w:line="260" w:lineRule="atLeast"/>
        <w:ind w:left="400"/>
        <w:jc w:val="both"/>
      </w:pPr>
      <w:r>
        <w:rPr>
          <w:rFonts w:ascii="Arial" w:eastAsia="Arial" w:hAnsi="Arial" w:cs="Arial"/>
          <w:b/>
          <w:color w:val="000000"/>
          <w:sz w:val="20"/>
        </w:rPr>
        <w:t>(3) that the defendant made the threat with the intent unlawfully to obtain money, property, labor, services, or anything of value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threat may be direct or implied.]</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3-706: WRITTEN THREAT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extortion by making a written threat. In order to convict the defendant of extortion,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 threat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threat was in writing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knowingly [sent the writing] [delivered the writing] [made the writing to be sent or delivered and parted with that writing]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writing threatened to [physically injure (</w:t>
      </w:r>
      <w:r>
        <w:rPr>
          <w:rFonts w:ascii="Arial" w:eastAsia="Arial" w:hAnsi="Arial" w:cs="Arial"/>
          <w:b/>
          <w:color w:val="000000"/>
          <w:sz w:val="20"/>
          <w:u w:val="single"/>
        </w:rPr>
        <w:t>name</w:t>
      </w:r>
      <w:r>
        <w:rPr>
          <w:rFonts w:ascii="Arial" w:eastAsia="Arial" w:hAnsi="Arial" w:cs="Arial"/>
          <w:b/>
          <w:color w:val="000000"/>
          <w:sz w:val="20"/>
        </w:rPr>
        <w:t>)] [inflict emotional distress on (</w:t>
      </w:r>
      <w:r>
        <w:rPr>
          <w:rFonts w:ascii="Arial" w:eastAsia="Arial" w:hAnsi="Arial" w:cs="Arial"/>
          <w:b/>
          <w:color w:val="000000"/>
          <w:sz w:val="20"/>
          <w:u w:val="single"/>
        </w:rPr>
        <w:t>name</w:t>
      </w:r>
      <w:r>
        <w:rPr>
          <w:rFonts w:ascii="Arial" w:eastAsia="Arial" w:hAnsi="Arial" w:cs="Arial"/>
          <w:b/>
          <w:color w:val="000000"/>
          <w:sz w:val="20"/>
        </w:rPr>
        <w:t>)] [economically damage (</w:t>
      </w:r>
      <w:r>
        <w:rPr>
          <w:rFonts w:ascii="Arial" w:eastAsia="Arial" w:hAnsi="Arial" w:cs="Arial"/>
          <w:b/>
          <w:color w:val="000000"/>
          <w:sz w:val="20"/>
          <w:u w:val="single"/>
        </w:rPr>
        <w:t>name</w:t>
      </w:r>
      <w:r>
        <w:rPr>
          <w:rFonts w:ascii="Arial" w:eastAsia="Arial" w:hAnsi="Arial" w:cs="Arial"/>
          <w:b/>
          <w:color w:val="000000"/>
          <w:sz w:val="20"/>
        </w:rPr>
        <w:t>)] [damage the property of (</w:t>
      </w:r>
      <w:r>
        <w:rPr>
          <w:rFonts w:ascii="Arial" w:eastAsia="Arial" w:hAnsi="Arial" w:cs="Arial"/>
          <w:b/>
          <w:color w:val="000000"/>
          <w:sz w:val="20"/>
          <w:u w:val="single"/>
        </w:rPr>
        <w:t>name</w:t>
      </w:r>
      <w:r>
        <w:rPr>
          <w:rFonts w:ascii="Arial" w:eastAsia="Arial" w:hAnsi="Arial" w:cs="Arial"/>
          <w:b/>
          <w:color w:val="000000"/>
          <w:sz w:val="20"/>
        </w:rPr>
        <w:t>)] [accuse (</w:t>
      </w:r>
      <w:r>
        <w:rPr>
          <w:rFonts w:ascii="Arial" w:eastAsia="Arial" w:hAnsi="Arial" w:cs="Arial"/>
          <w:b/>
          <w:color w:val="000000"/>
          <w:sz w:val="20"/>
          <w:u w:val="single"/>
        </w:rPr>
        <w:t>name</w:t>
      </w:r>
      <w:r>
        <w:rPr>
          <w:rFonts w:ascii="Arial" w:eastAsia="Arial" w:hAnsi="Arial" w:cs="Arial"/>
          <w:b/>
          <w:color w:val="000000"/>
          <w:sz w:val="20"/>
        </w:rPr>
        <w:t>) of (list crime[s])] [accuse (</w:t>
      </w:r>
      <w:r>
        <w:rPr>
          <w:rFonts w:ascii="Arial" w:eastAsia="Arial" w:hAnsi="Arial" w:cs="Arial"/>
          <w:b/>
          <w:color w:val="000000"/>
          <w:sz w:val="20"/>
          <w:u w:val="single"/>
        </w:rPr>
        <w:t>name</w:t>
      </w:r>
      <w:r>
        <w:rPr>
          <w:rFonts w:ascii="Arial" w:eastAsia="Arial" w:hAnsi="Arial" w:cs="Arial"/>
          <w:b/>
          <w:color w:val="000000"/>
          <w:sz w:val="20"/>
        </w:rPr>
        <w:t>) of anything that, if true, would bring [him] [her] into contempt or disrepute]; and</w:t>
      </w:r>
    </w:p>
    <w:p w:rsidR="004729FB" w:rsidRDefault="004729FB" w:rsidP="004729FB">
      <w:pPr>
        <w:spacing w:before="200" w:line="260" w:lineRule="atLeast"/>
        <w:ind w:left="400"/>
        <w:jc w:val="both"/>
      </w:pPr>
      <w:r>
        <w:rPr>
          <w:rFonts w:ascii="Arial" w:eastAsia="Arial" w:hAnsi="Arial" w:cs="Arial"/>
          <w:b/>
          <w:color w:val="000000"/>
          <w:sz w:val="20"/>
        </w:rPr>
        <w:t>(5) that the defendant made the threat with the intent to obtain unlawfully money, property, labor, services, or anything of value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[The threat may be direct or implied.]</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At common law, extortion was a crime closely related to misconduct in office, consisting of the corrupt collection of an unlawful fee by an officer under color of office. WAYNE R. LAFAVE, CRIMINAL LAW § 20.4, at 1064 (5th ed. 2010); ROLLIN M. PERKINS &amp; RONALD N. BOYCE, CRIMINAL LAW § 4.10, at 442-48 (3d ed. 1982). As the offense evolved beyond public officials, it included blackmail as a form of robbery. </w:t>
            </w:r>
            <w:hyperlink r:id="rId661" w:history="1">
              <w:r>
                <w:rPr>
                  <w:rFonts w:ascii="Arial" w:eastAsia="Arial" w:hAnsi="Arial" w:cs="Arial"/>
                  <w:i/>
                  <w:color w:val="0077CC"/>
                  <w:sz w:val="20"/>
                  <w:u w:val="single"/>
                </w:rPr>
                <w:t>Iozzi v. State, 5 Md. App. 415, 418-19, 247 A.2d 758, 760 (1968),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253 Md. 734 (1969);</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WILLIAM LAWRENCE CLARK &amp; WILLIAM LAWRENCE MARSHALL, A TREATISE ON THE LAW OF CRIMES § 12.17, at 897-98 (7th ed. 1967); LAFAVE, </w:t>
            </w:r>
            <w:r>
              <w:rPr>
                <w:rFonts w:ascii="Arial" w:eastAsia="Arial" w:hAnsi="Arial" w:cs="Arial"/>
                <w:i/>
                <w:color w:val="000000"/>
                <w:sz w:val="20"/>
              </w:rPr>
              <w:t>supra</w:t>
            </w:r>
            <w:r>
              <w:rPr>
                <w:rFonts w:ascii="Arial" w:eastAsia="Arial" w:hAnsi="Arial" w:cs="Arial"/>
                <w:color w:val="000000"/>
                <w:sz w:val="20"/>
              </w:rPr>
              <w:t xml:space="preserve">, § 20.4(a)-(b), at 1064-68; PERKINS &amp; BOYCE, </w:t>
            </w:r>
            <w:r>
              <w:rPr>
                <w:rFonts w:ascii="Arial" w:eastAsia="Arial" w:hAnsi="Arial" w:cs="Arial"/>
                <w:i/>
                <w:color w:val="000000"/>
                <w:sz w:val="20"/>
              </w:rPr>
              <w:t>supra</w:t>
            </w:r>
            <w:r>
              <w:rPr>
                <w:rFonts w:ascii="Arial" w:eastAsia="Arial" w:hAnsi="Arial" w:cs="Arial"/>
                <w:color w:val="000000"/>
                <w:sz w:val="20"/>
              </w:rPr>
              <w:t xml:space="preserve">, at 448-52; </w:t>
            </w:r>
            <w:r>
              <w:rPr>
                <w:rFonts w:ascii="Arial" w:eastAsia="Arial" w:hAnsi="Arial" w:cs="Arial"/>
                <w:i/>
                <w:color w:val="000000"/>
                <w:sz w:val="20"/>
              </w:rPr>
              <w:t>see also</w:t>
            </w:r>
            <w:r>
              <w:rPr>
                <w:rFonts w:ascii="Arial" w:eastAsia="Arial" w:hAnsi="Arial" w:cs="Arial"/>
                <w:color w:val="000000"/>
                <w:sz w:val="20"/>
              </w:rPr>
              <w:t xml:space="preserve"> 2 FRANCIS BAILEY &amp; HENRY ROTHBLATT, DEFENDING BUSINESS AND WHITE COLLAR CRIMES--FEDERAL AND STATE §§ 26:1- 26:11 (2d ed. 1984). Common law extortion "left important areas to be covered by statute." </w:t>
            </w:r>
            <w:hyperlink r:id="rId662" w:history="1">
              <w:r>
                <w:rPr>
                  <w:rFonts w:ascii="Arial" w:eastAsia="Arial" w:hAnsi="Arial" w:cs="Arial"/>
                  <w:i/>
                  <w:color w:val="0077CC"/>
                  <w:sz w:val="20"/>
                  <w:u w:val="single"/>
                </w:rPr>
                <w:t>Iozzi, 5 Md. App. at 419, 247 A.2d at 760.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Since 1890, the Maryland General Assembly has enacted a number of statutes prohibiting extortion. The general provisions are in CRIM. LAW I §§ 3-701, 3-704, 3-705, and 3-706. Section 3-701 prohibits any person from obtaining or attempting to obtain anything of value "from another person with the person's consent, if the consent is induced by wrongful use of actual or threatened: (1) force or violence; [or] (2) economic injury." In 2007, the General Assembly added to § 3-701 threats to destroy, conceal, remove, confiscate, or possess "any immigration or government identification document with intent to harm the immigration status of another person." </w:t>
            </w:r>
            <w:r>
              <w:rPr>
                <w:rFonts w:ascii="Arial" w:eastAsia="Arial" w:hAnsi="Arial" w:cs="Arial"/>
                <w:i/>
                <w:color w:val="000000"/>
                <w:sz w:val="20"/>
              </w:rPr>
              <w:t>See</w:t>
            </w:r>
            <w:r>
              <w:rPr>
                <w:rFonts w:ascii="Arial" w:eastAsia="Arial" w:hAnsi="Arial" w:cs="Arial"/>
                <w:color w:val="000000"/>
                <w:sz w:val="20"/>
              </w:rPr>
              <w:t xml:space="preserve"> 2007 Md. Laws Ch. 340-341 (S.B. 606, H.B. 876) (codified with amendments at CRIM. LAW I § 3-701(b)(3)). Section 3-704 prohibits false accusations to extort anything of value from a person. Section 3-705 prohibits using verbal threats to accuse someone of committing a crime or other conduct that would bring the person into contempt or disrepute and verbal threats to injure person or property, provided such threats are made for the purpose of gaining anything of value, regardless of whether the threats succeed. </w:t>
            </w:r>
            <w:r>
              <w:rPr>
                <w:rFonts w:ascii="Arial" w:eastAsia="Arial" w:hAnsi="Arial" w:cs="Arial"/>
                <w:i/>
                <w:color w:val="000000"/>
                <w:sz w:val="20"/>
              </w:rPr>
              <w:t xml:space="preserve">See </w:t>
            </w:r>
            <w:hyperlink r:id="rId663" w:history="1">
              <w:r>
                <w:rPr>
                  <w:rFonts w:ascii="Arial" w:eastAsia="Arial" w:hAnsi="Arial" w:cs="Arial"/>
                  <w:i/>
                  <w:color w:val="0077CC"/>
                  <w:sz w:val="20"/>
                  <w:u w:val="single"/>
                </w:rPr>
                <w:t>Norvell v. Safeway Stores, Inc., 212 Md. 14, 22, 128 A.2d 591, 595 (1957)</w:t>
              </w:r>
            </w:hyperlink>
            <w:r>
              <w:rPr>
                <w:rFonts w:ascii="Arial" w:eastAsia="Arial" w:hAnsi="Arial" w:cs="Arial"/>
                <w:color w:val="000000"/>
                <w:sz w:val="20"/>
              </w:rPr>
              <w:t xml:space="preserve"> (finding that a former employee's accusations of dishonest practices in order to force his reinstatement were extortive); </w:t>
            </w:r>
            <w:hyperlink r:id="rId664" w:history="1">
              <w:r>
                <w:rPr>
                  <w:rFonts w:ascii="Arial" w:eastAsia="Arial" w:hAnsi="Arial" w:cs="Arial"/>
                  <w:i/>
                  <w:color w:val="0077CC"/>
                  <w:sz w:val="20"/>
                  <w:u w:val="single"/>
                </w:rPr>
                <w:t>Iozzi, 5 Md. App. at 419, 247 A.2d at 760.</w:t>
              </w:r>
            </w:hyperlink>
            <w:r>
              <w:rPr>
                <w:rFonts w:ascii="Arial" w:eastAsia="Arial" w:hAnsi="Arial" w:cs="Arial"/>
                <w:color w:val="000000"/>
                <w:sz w:val="20"/>
              </w:rPr>
              <w:t xml:space="preserve"> Section 3-706 prohibits sending, delivering, or making for delivery any writing that threatens to falsely accuse someone of committing a crime or other conduct that would bring the person into contempt or disrepute or that threatens to injure person or property, when such threats are made for the purpose of gaining anything of value.</w:t>
            </w:r>
          </w:p>
          <w:p w:rsidR="004729FB" w:rsidRDefault="004729FB" w:rsidP="00713DA5">
            <w:pPr>
              <w:spacing w:before="200" w:line="260" w:lineRule="atLeast"/>
              <w:ind w:left="60" w:right="360"/>
              <w:jc w:val="both"/>
            </w:pPr>
            <w:r>
              <w:rPr>
                <w:rFonts w:ascii="Arial" w:eastAsia="Arial" w:hAnsi="Arial" w:cs="Arial"/>
                <w:color w:val="000000"/>
                <w:sz w:val="20"/>
              </w:rPr>
              <w:t>There are several other more limited extortion statutes. Section 3-702 prohibits any officer or employee of the State, a county, Baltimore City, a municipality, or a bicounty or multicounty agency from wrongfully obtaining or attempting to obtain anything of value from another person. Section 3-703 prohibits the same categories of officer or employee from using force, intimidation, or threat to induce a person employed in publicly financed work to give up part or all of his compensation. Section 3-707 prohibits conduct designed to coerce or intimidate a person to donate goods, materials, services, or money to any social, economic, or political association or organization. Section 3-708 prohibits threats against some public officials, especially those who are publicly elected.</w:t>
            </w:r>
          </w:p>
          <w:p w:rsidR="004729FB" w:rsidRDefault="004729FB" w:rsidP="00713DA5">
            <w:pPr>
              <w:spacing w:before="240" w:line="260" w:lineRule="atLeast"/>
              <w:ind w:left="60" w:right="360"/>
              <w:jc w:val="both"/>
            </w:pPr>
            <w:r>
              <w:rPr>
                <w:rFonts w:ascii="Arial" w:eastAsia="Arial" w:hAnsi="Arial" w:cs="Arial"/>
                <w:color w:val="000000"/>
                <w:sz w:val="20"/>
              </w:rPr>
              <w:t xml:space="preserve">Threats of litigation do not fall within these extortion statutes. In </w:t>
            </w:r>
            <w:r>
              <w:rPr>
                <w:rFonts w:ascii="Arial" w:eastAsia="Arial" w:hAnsi="Arial" w:cs="Arial"/>
                <w:i/>
                <w:color w:val="000000"/>
                <w:sz w:val="20"/>
              </w:rPr>
              <w:t>State v. Rendelman</w:t>
            </w:r>
            <w:r>
              <w:rPr>
                <w:rFonts w:ascii="Arial" w:eastAsia="Arial" w:hAnsi="Arial" w:cs="Arial"/>
                <w:color w:val="000000"/>
                <w:sz w:val="20"/>
              </w:rPr>
              <w:t xml:space="preserve">, the Court of Appeals held, "as a matter of law, that threats of litigation, regardless of merit, do not constitute 'wrongful threats of economic injury,' within the scope of … § 3-701 of the Criminal Law I Article[,]" and "that threats of litigation, regardless of merit, do not constitute 'unlawful extortion' within the meaning of … § 3-706 of the Criminal Law I Article." </w:t>
            </w:r>
            <w:hyperlink r:id="rId665" w:history="1">
              <w:r>
                <w:rPr>
                  <w:rFonts w:ascii="Arial" w:eastAsia="Arial" w:hAnsi="Arial" w:cs="Arial"/>
                  <w:i/>
                  <w:color w:val="0077CC"/>
                  <w:sz w:val="20"/>
                  <w:u w:val="single"/>
                </w:rPr>
                <w:t>404 Md. 500, 503, 947 A.2d 546, 547 (2008).</w:t>
              </w:r>
            </w:hyperlink>
            <w:r>
              <w:rPr>
                <w:rFonts w:ascii="Arial" w:eastAsia="Arial" w:hAnsi="Arial" w:cs="Arial"/>
                <w:color w:val="000000"/>
                <w:sz w:val="20"/>
              </w:rPr>
              <w:t xml:space="preserve"> Affirming the Court of Special Appeals, </w:t>
            </w:r>
            <w:r>
              <w:rPr>
                <w:rFonts w:ascii="Arial" w:eastAsia="Arial" w:hAnsi="Arial" w:cs="Arial"/>
                <w:i/>
                <w:color w:val="000000"/>
                <w:sz w:val="20"/>
              </w:rPr>
              <w:t xml:space="preserve">see </w:t>
            </w:r>
            <w:hyperlink r:id="rId666" w:history="1">
              <w:r>
                <w:rPr>
                  <w:rFonts w:ascii="Arial" w:eastAsia="Arial" w:hAnsi="Arial" w:cs="Arial"/>
                  <w:i/>
                  <w:color w:val="0077CC"/>
                  <w:sz w:val="20"/>
                  <w:u w:val="single"/>
                </w:rPr>
                <w:t>Rendelman v. State, 175 Md. App. 422, 927 A.2d 468 (2007),</w:t>
              </w:r>
            </w:hyperlink>
            <w:r>
              <w:rPr>
                <w:rFonts w:ascii="Arial" w:eastAsia="Arial" w:hAnsi="Arial" w:cs="Arial"/>
                <w:color w:val="000000"/>
                <w:sz w:val="20"/>
              </w:rPr>
              <w:t xml:space="preserve"> the Court of Appeals emphasized that § 3-701 prohibits "wrongful" threats, and stated that a "threat to pursue a legal action unless a settlement payment is rendered is not … [a] </w:t>
            </w:r>
            <w:r>
              <w:rPr>
                <w:rFonts w:ascii="Arial" w:eastAsia="Arial" w:hAnsi="Arial" w:cs="Arial"/>
                <w:i/>
                <w:color w:val="000000"/>
                <w:sz w:val="20"/>
              </w:rPr>
              <w:t>wrongful</w:t>
            </w:r>
            <w:r>
              <w:rPr>
                <w:rFonts w:ascii="Arial" w:eastAsia="Arial" w:hAnsi="Arial" w:cs="Arial"/>
                <w:color w:val="000000"/>
                <w:sz w:val="20"/>
              </w:rPr>
              <w:t xml:space="preserve"> threat of economic damage." </w:t>
            </w:r>
            <w:hyperlink r:id="rId667" w:history="1">
              <w:r>
                <w:rPr>
                  <w:rFonts w:ascii="Arial" w:eastAsia="Arial" w:hAnsi="Arial" w:cs="Arial"/>
                  <w:i/>
                  <w:color w:val="0077CC"/>
                  <w:sz w:val="20"/>
                  <w:u w:val="single"/>
                </w:rPr>
                <w:t>Id. at 515, 947 A.2d at 554</w:t>
              </w:r>
            </w:hyperlink>
            <w:r>
              <w:rPr>
                <w:rFonts w:ascii="Arial" w:eastAsia="Arial" w:hAnsi="Arial" w:cs="Arial"/>
                <w:color w:val="000000"/>
                <w:sz w:val="20"/>
              </w:rPr>
              <w:t xml:space="preserve"> (emphasis in </w:t>
            </w:r>
            <w:r>
              <w:rPr>
                <w:rFonts w:ascii="Arial" w:eastAsia="Arial" w:hAnsi="Arial" w:cs="Arial"/>
                <w:color w:val="000000"/>
                <w:sz w:val="20"/>
              </w:rPr>
              <w:lastRenderedPageBreak/>
              <w:t xml:space="preserve">original). The Court defined "wrongful" as "contrary to law" or "unlawful." </w:t>
            </w:r>
            <w:hyperlink r:id="rId668" w:history="1">
              <w:r>
                <w:rPr>
                  <w:rFonts w:ascii="Arial" w:eastAsia="Arial" w:hAnsi="Arial" w:cs="Arial"/>
                  <w:i/>
                  <w:color w:val="0077CC"/>
                  <w:sz w:val="20"/>
                  <w:u w:val="single"/>
                </w:rPr>
                <w:t>Id. at 516, 947 A.2d at 555</w:t>
              </w:r>
            </w:hyperlink>
            <w:r>
              <w:rPr>
                <w:rFonts w:ascii="Arial" w:eastAsia="Arial" w:hAnsi="Arial" w:cs="Arial"/>
                <w:color w:val="000000"/>
                <w:sz w:val="20"/>
              </w:rPr>
              <w:t xml:space="preserve"> (citing BLACK'S LAW DICTIONARY (8th ed. 1999)). Because filing a frivolous law suit "is not an unlawful act under Maryland law," a threat to do so "does not constitute a 'wrongful' act under the Maryland extortion statutes." </w:t>
            </w:r>
            <w:hyperlink r:id="rId669" w:history="1">
              <w:r>
                <w:rPr>
                  <w:rFonts w:ascii="Arial" w:eastAsia="Arial" w:hAnsi="Arial" w:cs="Arial"/>
                  <w:i/>
                  <w:color w:val="0077CC"/>
                  <w:sz w:val="20"/>
                  <w:u w:val="single"/>
                </w:rPr>
                <w:t>Id. at 518, 947 A.2d at 556.</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73" style="position:absolute;left:0;text-align:left;z-index:251791360;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10:48:00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77923612</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670" w:history="1">
        <w:r>
          <w:rPr>
            <w:rFonts w:ascii="Arial" w:eastAsia="Arial" w:hAnsi="Arial" w:cs="Arial"/>
            <w:color w:val="000000"/>
            <w:sz w:val="20"/>
            <w:u w:val="single"/>
          </w:rPr>
          <w:t xml:space="preserve"> </w:t>
        </w:r>
      </w:hyperlink>
      <w:hyperlink r:id="rId671" w:history="1">
        <w:r>
          <w:rPr>
            <w:rFonts w:ascii="Arial" w:eastAsia="Arial" w:hAnsi="Arial" w:cs="Arial"/>
            <w:i/>
            <w:color w:val="0077CC"/>
            <w:sz w:val="20"/>
            <w:u w:val="single"/>
          </w:rPr>
          <w:t>Threat Against State or Local Government Unit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672" w:history="1">
        <w:r>
          <w:rPr>
            <w:rFonts w:ascii="Arial" w:eastAsia="Arial" w:hAnsi="Arial" w:cs="Arial"/>
            <w:color w:val="000000"/>
            <w:sz w:val="20"/>
            <w:u w:val="single"/>
          </w:rPr>
          <w:t xml:space="preserve"> </w:t>
        </w:r>
      </w:hyperlink>
      <w:hyperlink r:id="rId673" w:history="1">
        <w:r>
          <w:rPr>
            <w:rFonts w:ascii="Arial" w:eastAsia="Arial" w:hAnsi="Arial" w:cs="Arial"/>
            <w:i/>
            <w:color w:val="0077CC"/>
            <w:sz w:val="20"/>
            <w:u w:val="single"/>
          </w:rPr>
          <w:t>False Imprisonment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674" w:history="1">
        <w:r>
          <w:rPr>
            <w:rFonts w:ascii="Arial" w:eastAsia="Arial" w:hAnsi="Arial" w:cs="Arial"/>
            <w:color w:val="000000"/>
            <w:sz w:val="20"/>
            <w:u w:val="single"/>
          </w:rPr>
          <w:t xml:space="preserve"> </w:t>
        </w:r>
      </w:hyperlink>
      <w:hyperlink r:id="rId675" w:history="1">
        <w:r>
          <w:rPr>
            <w:rFonts w:ascii="Arial" w:eastAsia="Arial" w:hAnsi="Arial" w:cs="Arial"/>
            <w:i/>
            <w:color w:val="0077CC"/>
            <w:sz w:val="20"/>
            <w:u w:val="single"/>
          </w:rPr>
          <w:t>Counterfeiting--False Making or Alteration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676" w:history="1">
        <w:r>
          <w:rPr>
            <w:rFonts w:ascii="Arial" w:eastAsia="Arial" w:hAnsi="Arial" w:cs="Arial"/>
            <w:color w:val="000000"/>
            <w:sz w:val="20"/>
            <w:u w:val="single"/>
          </w:rPr>
          <w:t xml:space="preserve"> </w:t>
        </w:r>
      </w:hyperlink>
      <w:hyperlink r:id="rId677" w:history="1">
        <w:r>
          <w:rPr>
            <w:rFonts w:ascii="Arial" w:eastAsia="Arial" w:hAnsi="Arial" w:cs="Arial"/>
            <w:i/>
            <w:color w:val="0077CC"/>
            <w:sz w:val="20"/>
            <w:u w:val="single"/>
          </w:rPr>
          <w:t>Counterfeiting--Issuing a Counterfeit Document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678" w:history="1">
        <w:r>
          <w:rPr>
            <w:rFonts w:ascii="Arial" w:eastAsia="Arial" w:hAnsi="Arial" w:cs="Arial"/>
            <w:color w:val="000000"/>
            <w:sz w:val="20"/>
            <w:u w:val="single"/>
          </w:rPr>
          <w:t xml:space="preserve"> </w:t>
        </w:r>
      </w:hyperlink>
      <w:hyperlink r:id="rId679" w:history="1">
        <w:r>
          <w:rPr>
            <w:rFonts w:ascii="Arial" w:eastAsia="Arial" w:hAnsi="Arial" w:cs="Arial"/>
            <w:i/>
            <w:color w:val="0077CC"/>
            <w:sz w:val="20"/>
            <w:u w:val="single"/>
          </w:rPr>
          <w:t>Counterfeiting a Credit Card (§ 8-205)</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680" w:history="1">
        <w:r>
          <w:rPr>
            <w:rFonts w:ascii="Arial" w:eastAsia="Arial" w:hAnsi="Arial" w:cs="Arial"/>
            <w:color w:val="000000"/>
            <w:sz w:val="20"/>
            <w:u w:val="single"/>
          </w:rPr>
          <w:t xml:space="preserve"> </w:t>
        </w:r>
      </w:hyperlink>
      <w:hyperlink r:id="rId681" w:history="1">
        <w:r>
          <w:rPr>
            <w:rFonts w:ascii="Arial" w:eastAsia="Arial" w:hAnsi="Arial" w:cs="Arial"/>
            <w:i/>
            <w:color w:val="0077CC"/>
            <w:sz w:val="20"/>
            <w:u w:val="single"/>
          </w:rPr>
          <w:t>Fraud in Procuring Issuance of a Credit Card (§ 8-203)</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682" w:history="1">
        <w:r>
          <w:rPr>
            <w:rFonts w:ascii="Arial" w:eastAsia="Arial" w:hAnsi="Arial" w:cs="Arial"/>
            <w:color w:val="000000"/>
            <w:sz w:val="20"/>
            <w:u w:val="single"/>
          </w:rPr>
          <w:t xml:space="preserve"> </w:t>
        </w:r>
      </w:hyperlink>
      <w:hyperlink r:id="rId683" w:history="1">
        <w:r>
          <w:rPr>
            <w:rFonts w:ascii="Arial" w:eastAsia="Arial" w:hAnsi="Arial" w:cs="Arial"/>
            <w:i/>
            <w:color w:val="0077CC"/>
            <w:sz w:val="20"/>
            <w:u w:val="single"/>
          </w:rPr>
          <w:t>Fraud--Medicaid</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684" w:history="1">
        <w:r>
          <w:rPr>
            <w:rFonts w:ascii="Arial" w:eastAsia="Arial" w:hAnsi="Arial" w:cs="Arial"/>
            <w:color w:val="000000"/>
            <w:sz w:val="20"/>
            <w:u w:val="single"/>
          </w:rPr>
          <w:t xml:space="preserve"> </w:t>
        </w:r>
      </w:hyperlink>
      <w:hyperlink r:id="rId685" w:history="1">
        <w:r>
          <w:rPr>
            <w:rFonts w:ascii="Arial" w:eastAsia="Arial" w:hAnsi="Arial" w:cs="Arial"/>
            <w:i/>
            <w:color w:val="0077CC"/>
            <w:sz w:val="20"/>
            <w:u w:val="single"/>
          </w:rPr>
          <w:t>§ 8-503: Fraud--Public Assistance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686" w:history="1">
        <w:r>
          <w:rPr>
            <w:rFonts w:ascii="Arial" w:eastAsia="Arial" w:hAnsi="Arial" w:cs="Arial"/>
            <w:color w:val="000000"/>
            <w:sz w:val="20"/>
            <w:u w:val="single"/>
          </w:rPr>
          <w:t xml:space="preserve"> </w:t>
        </w:r>
      </w:hyperlink>
      <w:hyperlink r:id="rId687" w:history="1">
        <w:r>
          <w:rPr>
            <w:rFonts w:ascii="Arial" w:eastAsia="Arial" w:hAnsi="Arial" w:cs="Arial"/>
            <w:i/>
            <w:color w:val="0077CC"/>
            <w:sz w:val="20"/>
            <w:u w:val="single"/>
          </w:rPr>
          <w:t>§ 8-504: Public Assistance Fraud--Fraudulent Statement in Application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688" w:history="1">
        <w:r>
          <w:rPr>
            <w:rFonts w:ascii="Arial" w:eastAsia="Arial" w:hAnsi="Arial" w:cs="Arial"/>
            <w:color w:val="000000"/>
            <w:sz w:val="20"/>
            <w:u w:val="single"/>
          </w:rPr>
          <w:t xml:space="preserve"> </w:t>
        </w:r>
      </w:hyperlink>
      <w:hyperlink r:id="rId689" w:history="1">
        <w:r>
          <w:rPr>
            <w:rFonts w:ascii="Arial" w:eastAsia="Arial" w:hAnsi="Arial" w:cs="Arial"/>
            <w:i/>
            <w:color w:val="0077CC"/>
            <w:sz w:val="20"/>
            <w:u w:val="single"/>
          </w:rPr>
          <w:t>§ 8-505: Public Assistance Fraud--Conversion and Unauthorized Disposition of Donated Food</w:t>
        </w:r>
      </w:hyperlink>
    </w:p>
    <w:p w:rsidR="004729FB" w:rsidRDefault="004729FB" w:rsidP="004729FB">
      <w:pPr>
        <w:spacing w:before="80" w:line="240" w:lineRule="atLeast"/>
        <w:ind w:left="290"/>
        <w:sectPr w:rsidR="004729FB" w:rsidSect="004729FB">
          <w:headerReference w:type="even" r:id="rId690"/>
          <w:headerReference w:type="default" r:id="rId691"/>
          <w:footerReference w:type="even" r:id="rId692"/>
          <w:footerReference w:type="default" r:id="rId693"/>
          <w:headerReference w:type="first" r:id="rId694"/>
          <w:footerReference w:type="first" r:id="rId695"/>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4" name="Picture 5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02" w:history="1">
        <w:r>
          <w:rPr>
            <w:rFonts w:ascii="Arial" w:eastAsia="Arial" w:hAnsi="Arial" w:cs="Arial"/>
            <w:b/>
            <w:bCs/>
            <w:i/>
            <w:color w:val="0077CC"/>
            <w:kern w:val="32"/>
            <w:sz w:val="28"/>
            <w:szCs w:val="32"/>
            <w:u w:val="single"/>
          </w:rPr>
          <w:t>MPJI-Cr 4:12.2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THREAT AGAINST STATE OR LOCAL GOVERNMENT UNIT</w:t>
      </w:r>
    </w:p>
    <w:p w:rsidR="004729FB" w:rsidRDefault="004729FB" w:rsidP="004729FB">
      <w:pPr>
        <w:keepNext/>
        <w:spacing w:before="240" w:line="340" w:lineRule="atLeast"/>
      </w:pPr>
      <w:r>
        <w:br/>
      </w:r>
      <w:r>
        <w:rPr>
          <w:rFonts w:ascii="Arial" w:eastAsia="Arial" w:hAnsi="Arial" w:cs="Arial"/>
          <w:b/>
          <w:color w:val="000000"/>
          <w:sz w:val="28"/>
        </w:rPr>
        <w:t>4:12.2Threat Against State or Local Government Unit</w:t>
      </w:r>
    </w:p>
    <w:p w:rsidR="004729FB" w:rsidRDefault="004729FB" w:rsidP="004729FB">
      <w:pPr>
        <w:spacing w:line="60" w:lineRule="exact"/>
      </w:pPr>
      <w:r>
        <w:pict>
          <v:line id="_x0000_s1180" style="position:absolute;z-index:2517995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3-708(b) (MAKING A THREAT)</w:t>
      </w:r>
    </w:p>
    <w:p w:rsidR="004729FB" w:rsidRDefault="004729FB" w:rsidP="004729FB">
      <w:pPr>
        <w:spacing w:before="200" w:line="260" w:lineRule="atLeast"/>
        <w:jc w:val="both"/>
      </w:pPr>
      <w:r>
        <w:rPr>
          <w:rFonts w:ascii="Arial" w:eastAsia="Arial" w:hAnsi="Arial" w:cs="Arial"/>
          <w:b/>
          <w:color w:val="000000"/>
          <w:sz w:val="20"/>
        </w:rPr>
        <w:t>The defendant is charged with threatening a [State] [local] official.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communicated a threat to another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threat was to kill, kidnap, or physically injure a [state] [local] official</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made the threat knowingly and willfully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threat is a serious statement expressing an intent to kill, kidnap, or physically injure a [State] [local] official immediately or in the future. A threat is not idle or careless talk, exaggeration, or something said in a joking manner. A statement is a threat if it was made under such circumstances that a reasonable person hearing or reading the statement would understand it as a serious expression of an intent to kill, physically injure, or kidnap a [State] [local] official. In deciding whether the defendant made a threat, you may consider, among other circumstances, the language the defendant used, and whether a reasonable person, hearing or reading the words, and knowing all of the circumstances, would have considered the words to be a threat. [[However, even the crudest, most offensive methods of stating political opposition to a [State] [local] official, by themselves, are not threats.]]</w:t>
      </w:r>
    </w:p>
    <w:p w:rsidR="004729FB" w:rsidRDefault="004729FB" w:rsidP="004729FB">
      <w:pPr>
        <w:spacing w:before="200" w:line="260" w:lineRule="atLeast"/>
        <w:jc w:val="both"/>
      </w:pPr>
      <w:r>
        <w:rPr>
          <w:rFonts w:ascii="Arial" w:eastAsia="Arial" w:hAnsi="Arial" w:cs="Arial"/>
          <w:b/>
          <w:color w:val="000000"/>
          <w:sz w:val="20"/>
        </w:rPr>
        <w:t>A threat may be oral or written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Willfully means the defendant intended to make a threat. The State need not prove that the defendant intended to carry out the threat or that the defendant had the present ability to carry out the threat. A statement may be a threat even if it was never communicated to the [State] [local] official who was the subject of the threat, or even intended to be communicated to that official, provided that it was communicated to someone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3-708(c) (MAKING A THREAT FOR THE PURPOSE OF SENDING OR DELIVERING IT)</w:t>
      </w:r>
    </w:p>
    <w:p w:rsidR="004729FB" w:rsidRDefault="004729FB" w:rsidP="004729FB">
      <w:pPr>
        <w:spacing w:before="200" w:line="260" w:lineRule="atLeast"/>
        <w:jc w:val="both"/>
      </w:pPr>
      <w:r>
        <w:rPr>
          <w:rFonts w:ascii="Arial" w:eastAsia="Arial" w:hAnsi="Arial" w:cs="Arial"/>
          <w:b/>
          <w:color w:val="000000"/>
          <w:sz w:val="20"/>
        </w:rPr>
        <w:t>The defendant is charged with making a threat to a [State] [local] official for the purpose of sending or delivering it.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(1) that the defendant knowingly made a threat for the purpose of sending or delivering it; and</w:t>
      </w:r>
    </w:p>
    <w:p w:rsidR="004729FB" w:rsidRDefault="004729FB" w:rsidP="004729FB">
      <w:pPr>
        <w:spacing w:before="200" w:line="260" w:lineRule="atLeast"/>
        <w:ind w:left="400"/>
        <w:jc w:val="both"/>
      </w:pPr>
      <w:r>
        <w:rPr>
          <w:rFonts w:ascii="Arial" w:eastAsia="Arial" w:hAnsi="Arial" w:cs="Arial"/>
          <w:b/>
          <w:color w:val="000000"/>
          <w:sz w:val="20"/>
        </w:rPr>
        <w:t>(2) that the threat was to kill, physically injure, or kidnap a [State] [local] official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threat is a serious statement expressing an intent to kill, physically injure, or kidnap a [State] [local] official immediately or in the future. A threat is not idle or careless talk, exaggeration, or something said in a joking manner. A statement is a threat if it was made under such circumstances that a reasonable person hearing or reading the statement would understand it as a serious expression of an intent to take the life of, kidnap, or cause physical injury to a [State] [local] official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deciding whether the defendant made a threat, you may consider, among other circumstances, the language the defendant used, and whether a reasonable person, hearing or reading the words, and knowing all of the circumstances, would have considered the words to be a threat. [However, even the crudest, most offensive methods of stating political opposition to a [State] [local] official, by themselves, are not threats.]]</w:t>
      </w:r>
    </w:p>
    <w:p w:rsidR="004729FB" w:rsidRDefault="004729FB" w:rsidP="004729FB">
      <w:pPr>
        <w:spacing w:before="200" w:line="260" w:lineRule="atLeast"/>
        <w:jc w:val="both"/>
      </w:pPr>
      <w:r>
        <w:rPr>
          <w:rFonts w:ascii="Arial" w:eastAsia="Arial" w:hAnsi="Arial" w:cs="Arial"/>
          <w:b/>
          <w:color w:val="000000"/>
          <w:sz w:val="20"/>
        </w:rPr>
        <w:t>In deciding whether the defendant knowingly made a threat for the purpose of sending or delivering it, you should consider the totality of the circumstances surrounding the making of the threat, including whether the defendant personally sent or delivered it, or gave it to another for the purpose of sending or delivering it. The State need not prove that the defendant intended to carry out the threat or that the defendant had the present ability to carry out the threat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 3-708(c) (SENDING, DELIVERING, OR PARTING WITH A THREAT)</w:t>
      </w:r>
    </w:p>
    <w:p w:rsidR="004729FB" w:rsidRDefault="004729FB" w:rsidP="004729FB">
      <w:pPr>
        <w:spacing w:before="200" w:line="260" w:lineRule="atLeast"/>
        <w:jc w:val="both"/>
      </w:pPr>
      <w:r>
        <w:rPr>
          <w:rFonts w:ascii="Arial" w:eastAsia="Arial" w:hAnsi="Arial" w:cs="Arial"/>
          <w:b/>
          <w:color w:val="000000"/>
          <w:sz w:val="20"/>
        </w:rPr>
        <w:t>The defendant is charged with sending a threat to a [State] [local] official.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sent, delivered or parted with a threat; and</w:t>
      </w:r>
    </w:p>
    <w:p w:rsidR="004729FB" w:rsidRDefault="004729FB" w:rsidP="004729FB">
      <w:pPr>
        <w:spacing w:before="200" w:line="260" w:lineRule="atLeast"/>
        <w:ind w:left="400"/>
        <w:jc w:val="both"/>
      </w:pPr>
      <w:r>
        <w:rPr>
          <w:rFonts w:ascii="Arial" w:eastAsia="Arial" w:hAnsi="Arial" w:cs="Arial"/>
          <w:b/>
          <w:color w:val="000000"/>
          <w:sz w:val="20"/>
        </w:rPr>
        <w:t>(2) that the threat was to kill, kidnap, or physically injure a [State] [local] official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threat is a serious statement expressing an intent to kill, kidnap, or physically injure a [State] [local] official immediately or in the future. A threat is not idle or careless talk, exaggeration, or something said in a joking manner. A statement is a threat if it was made under such circumstances that a reasonable person hearing or reading the statement would understand it as a serious expression of an intent to kill, physically injure or kidnap a [State] [local] official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deciding whether the statement is a threat, you may consider, among other circumstances, the language used and whether a reasonable person, hearing or reading the words, and knowing all of the circumstances, would have considered the words to be a threat. [However, even the crudest, most offensive methods of stating political opposition to a [State] [local] official, by themselves, are not threats.]</w:t>
      </w:r>
    </w:p>
    <w:p w:rsidR="004729FB" w:rsidRDefault="004729FB" w:rsidP="004729FB">
      <w:pPr>
        <w:spacing w:before="200" w:line="260" w:lineRule="atLeast"/>
        <w:jc w:val="both"/>
      </w:pPr>
      <w:r>
        <w:rPr>
          <w:rFonts w:ascii="Arial" w:eastAsia="Arial" w:hAnsi="Arial" w:cs="Arial"/>
          <w:b/>
          <w:color w:val="000000"/>
          <w:sz w:val="20"/>
        </w:rPr>
        <w:t>Knowingly means that the defendant was aware that [he] [she] was sending, delivering or parting with a threat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threat may be oral or written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need not prove that the defendant intended to carry out the threat or that the defendant had the present ability to carry out the threat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This is a new instruction. It implements CRIM. LAW I § 3-708, which was based on the substantially similar provisions of the federal law that prohibits threats to kill or harm the President of the United States. </w:t>
            </w:r>
            <w:r>
              <w:rPr>
                <w:rFonts w:ascii="Arial" w:eastAsia="Arial" w:hAnsi="Arial" w:cs="Arial"/>
                <w:i/>
                <w:color w:val="000000"/>
                <w:sz w:val="20"/>
              </w:rPr>
              <w:t xml:space="preserve">See </w:t>
            </w:r>
            <w:hyperlink r:id="rId703" w:history="1">
              <w:r>
                <w:rPr>
                  <w:rFonts w:ascii="Arial" w:eastAsia="Arial" w:hAnsi="Arial" w:cs="Arial"/>
                  <w:i/>
                  <w:color w:val="0077CC"/>
                  <w:sz w:val="20"/>
                  <w:u w:val="single"/>
                </w:rPr>
                <w:t>Pendergast v. State, 99 Md. App. 141, 145, 636 A.2d 18, 20 (1994).</w:t>
              </w:r>
            </w:hyperlink>
            <w:r>
              <w:rPr>
                <w:rFonts w:ascii="Arial" w:eastAsia="Arial" w:hAnsi="Arial" w:cs="Arial"/>
                <w:color w:val="000000"/>
                <w:sz w:val="20"/>
              </w:rPr>
              <w:t xml:space="preserve"> Because § 3-708 applies to speech, and thus implicates both the First Amendment to the United States Constitution and Article 40 of the Maryland Declaration of Rights, courts "must narrowly construe the statute and determine whether the speech is a true threat." </w:t>
            </w:r>
            <w:hyperlink r:id="rId704" w:history="1">
              <w:r>
                <w:rPr>
                  <w:rFonts w:ascii="Arial" w:eastAsia="Arial" w:hAnsi="Arial" w:cs="Arial"/>
                  <w:i/>
                  <w:color w:val="0077CC"/>
                  <w:sz w:val="20"/>
                  <w:u w:val="single"/>
                </w:rPr>
                <w:t>Id. at 148, 636 A.2d at 21-22.</w:t>
              </w:r>
            </w:hyperlink>
            <w:r>
              <w:rPr>
                <w:rFonts w:ascii="Arial" w:eastAsia="Arial" w:hAnsi="Arial" w:cs="Arial"/>
                <w:color w:val="000000"/>
                <w:sz w:val="20"/>
              </w:rPr>
              <w:t xml:space="preserve"> In </w:t>
            </w:r>
            <w:r>
              <w:rPr>
                <w:rFonts w:ascii="Arial" w:eastAsia="Arial" w:hAnsi="Arial" w:cs="Arial"/>
                <w:i/>
                <w:color w:val="000000"/>
                <w:sz w:val="20"/>
              </w:rPr>
              <w:t>Abbott v. State</w:t>
            </w:r>
            <w:r>
              <w:rPr>
                <w:rFonts w:ascii="Arial" w:eastAsia="Arial" w:hAnsi="Arial" w:cs="Arial"/>
                <w:color w:val="000000"/>
                <w:sz w:val="20"/>
              </w:rPr>
              <w:t xml:space="preserve">, the Court of Special Appeals addressed the "true threat" requirement. </w:t>
            </w:r>
            <w:hyperlink r:id="rId705" w:history="1">
              <w:r>
                <w:rPr>
                  <w:rFonts w:ascii="Arial" w:eastAsia="Arial" w:hAnsi="Arial" w:cs="Arial"/>
                  <w:i/>
                  <w:color w:val="0077CC"/>
                  <w:sz w:val="20"/>
                  <w:u w:val="single"/>
                </w:rPr>
                <w:t>190 Md. App. 595, 989 A.2d 795 (2010).</w:t>
              </w:r>
            </w:hyperlink>
            <w:r>
              <w:rPr>
                <w:rFonts w:ascii="Arial" w:eastAsia="Arial" w:hAnsi="Arial" w:cs="Arial"/>
                <w:color w:val="000000"/>
                <w:sz w:val="20"/>
              </w:rPr>
              <w:t xml:space="preserve"> Abbott had sent to a state website an e-mail addressed to the governor in which he threatened to "[wrap] my hands around your throat and strangle the life from you." </w:t>
            </w:r>
            <w:hyperlink r:id="rId706" w:history="1">
              <w:r>
                <w:rPr>
                  <w:rFonts w:ascii="Arial" w:eastAsia="Arial" w:hAnsi="Arial" w:cs="Arial"/>
                  <w:i/>
                  <w:color w:val="0077CC"/>
                  <w:sz w:val="20"/>
                  <w:u w:val="single"/>
                </w:rPr>
                <w:t>Id. at 605, 989 A.2d at 801.</w:t>
              </w:r>
            </w:hyperlink>
            <w:r>
              <w:rPr>
                <w:rFonts w:ascii="Arial" w:eastAsia="Arial" w:hAnsi="Arial" w:cs="Arial"/>
                <w:color w:val="000000"/>
                <w:sz w:val="20"/>
              </w:rPr>
              <w:t xml:space="preserve"> The Court found that this was a "true threat" and said that § 3-708 can be constitutionally applied to "true threats," rather than words that are "mere political argument, talk or jest." </w:t>
            </w:r>
            <w:hyperlink r:id="rId707" w:history="1">
              <w:r>
                <w:rPr>
                  <w:rFonts w:ascii="Arial" w:eastAsia="Arial" w:hAnsi="Arial" w:cs="Arial"/>
                  <w:i/>
                  <w:color w:val="0077CC"/>
                  <w:sz w:val="20"/>
                  <w:u w:val="single"/>
                </w:rPr>
                <w:t>Id. at 620, 989 A.2d at 809</w:t>
              </w:r>
            </w:hyperlink>
            <w:r>
              <w:rPr>
                <w:rFonts w:ascii="Arial" w:eastAsia="Arial" w:hAnsi="Arial" w:cs="Arial"/>
                <w:color w:val="000000"/>
                <w:sz w:val="20"/>
              </w:rPr>
              <w:t xml:space="preserve"> (quoting </w:t>
            </w:r>
            <w:hyperlink r:id="rId708" w:history="1">
              <w:r>
                <w:rPr>
                  <w:rFonts w:ascii="Arial" w:eastAsia="Arial" w:hAnsi="Arial" w:cs="Arial"/>
                  <w:i/>
                  <w:color w:val="0077CC"/>
                  <w:sz w:val="20"/>
                  <w:u w:val="single"/>
                </w:rPr>
                <w:t>United States v. Dysart, 705 F.2d 1247, 1256</w:t>
              </w:r>
            </w:hyperlink>
            <w:r>
              <w:rPr>
                <w:rFonts w:ascii="Arial" w:eastAsia="Arial" w:hAnsi="Arial" w:cs="Arial"/>
                <w:color w:val="000000"/>
                <w:sz w:val="20"/>
              </w:rPr>
              <w:t xml:space="preserve"> (10th Cir.),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464 U.S. 934 (1983)).</w:t>
            </w:r>
            <w:r>
              <w:rPr>
                <w:rFonts w:ascii="Arial" w:eastAsia="Arial" w:hAnsi="Arial" w:cs="Arial"/>
                <w:color w:val="000000"/>
                <w:sz w:val="20"/>
              </w:rPr>
              <w:t xml:space="preserve"> The Court in </w:t>
            </w:r>
            <w:r>
              <w:rPr>
                <w:rFonts w:ascii="Arial" w:eastAsia="Arial" w:hAnsi="Arial" w:cs="Arial"/>
                <w:i/>
                <w:color w:val="000000"/>
                <w:sz w:val="20"/>
              </w:rPr>
              <w:t>Abbott</w:t>
            </w:r>
            <w:r>
              <w:rPr>
                <w:rFonts w:ascii="Arial" w:eastAsia="Arial" w:hAnsi="Arial" w:cs="Arial"/>
                <w:color w:val="000000"/>
                <w:sz w:val="20"/>
              </w:rPr>
              <w:t xml:space="preserve"> reversed the conviction because the trial court had not given a "true threat" instruction to the jury. It said:</w:t>
            </w:r>
          </w:p>
          <w:p w:rsidR="004729FB" w:rsidRDefault="004729FB" w:rsidP="00713DA5">
            <w:pPr>
              <w:spacing w:before="60" w:line="260" w:lineRule="atLeast"/>
              <w:ind w:left="460" w:right="360"/>
              <w:jc w:val="both"/>
            </w:pPr>
            <w:r>
              <w:rPr>
                <w:rFonts w:ascii="Arial" w:eastAsia="Arial" w:hAnsi="Arial" w:cs="Arial"/>
                <w:color w:val="000000"/>
                <w:sz w:val="20"/>
              </w:rPr>
              <w:t>The court did not define the element of "a threat" or otherwise provide guidance to the jury as to how it should determine whether the communication constituted a threat. In particular, the court did not specify that an individual may only be convicted of a violation of [CRIM. LAW I] § 3-708(b) if the content of the communication constituted "a true threat." Nor did the court inform the jury that the statute does not criminalize statements of political expression, and that it is the jury's responsibility to distinguish political hyperbole from a true threat.</w:t>
            </w:r>
          </w:p>
          <w:p w:rsidR="004729FB" w:rsidRDefault="004729FB" w:rsidP="00713DA5">
            <w:pPr>
              <w:spacing w:before="20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at 634, 989 A.2d at 818.</w:t>
            </w:r>
          </w:p>
          <w:p w:rsidR="004729FB" w:rsidRDefault="004729FB" w:rsidP="00713DA5">
            <w:pPr>
              <w:spacing w:before="200" w:line="260" w:lineRule="atLeast"/>
              <w:ind w:left="60" w:right="360"/>
              <w:jc w:val="both"/>
            </w:pPr>
            <w:r>
              <w:rPr>
                <w:rFonts w:ascii="Arial" w:eastAsia="Arial" w:hAnsi="Arial" w:cs="Arial"/>
                <w:color w:val="000000"/>
                <w:sz w:val="20"/>
              </w:rPr>
              <w:t xml:space="preserve">The </w:t>
            </w:r>
            <w:r>
              <w:rPr>
                <w:rFonts w:ascii="Arial" w:eastAsia="Arial" w:hAnsi="Arial" w:cs="Arial"/>
                <w:i/>
                <w:color w:val="000000"/>
                <w:sz w:val="20"/>
              </w:rPr>
              <w:t>Abbott</w:t>
            </w:r>
            <w:r>
              <w:rPr>
                <w:rFonts w:ascii="Arial" w:eastAsia="Arial" w:hAnsi="Arial" w:cs="Arial"/>
                <w:color w:val="000000"/>
                <w:sz w:val="20"/>
              </w:rPr>
              <w:t xml:space="preserve"> Court said that "[w]hether a particular communication constitutes a true threat depends on both its language and its context." </w:t>
            </w:r>
            <w:r>
              <w:rPr>
                <w:rFonts w:ascii="Arial" w:eastAsia="Arial" w:hAnsi="Arial" w:cs="Arial"/>
                <w:i/>
                <w:color w:val="000000"/>
                <w:sz w:val="20"/>
              </w:rPr>
              <w:t>Id.</w:t>
            </w:r>
            <w:r>
              <w:rPr>
                <w:rFonts w:ascii="Arial" w:eastAsia="Arial" w:hAnsi="Arial" w:cs="Arial"/>
                <w:color w:val="000000"/>
                <w:sz w:val="20"/>
              </w:rPr>
              <w:t xml:space="preserve"> at 620, 989 A.2d at 809. It cited as an example of a good "true threat" jury instruction the federal instruction that implements the federal law prohibiting threats against the President. </w:t>
            </w:r>
            <w:r>
              <w:rPr>
                <w:rFonts w:ascii="Arial" w:eastAsia="Arial" w:hAnsi="Arial" w:cs="Arial"/>
                <w:i/>
                <w:color w:val="000000"/>
                <w:sz w:val="20"/>
              </w:rPr>
              <w:t>Id.</w:t>
            </w:r>
            <w:r>
              <w:rPr>
                <w:rFonts w:ascii="Arial" w:eastAsia="Arial" w:hAnsi="Arial" w:cs="Arial"/>
                <w:color w:val="000000"/>
                <w:sz w:val="20"/>
              </w:rPr>
              <w:t xml:space="preserve"> at 645, 989 A.2d at 825. The Committee has incorporated the substance of that instruction into MPJI-Cr 4:12.2.</w:t>
            </w:r>
          </w:p>
          <w:p w:rsidR="004729FB" w:rsidRDefault="004729FB" w:rsidP="00713DA5">
            <w:pPr>
              <w:spacing w:before="240" w:line="260" w:lineRule="atLeast"/>
              <w:ind w:left="60" w:right="360"/>
              <w:jc w:val="both"/>
            </w:pPr>
            <w:r>
              <w:rPr>
                <w:rFonts w:ascii="Arial" w:eastAsia="Arial" w:hAnsi="Arial" w:cs="Arial"/>
                <w:color w:val="000000"/>
                <w:sz w:val="20"/>
              </w:rPr>
              <w:t xml:space="preserve">The public officials who are protected by CRIM. LAW I § 3-708 are limited to those identified in MD. CODE ANN., STATE GOVERNMENT II § 15-102 (2014 &amp; Supp. 2018) (State officials), and § 10-101 (local government unit). </w:t>
            </w:r>
            <w:r>
              <w:rPr>
                <w:rFonts w:ascii="Arial" w:eastAsia="Arial" w:hAnsi="Arial" w:cs="Arial"/>
                <w:i/>
                <w:color w:val="000000"/>
                <w:sz w:val="20"/>
              </w:rPr>
              <w:t xml:space="preserve">See </w:t>
            </w:r>
            <w:hyperlink r:id="rId709" w:history="1">
              <w:r>
                <w:rPr>
                  <w:rFonts w:ascii="Arial" w:eastAsia="Arial" w:hAnsi="Arial" w:cs="Arial"/>
                  <w:i/>
                  <w:color w:val="0077CC"/>
                  <w:sz w:val="20"/>
                  <w:u w:val="single"/>
                </w:rPr>
                <w:t>Gillespie v. State, 370 Md. 219, 804 A.2d 426 (2002)</w:t>
              </w:r>
            </w:hyperlink>
            <w:r>
              <w:rPr>
                <w:rFonts w:ascii="Arial" w:eastAsia="Arial" w:hAnsi="Arial" w:cs="Arial"/>
                <w:color w:val="000000"/>
                <w:sz w:val="20"/>
              </w:rPr>
              <w:t xml:space="preserve"> (construing statute to apply to a State's Attorney, but not an assistant state's attorney).</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0" style="position:absolute;left:0;text-align:left;z-index:25180979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3" name="Picture 5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16" w:history="1">
        <w:r>
          <w:rPr>
            <w:rFonts w:ascii="Arial" w:eastAsia="Arial" w:hAnsi="Arial" w:cs="Arial"/>
            <w:b/>
            <w:bCs/>
            <w:i/>
            <w:color w:val="0077CC"/>
            <w:kern w:val="32"/>
            <w:sz w:val="28"/>
            <w:szCs w:val="32"/>
            <w:u w:val="single"/>
          </w:rPr>
          <w:t>MPJI-Cr 4:13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FALSE IMPRISONMENT</w:t>
      </w:r>
    </w:p>
    <w:p w:rsidR="004729FB" w:rsidRDefault="004729FB" w:rsidP="004729FB">
      <w:pPr>
        <w:keepNext/>
        <w:spacing w:before="240" w:line="340" w:lineRule="atLeast"/>
      </w:pPr>
      <w:r>
        <w:br/>
      </w:r>
      <w:r>
        <w:rPr>
          <w:rFonts w:ascii="Arial" w:eastAsia="Arial" w:hAnsi="Arial" w:cs="Arial"/>
          <w:b/>
          <w:color w:val="000000"/>
          <w:sz w:val="28"/>
        </w:rPr>
        <w:t>4:13False Imprisonment</w:t>
      </w:r>
    </w:p>
    <w:p w:rsidR="004729FB" w:rsidRDefault="004729FB" w:rsidP="004729FB">
      <w:pPr>
        <w:spacing w:line="60" w:lineRule="exact"/>
      </w:pPr>
      <w:r>
        <w:pict>
          <v:line id="_x0000_s1181" style="position:absolute;z-index:2518005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false imprisonment. False imprisonment is the confinement or detention of a person against that person's will and without legal justification, accomplished by [force or threat of force] [deception]. In order to convict the defendant of false imprisonment,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confined or detained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confined or detained against [his] [her] will; [and]</w:t>
      </w:r>
    </w:p>
    <w:p w:rsidR="004729FB" w:rsidRDefault="004729FB" w:rsidP="004729FB">
      <w:pPr>
        <w:spacing w:before="200" w:line="260" w:lineRule="atLeast"/>
        <w:ind w:left="400"/>
        <w:jc w:val="both"/>
      </w:pPr>
      <w:r>
        <w:rPr>
          <w:rFonts w:ascii="Arial" w:eastAsia="Arial" w:hAnsi="Arial" w:cs="Arial"/>
          <w:b/>
          <w:color w:val="000000"/>
          <w:sz w:val="20"/>
        </w:rPr>
        <w:t>(3) that the confinement or detention was accomplished by [force or threat of force] [deception][; and] [.]</w:t>
      </w:r>
    </w:p>
    <w:p w:rsidR="004729FB" w:rsidRDefault="004729FB" w:rsidP="004729FB">
      <w:pPr>
        <w:spacing w:before="200" w:line="260" w:lineRule="atLeast"/>
        <w:ind w:left="400"/>
        <w:jc w:val="both"/>
      </w:pPr>
      <w:r>
        <w:rPr>
          <w:rFonts w:ascii="Arial" w:eastAsia="Arial" w:hAnsi="Arial" w:cs="Arial"/>
          <w:b/>
          <w:color w:val="000000"/>
          <w:sz w:val="20"/>
        </w:rPr>
        <w:t>[(4) that there was no legal justification for the confinement or detention.]</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Common law false imprisonment is the unlawful detention of a person against his will. </w:t>
            </w:r>
            <w:hyperlink r:id="rId717" w:history="1">
              <w:r>
                <w:rPr>
                  <w:rFonts w:ascii="Arial" w:eastAsia="Arial" w:hAnsi="Arial" w:cs="Arial"/>
                  <w:i/>
                  <w:color w:val="0077CC"/>
                  <w:sz w:val="20"/>
                  <w:u w:val="single"/>
                </w:rPr>
                <w:t>Midgett v. State, 216 Md. 26, 38-39, 139 A.2d 209, 216 (1958);</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718" w:history="1">
              <w:r>
                <w:rPr>
                  <w:rFonts w:ascii="Arial" w:eastAsia="Arial" w:hAnsi="Arial" w:cs="Arial"/>
                  <w:i/>
                  <w:color w:val="0077CC"/>
                  <w:sz w:val="20"/>
                  <w:u w:val="single"/>
                </w:rPr>
                <w:t>Hunt v. State, 12 Md. App. 286, 309, 278 A.2d 637, 651,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715 (1971).</w:t>
            </w:r>
            <w:r>
              <w:rPr>
                <w:rFonts w:ascii="Arial" w:eastAsia="Arial" w:hAnsi="Arial" w:cs="Arial"/>
                <w:color w:val="000000"/>
                <w:sz w:val="20"/>
              </w:rPr>
              <w:t xml:space="preserve"> Although some jurisdictions have eliminated the distinction between kidnapping and false imprisonment, Maryland preserves the essential difference that false imprisonment does not require asportation. </w:t>
            </w:r>
            <w:hyperlink r:id="rId719" w:history="1">
              <w:r>
                <w:rPr>
                  <w:rFonts w:ascii="Arial" w:eastAsia="Arial" w:hAnsi="Arial" w:cs="Arial"/>
                  <w:i/>
                  <w:color w:val="0077CC"/>
                  <w:sz w:val="20"/>
                  <w:u w:val="single"/>
                </w:rPr>
                <w:t>Johnson v. State, 292 Md. 405, 433, 439 A.2d 542, 558 (1982)</w:t>
              </w:r>
            </w:hyperlink>
            <w:r>
              <w:rPr>
                <w:rFonts w:ascii="Arial" w:eastAsia="Arial" w:hAnsi="Arial" w:cs="Arial"/>
                <w:color w:val="000000"/>
                <w:sz w:val="20"/>
              </w:rPr>
              <w:t xml:space="preserve"> ("[T]he crux of the crime of kidnapping ...today is false imprisonment aggravated by some measure of transportation of the victim" (citing </w:t>
            </w:r>
            <w:hyperlink r:id="rId720" w:history="1">
              <w:r>
                <w:rPr>
                  <w:rFonts w:ascii="Arial" w:eastAsia="Arial" w:hAnsi="Arial" w:cs="Arial"/>
                  <w:i/>
                  <w:color w:val="0077CC"/>
                  <w:sz w:val="20"/>
                  <w:u w:val="single"/>
                </w:rPr>
                <w:t>Midgett, 216 Md. at 39-40, 139 A.2d at 216)),</w:t>
              </w:r>
            </w:hyperlink>
            <w:r>
              <w:rPr>
                <w:rFonts w:ascii="Arial" w:eastAsia="Arial" w:hAnsi="Arial" w:cs="Arial"/>
                <w:color w:val="000000"/>
                <w:sz w:val="20"/>
              </w:rPr>
              <w:t xml:space="preserve"> </w:t>
            </w:r>
            <w:r>
              <w:rPr>
                <w:rFonts w:ascii="Arial" w:eastAsia="Arial" w:hAnsi="Arial" w:cs="Arial"/>
                <w:i/>
                <w:color w:val="000000"/>
                <w:sz w:val="20"/>
              </w:rPr>
              <w:t xml:space="preserve">abrogated on other grounds by </w:t>
            </w:r>
            <w:hyperlink r:id="rId721" w:history="1">
              <w:r>
                <w:rPr>
                  <w:rFonts w:ascii="Arial" w:eastAsia="Arial" w:hAnsi="Arial" w:cs="Arial"/>
                  <w:i/>
                  <w:color w:val="0077CC"/>
                  <w:sz w:val="20"/>
                  <w:u w:val="single"/>
                </w:rPr>
                <w:t>Washington v. State, 191 Md. App. 48, 990 A.2d 549 (2010);</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722" w:history="1">
              <w:r>
                <w:rPr>
                  <w:rFonts w:ascii="Arial" w:eastAsia="Arial" w:hAnsi="Arial" w:cs="Arial"/>
                  <w:i/>
                  <w:color w:val="0077CC"/>
                  <w:sz w:val="20"/>
                  <w:u w:val="single"/>
                </w:rPr>
                <w:t>Paz v. State, 125 Md. App. 729, 739-41, 726 A.2d 880, 884-85 (1999)</w:t>
              </w:r>
            </w:hyperlink>
            <w:r>
              <w:rPr>
                <w:rFonts w:ascii="Arial" w:eastAsia="Arial" w:hAnsi="Arial" w:cs="Arial"/>
                <w:color w:val="000000"/>
                <w:sz w:val="20"/>
              </w:rPr>
              <w:t xml:space="preserve"> (finding that, where confinement and movement of victim were incidental to attempted rape, defendant was guilty of false imprisonment but not kidnapping); </w:t>
            </w:r>
            <w:r>
              <w:rPr>
                <w:rFonts w:ascii="Arial" w:eastAsia="Arial" w:hAnsi="Arial" w:cs="Arial"/>
                <w:i/>
                <w:color w:val="000000"/>
                <w:sz w:val="20"/>
              </w:rPr>
              <w:t xml:space="preserve">see also </w:t>
            </w:r>
            <w:hyperlink r:id="rId723" w:history="1">
              <w:r>
                <w:rPr>
                  <w:rFonts w:ascii="Arial" w:eastAsia="Arial" w:hAnsi="Arial" w:cs="Arial"/>
                  <w:i/>
                  <w:color w:val="0077CC"/>
                  <w:sz w:val="20"/>
                  <w:u w:val="single"/>
                </w:rPr>
                <w:t>Watkins v. State, 59 Md. App. 705, 725, 478 A.2d 326, 336 (1984).</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Beverly R. Willford, Note, </w:t>
            </w:r>
            <w:r>
              <w:rPr>
                <w:rFonts w:ascii="Arial" w:eastAsia="Arial" w:hAnsi="Arial" w:cs="Arial"/>
                <w:i/>
                <w:color w:val="000000"/>
                <w:sz w:val="20"/>
              </w:rPr>
              <w:t>Presence of Accused at Trial Necessary--Kidnapping and False Imprisonment Differentiated</w:t>
            </w:r>
            <w:r>
              <w:rPr>
                <w:rFonts w:ascii="Arial" w:eastAsia="Arial" w:hAnsi="Arial" w:cs="Arial"/>
                <w:color w:val="000000"/>
                <w:sz w:val="20"/>
              </w:rPr>
              <w:t xml:space="preserve">, 19 MD. L. REV. 165 (1959) (explaining the difference between false imprisonment and kidnapping). False imprisonment may be committed through the use of fraudulent misrepresentations to obtain consent, as well as through the use of force or threat of force. </w:t>
            </w:r>
            <w:hyperlink r:id="rId724" w:history="1">
              <w:r>
                <w:rPr>
                  <w:rFonts w:ascii="Arial" w:eastAsia="Arial" w:hAnsi="Arial" w:cs="Arial"/>
                  <w:i/>
                  <w:color w:val="0077CC"/>
                  <w:sz w:val="20"/>
                  <w:u w:val="single"/>
                </w:rPr>
                <w:t>Watkins, 59 Md. App. at 722-25, 478 A.2d at 336 (1984).</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lastRenderedPageBreak/>
        <w:br/>
      </w:r>
      <w:r>
        <w:rPr>
          <w:rFonts w:ascii="Arial" w:eastAsia="Arial" w:hAnsi="Arial" w:cs="Arial"/>
          <w:b/>
          <w:color w:val="000000"/>
          <w:sz w:val="28"/>
        </w:rPr>
        <w:t>Reference</w:t>
      </w:r>
    </w:p>
    <w:p w:rsidR="004729FB" w:rsidRDefault="004729FB" w:rsidP="004729FB">
      <w:pPr>
        <w:spacing w:line="60" w:lineRule="exact"/>
      </w:pPr>
      <w:r>
        <w:pict>
          <v:line id="_x0000_s1191" style="position:absolute;z-index:25181081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00" style="position:absolute;left:0;text-align:left;z-index:2518200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25"/>
          <w:headerReference w:type="default" r:id="rId726"/>
          <w:footerReference w:type="even" r:id="rId727"/>
          <w:footerReference w:type="default" r:id="rId728"/>
          <w:headerReference w:type="first" r:id="rId729"/>
          <w:footerReference w:type="first" r:id="rId73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2" name="Picture 5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31" w:history="1">
        <w:r>
          <w:rPr>
            <w:rFonts w:ascii="Arial" w:eastAsia="Arial" w:hAnsi="Arial" w:cs="Arial"/>
            <w:b/>
            <w:bCs/>
            <w:i/>
            <w:color w:val="0077CC"/>
            <w:kern w:val="32"/>
            <w:sz w:val="28"/>
            <w:szCs w:val="32"/>
            <w:u w:val="single"/>
          </w:rPr>
          <w:t>MPJI-Cr 4:14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COUNTERFEITING--FALSE MAKING OR ALTERATION</w:t>
      </w:r>
    </w:p>
    <w:p w:rsidR="004729FB" w:rsidRDefault="004729FB" w:rsidP="004729FB">
      <w:pPr>
        <w:keepNext/>
        <w:spacing w:before="240" w:line="340" w:lineRule="atLeast"/>
      </w:pPr>
      <w:r>
        <w:br/>
      </w:r>
      <w:r>
        <w:rPr>
          <w:rFonts w:ascii="Arial" w:eastAsia="Arial" w:hAnsi="Arial" w:cs="Arial"/>
          <w:b/>
          <w:color w:val="000000"/>
          <w:sz w:val="28"/>
        </w:rPr>
        <w:t>4:14Counterfeiting--False Making or Alteration</w:t>
      </w:r>
    </w:p>
    <w:p w:rsidR="004729FB" w:rsidRDefault="004729FB" w:rsidP="004729FB">
      <w:pPr>
        <w:spacing w:line="60" w:lineRule="exact"/>
      </w:pPr>
      <w:r>
        <w:pict>
          <v:line id="_x0000_s1182" style="position:absolute;z-index:25180160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Counterfeiting is the [making of a false writing] [materially altering of a genuine document], which has apparent legal significance, done with the intent to cheat or defraud. In order to convict the defendant of forgery,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 false writing] [materially altered a genuine document]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[writing] [document] appeared to be a valid legal [writing] [document]</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[made the false writing] [materially altered the genuine document] with the intent to cheat or defraud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[To "materially alter" is to change in an important or substantial way.]</w:t>
      </w:r>
    </w:p>
    <w:p w:rsidR="004729FB" w:rsidRDefault="004729FB" w:rsidP="004729FB">
      <w:pPr>
        <w:spacing w:before="200" w:line="260" w:lineRule="atLeast"/>
        <w:jc w:val="both"/>
      </w:pPr>
      <w:r>
        <w:rPr>
          <w:rFonts w:ascii="Arial" w:eastAsia="Arial" w:hAnsi="Arial" w:cs="Arial"/>
          <w:b/>
          <w:color w:val="000000"/>
          <w:sz w:val="20"/>
        </w:rPr>
        <w:t>Although the State must prove the intent to cheat or defraud, the State does not have to prove that the defendant intended to cheat or defraud any particular person or that anyone actually suffered an economic loss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MPJI-Cr 4:14 combines the previous instructions on forgery and uttering, MPJI-Cr 4:14 (Forgery and Uttering--Forgery (False Making)), and MPJI-Cr 414.1 (Forgery and Uttering--Forgery (Alteration)), using the new statutory language "counterfeiting." CRIMINAL LAW I § 1-101(c) defines "[c]ounterfeit" as meaning "to forge, counterfeit, materially alter, or falsely make." The Criminal Law Article Review Committee adopted the word "counterfeit" to avoid repetition of the terms "forge," "materially alter," and "falsely make" and their grammatical variations. </w:t>
            </w:r>
            <w:r>
              <w:rPr>
                <w:rFonts w:ascii="Arial" w:eastAsia="Arial" w:hAnsi="Arial" w:cs="Arial"/>
                <w:i/>
                <w:color w:val="000000"/>
                <w:sz w:val="20"/>
              </w:rPr>
              <w:t>Id.</w:t>
            </w:r>
            <w:r>
              <w:rPr>
                <w:rFonts w:ascii="Arial" w:eastAsia="Arial" w:hAnsi="Arial" w:cs="Arial"/>
                <w:color w:val="000000"/>
                <w:sz w:val="20"/>
              </w:rPr>
              <w:t xml:space="preserve"> Revisor's Note (2002 Md. Laws Ch. 26 (H.B. 11)). The Review Committee said that the term "counterfeit" includes both altering a genuine document or object to make it false, and creating a new false document or object. </w:t>
            </w:r>
            <w:r>
              <w:rPr>
                <w:rFonts w:ascii="Arial" w:eastAsia="Arial" w:hAnsi="Arial" w:cs="Arial"/>
                <w:i/>
                <w:color w:val="000000"/>
                <w:sz w:val="20"/>
              </w:rPr>
              <w:t>Id.</w:t>
            </w:r>
            <w:r>
              <w:rPr>
                <w:rFonts w:ascii="Arial" w:eastAsia="Arial" w:hAnsi="Arial" w:cs="Arial"/>
                <w:color w:val="000000"/>
                <w:sz w:val="20"/>
              </w:rPr>
              <w:t xml:space="preserve"> The Committee chose "counterfeit" rather than "forge" as the all encompassing term because the former term was the more inclusive term at common law. </w:t>
            </w:r>
            <w:r>
              <w:rPr>
                <w:rFonts w:ascii="Arial" w:eastAsia="Arial" w:hAnsi="Arial" w:cs="Arial"/>
                <w:i/>
                <w:color w:val="000000"/>
                <w:sz w:val="20"/>
              </w:rPr>
              <w:t>Id.</w:t>
            </w:r>
          </w:p>
          <w:p w:rsidR="004729FB" w:rsidRDefault="004729FB" w:rsidP="00713DA5">
            <w:pPr>
              <w:spacing w:before="200" w:line="260" w:lineRule="atLeast"/>
              <w:ind w:left="60" w:right="360"/>
              <w:jc w:val="both"/>
            </w:pPr>
            <w:r>
              <w:rPr>
                <w:rFonts w:ascii="Arial" w:eastAsia="Arial" w:hAnsi="Arial" w:cs="Arial"/>
                <w:color w:val="000000"/>
                <w:sz w:val="20"/>
              </w:rPr>
              <w:t xml:space="preserve">Forgery is "the false making or material alteration, with intent to defraud, of any writing which, if genuine, might apparently be of legal efficacy or the foundation of a legal liability." </w:t>
            </w:r>
            <w:hyperlink r:id="rId732" w:history="1">
              <w:r>
                <w:rPr>
                  <w:rFonts w:ascii="Arial" w:eastAsia="Arial" w:hAnsi="Arial" w:cs="Arial"/>
                  <w:i/>
                  <w:color w:val="0077CC"/>
                  <w:sz w:val="20"/>
                  <w:u w:val="single"/>
                </w:rPr>
                <w:t>Reddick v. State, 219 Md. 95, 98, 148 A.2d 384, 386</w:t>
              </w:r>
            </w:hyperlink>
            <w:r>
              <w:rPr>
                <w:rFonts w:ascii="Arial" w:eastAsia="Arial" w:hAnsi="Arial" w:cs="Arial"/>
                <w:color w:val="000000"/>
                <w:sz w:val="20"/>
              </w:rPr>
              <w:t xml:space="preserve"> (quoting 2 FRANCIS WHARTON, CRIMINAL LAW &amp; PROCEDURE § 621 (Ronald Aberdeen Anderson ed., 1957)),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360 U.S. 930 (1959).</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12.31-12.35, at </w:t>
            </w:r>
            <w:r>
              <w:rPr>
                <w:rFonts w:ascii="Arial" w:eastAsia="Arial" w:hAnsi="Arial" w:cs="Arial"/>
                <w:color w:val="000000"/>
                <w:sz w:val="20"/>
              </w:rPr>
              <w:lastRenderedPageBreak/>
              <w:t>951-65 (7th ed. 1967); RICHARD P. GILBERT &amp; CHARLES E. MOYLAN, JR., MARYLAND CRIMINAL LAW: PRACTICE &amp; PROCEDURE §§ 17.0-17.2, at 183-86 (1983 &amp; Supp. 1990); WAYNE R. LAFAVE, CRIMINAL LAW § 19.7(j)(5), at 1023-24 (5th ed. 2010); ROLLIN M. PERKINS &amp; RONALD N. BOYCE, CRIMINAL LAW 413-29 (3d ed. 1982).</w:t>
            </w:r>
          </w:p>
          <w:p w:rsidR="004729FB" w:rsidRDefault="004729FB" w:rsidP="00713DA5">
            <w:pPr>
              <w:spacing w:before="240" w:line="260" w:lineRule="atLeast"/>
              <w:ind w:left="60" w:right="360"/>
              <w:jc w:val="both"/>
            </w:pPr>
            <w:r>
              <w:rPr>
                <w:rFonts w:ascii="Arial" w:eastAsia="Arial" w:hAnsi="Arial" w:cs="Arial"/>
                <w:color w:val="000000"/>
                <w:sz w:val="20"/>
              </w:rPr>
              <w:t xml:space="preserve">Forgery in Maryland is both a common law and statutory crime. </w:t>
            </w:r>
            <w:hyperlink r:id="rId733" w:history="1">
              <w:r>
                <w:rPr>
                  <w:rFonts w:ascii="Arial" w:eastAsia="Arial" w:hAnsi="Arial" w:cs="Arial"/>
                  <w:i/>
                  <w:color w:val="0077CC"/>
                  <w:sz w:val="20"/>
                  <w:u w:val="single"/>
                </w:rPr>
                <w:t>State v. Reese, 283 Md. 86, 91, 388 A.2d 122, 126 (1978).</w:t>
              </w:r>
            </w:hyperlink>
            <w:r>
              <w:rPr>
                <w:rFonts w:ascii="Arial" w:eastAsia="Arial" w:hAnsi="Arial" w:cs="Arial"/>
                <w:color w:val="000000"/>
                <w:sz w:val="20"/>
              </w:rPr>
              <w:t xml:space="preserve"> Under CRIM. LAW II § 8-601, the following writings are the subject of forgery:</w:t>
            </w:r>
          </w:p>
          <w:p w:rsidR="004729FB" w:rsidRDefault="004729FB" w:rsidP="00713DA5">
            <w:pPr>
              <w:spacing w:before="60" w:line="260" w:lineRule="atLeast"/>
              <w:ind w:left="460" w:right="360"/>
              <w:jc w:val="both"/>
            </w:pPr>
            <w:r>
              <w:rPr>
                <w:rFonts w:ascii="Arial" w:eastAsia="Arial" w:hAnsi="Arial" w:cs="Arial"/>
                <w:color w:val="000000"/>
                <w:sz w:val="20"/>
              </w:rPr>
              <w:t>(1) bond;</w:t>
            </w:r>
          </w:p>
          <w:p w:rsidR="004729FB" w:rsidRDefault="004729FB" w:rsidP="00713DA5">
            <w:pPr>
              <w:spacing w:before="60" w:line="260" w:lineRule="atLeast"/>
              <w:ind w:left="460" w:right="360"/>
              <w:jc w:val="both"/>
            </w:pPr>
            <w:r>
              <w:rPr>
                <w:rFonts w:ascii="Arial" w:eastAsia="Arial" w:hAnsi="Arial" w:cs="Arial"/>
                <w:color w:val="000000"/>
                <w:sz w:val="20"/>
              </w:rPr>
              <w:t>(2) check;</w:t>
            </w:r>
          </w:p>
          <w:p w:rsidR="004729FB" w:rsidRDefault="004729FB" w:rsidP="00713DA5">
            <w:pPr>
              <w:spacing w:before="60" w:line="260" w:lineRule="atLeast"/>
              <w:ind w:left="460" w:right="360"/>
              <w:jc w:val="both"/>
            </w:pPr>
            <w:r>
              <w:rPr>
                <w:rFonts w:ascii="Arial" w:eastAsia="Arial" w:hAnsi="Arial" w:cs="Arial"/>
                <w:color w:val="000000"/>
                <w:sz w:val="20"/>
              </w:rPr>
              <w:t>(3) deed;</w:t>
            </w:r>
          </w:p>
          <w:p w:rsidR="004729FB" w:rsidRDefault="004729FB" w:rsidP="00713DA5">
            <w:pPr>
              <w:spacing w:before="60" w:line="260" w:lineRule="atLeast"/>
              <w:ind w:left="460" w:right="360"/>
              <w:jc w:val="both"/>
            </w:pPr>
            <w:r>
              <w:rPr>
                <w:rFonts w:ascii="Arial" w:eastAsia="Arial" w:hAnsi="Arial" w:cs="Arial"/>
                <w:color w:val="000000"/>
                <w:sz w:val="20"/>
              </w:rPr>
              <w:t>(4) draft;</w:t>
            </w:r>
          </w:p>
          <w:p w:rsidR="004729FB" w:rsidRDefault="004729FB" w:rsidP="00713DA5">
            <w:pPr>
              <w:spacing w:before="60" w:line="260" w:lineRule="atLeast"/>
              <w:ind w:left="460" w:right="360"/>
              <w:jc w:val="both"/>
            </w:pPr>
            <w:r>
              <w:rPr>
                <w:rFonts w:ascii="Arial" w:eastAsia="Arial" w:hAnsi="Arial" w:cs="Arial"/>
                <w:color w:val="000000"/>
                <w:sz w:val="20"/>
              </w:rPr>
              <w:t>(5) endorsement or assignment of a bond, draft, check, or promissory note;</w:t>
            </w:r>
          </w:p>
          <w:p w:rsidR="004729FB" w:rsidRDefault="004729FB" w:rsidP="00713DA5">
            <w:pPr>
              <w:spacing w:before="60" w:line="260" w:lineRule="atLeast"/>
              <w:ind w:left="460" w:right="360"/>
              <w:jc w:val="both"/>
            </w:pPr>
            <w:r>
              <w:rPr>
                <w:rFonts w:ascii="Arial" w:eastAsia="Arial" w:hAnsi="Arial" w:cs="Arial"/>
                <w:color w:val="000000"/>
                <w:sz w:val="20"/>
              </w:rPr>
              <w:t>(6) entry in an account book or ledger;</w:t>
            </w:r>
          </w:p>
          <w:p w:rsidR="004729FB" w:rsidRDefault="004729FB" w:rsidP="00713DA5">
            <w:pPr>
              <w:spacing w:before="60" w:line="260" w:lineRule="atLeast"/>
              <w:ind w:left="460" w:right="360"/>
              <w:jc w:val="both"/>
            </w:pPr>
            <w:r>
              <w:rPr>
                <w:rFonts w:ascii="Arial" w:eastAsia="Arial" w:hAnsi="Arial" w:cs="Arial"/>
                <w:color w:val="000000"/>
                <w:sz w:val="20"/>
              </w:rPr>
              <w:t>(7) letter of credit;</w:t>
            </w:r>
          </w:p>
          <w:p w:rsidR="004729FB" w:rsidRDefault="004729FB" w:rsidP="00713DA5">
            <w:pPr>
              <w:spacing w:before="60" w:line="260" w:lineRule="atLeast"/>
              <w:ind w:left="460" w:right="360"/>
              <w:jc w:val="both"/>
            </w:pPr>
            <w:r>
              <w:rPr>
                <w:rFonts w:ascii="Arial" w:eastAsia="Arial" w:hAnsi="Arial" w:cs="Arial"/>
                <w:color w:val="000000"/>
                <w:sz w:val="20"/>
              </w:rPr>
              <w:t>(8) negotiable instrument;</w:t>
            </w:r>
          </w:p>
          <w:p w:rsidR="004729FB" w:rsidRDefault="004729FB" w:rsidP="00713DA5">
            <w:pPr>
              <w:spacing w:before="60" w:line="260" w:lineRule="atLeast"/>
              <w:ind w:left="460" w:right="360"/>
              <w:jc w:val="both"/>
            </w:pPr>
            <w:r>
              <w:rPr>
                <w:rFonts w:ascii="Arial" w:eastAsia="Arial" w:hAnsi="Arial" w:cs="Arial"/>
                <w:color w:val="000000"/>
                <w:sz w:val="20"/>
              </w:rPr>
              <w:t>(9) power of attorney;</w:t>
            </w:r>
          </w:p>
          <w:p w:rsidR="004729FB" w:rsidRDefault="004729FB" w:rsidP="00713DA5">
            <w:pPr>
              <w:spacing w:before="60" w:line="260" w:lineRule="atLeast"/>
              <w:ind w:left="460" w:right="360"/>
              <w:jc w:val="both"/>
            </w:pPr>
            <w:r>
              <w:rPr>
                <w:rFonts w:ascii="Arial" w:eastAsia="Arial" w:hAnsi="Arial" w:cs="Arial"/>
                <w:color w:val="000000"/>
                <w:sz w:val="20"/>
              </w:rPr>
              <w:t>(10) promissory note;</w:t>
            </w:r>
          </w:p>
          <w:p w:rsidR="004729FB" w:rsidRDefault="004729FB" w:rsidP="00713DA5">
            <w:pPr>
              <w:spacing w:before="60" w:line="260" w:lineRule="atLeast"/>
              <w:ind w:left="460" w:right="360"/>
              <w:jc w:val="both"/>
            </w:pPr>
            <w:r>
              <w:rPr>
                <w:rFonts w:ascii="Arial" w:eastAsia="Arial" w:hAnsi="Arial" w:cs="Arial"/>
                <w:color w:val="000000"/>
                <w:sz w:val="20"/>
              </w:rPr>
              <w:t>(11) release or discharge for money or property;</w:t>
            </w:r>
          </w:p>
          <w:p w:rsidR="004729FB" w:rsidRDefault="004729FB" w:rsidP="00713DA5">
            <w:pPr>
              <w:spacing w:before="60" w:line="260" w:lineRule="atLeast"/>
              <w:ind w:left="460" w:right="360"/>
              <w:jc w:val="both"/>
            </w:pPr>
            <w:r>
              <w:rPr>
                <w:rFonts w:ascii="Arial" w:eastAsia="Arial" w:hAnsi="Arial" w:cs="Arial"/>
                <w:color w:val="000000"/>
                <w:sz w:val="20"/>
              </w:rPr>
              <w:t>(12) title to a motor vehicle;</w:t>
            </w:r>
          </w:p>
          <w:p w:rsidR="004729FB" w:rsidRDefault="004729FB" w:rsidP="00713DA5">
            <w:pPr>
              <w:spacing w:before="60" w:line="260" w:lineRule="atLeast"/>
              <w:ind w:left="460" w:right="360"/>
              <w:jc w:val="both"/>
            </w:pPr>
            <w:r>
              <w:rPr>
                <w:rFonts w:ascii="Arial" w:eastAsia="Arial" w:hAnsi="Arial" w:cs="Arial"/>
                <w:color w:val="000000"/>
                <w:sz w:val="20"/>
              </w:rPr>
              <w:t>(13) waiver or release of mechanics' lien; or</w:t>
            </w:r>
          </w:p>
          <w:p w:rsidR="004729FB" w:rsidRDefault="004729FB" w:rsidP="00713DA5">
            <w:pPr>
              <w:spacing w:before="60" w:line="260" w:lineRule="atLeast"/>
              <w:ind w:left="460" w:right="360"/>
              <w:jc w:val="both"/>
            </w:pPr>
            <w:r>
              <w:rPr>
                <w:rFonts w:ascii="Arial" w:eastAsia="Arial" w:hAnsi="Arial" w:cs="Arial"/>
                <w:color w:val="000000"/>
                <w:sz w:val="20"/>
              </w:rPr>
              <w:t>(14) will or codicil.</w:t>
            </w:r>
          </w:p>
          <w:p w:rsidR="004729FB" w:rsidRDefault="004729FB" w:rsidP="00713DA5">
            <w:pPr>
              <w:spacing w:before="240" w:line="260" w:lineRule="atLeast"/>
              <w:ind w:left="60" w:right="360"/>
              <w:jc w:val="both"/>
            </w:pPr>
            <w:r>
              <w:rPr>
                <w:rFonts w:ascii="Arial" w:eastAsia="Arial" w:hAnsi="Arial" w:cs="Arial"/>
                <w:color w:val="000000"/>
                <w:sz w:val="20"/>
              </w:rPr>
              <w:t xml:space="preserve">Statutory forgery neither preempts the field nor repeals the common law. Thus, any writing that could have been the subject of forgery at common law is still the subject of forgery, even though not listed in the statute. </w:t>
            </w:r>
            <w:hyperlink r:id="rId734" w:history="1">
              <w:r>
                <w:rPr>
                  <w:rFonts w:ascii="Arial" w:eastAsia="Arial" w:hAnsi="Arial" w:cs="Arial"/>
                  <w:i/>
                  <w:color w:val="0077CC"/>
                  <w:sz w:val="20"/>
                  <w:u w:val="single"/>
                </w:rPr>
                <w:t>Reese, 283 Md. at 93, 388 A.2d at 127</w:t>
              </w:r>
            </w:hyperlink>
            <w:r>
              <w:rPr>
                <w:rFonts w:ascii="Arial" w:eastAsia="Arial" w:hAnsi="Arial" w:cs="Arial"/>
                <w:color w:val="000000"/>
                <w:sz w:val="20"/>
              </w:rPr>
              <w:t xml:space="preserve"> (tax rolls); </w:t>
            </w:r>
            <w:hyperlink r:id="rId735" w:history="1">
              <w:r>
                <w:rPr>
                  <w:rFonts w:ascii="Arial" w:eastAsia="Arial" w:hAnsi="Arial" w:cs="Arial"/>
                  <w:i/>
                  <w:color w:val="0077CC"/>
                  <w:sz w:val="20"/>
                  <w:u w:val="single"/>
                </w:rPr>
                <w:t>McDuffy v. State, 6 Md. App. 537, 539-40, 252 A.2d 270, 271</w:t>
              </w:r>
            </w:hyperlink>
            <w:r>
              <w:rPr>
                <w:rFonts w:ascii="Arial" w:eastAsia="Arial" w:hAnsi="Arial" w:cs="Arial"/>
                <w:color w:val="000000"/>
                <w:sz w:val="20"/>
              </w:rPr>
              <w:t xml:space="preserve"> (credit card receipts),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255 Md. 742 (1969).</w:t>
            </w:r>
            <w:r>
              <w:rPr>
                <w:rFonts w:ascii="Arial" w:eastAsia="Arial" w:hAnsi="Arial" w:cs="Arial"/>
                <w:color w:val="000000"/>
                <w:sz w:val="20"/>
              </w:rPr>
              <w:t xml:space="preserve"> The term "writing" is used in the broad sense and is not limited to handwriting, but can include typewriting, printing, engraving, etc. </w:t>
            </w:r>
            <w:hyperlink r:id="rId736" w:history="1">
              <w:r>
                <w:rPr>
                  <w:rFonts w:ascii="Arial" w:eastAsia="Arial" w:hAnsi="Arial" w:cs="Arial"/>
                  <w:i/>
                  <w:color w:val="0077CC"/>
                  <w:sz w:val="20"/>
                  <w:u w:val="single"/>
                </w:rPr>
                <w:t>Nelson v. State, 224 Md. 374, 377-78 n.2, 167 A.2d 871, 873 n.2 (1961).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To be the subject of forgery, the writing must be one that, "if genuine, might apparently be of legal efficacy or the foundation of a legal liability." </w:t>
            </w:r>
            <w:hyperlink r:id="rId737" w:history="1">
              <w:r>
                <w:rPr>
                  <w:rFonts w:ascii="Arial" w:eastAsia="Arial" w:hAnsi="Arial" w:cs="Arial"/>
                  <w:i/>
                  <w:color w:val="0077CC"/>
                  <w:sz w:val="20"/>
                  <w:u w:val="single"/>
                </w:rPr>
                <w:t>Reese, 283 Md. at 93, 388 A.2d at 127</w:t>
              </w:r>
            </w:hyperlink>
            <w:r>
              <w:rPr>
                <w:rFonts w:ascii="Arial" w:eastAsia="Arial" w:hAnsi="Arial" w:cs="Arial"/>
                <w:color w:val="000000"/>
                <w:sz w:val="20"/>
              </w:rPr>
              <w:t xml:space="preserve"> (quoting </w:t>
            </w:r>
            <w:hyperlink r:id="rId738" w:history="1">
              <w:r>
                <w:rPr>
                  <w:rFonts w:ascii="Arial" w:eastAsia="Arial" w:hAnsi="Arial" w:cs="Arial"/>
                  <w:i/>
                  <w:color w:val="0077CC"/>
                  <w:sz w:val="20"/>
                  <w:u w:val="single"/>
                </w:rPr>
                <w:t>Reddick, 219 at 98, 148 A.2d at 386).</w:t>
              </w:r>
            </w:hyperlink>
            <w:r>
              <w:rPr>
                <w:rFonts w:ascii="Arial" w:eastAsia="Arial" w:hAnsi="Arial" w:cs="Arial"/>
                <w:color w:val="000000"/>
                <w:sz w:val="20"/>
              </w:rPr>
              <w:t xml:space="preserve"> Forgery of any material part of an instrument is forgery of the instrument. </w:t>
            </w:r>
            <w:hyperlink r:id="rId739" w:history="1">
              <w:r>
                <w:rPr>
                  <w:rFonts w:ascii="Arial" w:eastAsia="Arial" w:hAnsi="Arial" w:cs="Arial"/>
                  <w:i/>
                  <w:color w:val="0077CC"/>
                  <w:sz w:val="20"/>
                  <w:u w:val="single"/>
                </w:rPr>
                <w:t>Green v. State, 32 Md. App. 567, 570, 363 A.2d 530, 532 (1976).</w:t>
              </w:r>
            </w:hyperlink>
            <w:r>
              <w:rPr>
                <w:rFonts w:ascii="Arial" w:eastAsia="Arial" w:hAnsi="Arial" w:cs="Arial"/>
                <w:color w:val="000000"/>
                <w:sz w:val="20"/>
              </w:rPr>
              <w:t xml:space="preserve"> However, a person cannot be convicted of forgery if the document is invalid on its face and could not operate to the prejudice of another. </w:t>
            </w:r>
            <w:hyperlink r:id="rId740" w:history="1">
              <w:r>
                <w:rPr>
                  <w:rFonts w:ascii="Arial" w:eastAsia="Arial" w:hAnsi="Arial" w:cs="Arial"/>
                  <w:i/>
                  <w:color w:val="0077CC"/>
                  <w:sz w:val="20"/>
                  <w:u w:val="single"/>
                </w:rPr>
                <w:t>Smith v. State, 7 Md. App. 457, 462, 256 A.2d 357, 360 (1969)</w:t>
              </w:r>
            </w:hyperlink>
            <w:r>
              <w:rPr>
                <w:rFonts w:ascii="Arial" w:eastAsia="Arial" w:hAnsi="Arial" w:cs="Arial"/>
                <w:color w:val="000000"/>
                <w:sz w:val="20"/>
              </w:rPr>
              <w:t xml:space="preserve"> (check without payee's name, signature, date, or amount). Under statutory forgery, a false endorsement is separate from a false making, and thus a person cannot be convicted of forging a check when the proof shows that the defendant forged an endorsement. </w:t>
            </w:r>
            <w:hyperlink r:id="rId741" w:history="1">
              <w:r>
                <w:rPr>
                  <w:rFonts w:ascii="Arial" w:eastAsia="Arial" w:hAnsi="Arial" w:cs="Arial"/>
                  <w:i/>
                  <w:color w:val="0077CC"/>
                  <w:sz w:val="20"/>
                  <w:u w:val="single"/>
                </w:rPr>
                <w:t>Harris v. State, 67 Md. App. 92, 93, 506 A.2d 655, 656 (1986).</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Statutory forgery includes the acts of falsely making, forging, and counterfeiting. These terms are "synonymous, [and describe] a spurious or fictitious making relating to the genuineness of execution of an instrument." </w:t>
            </w:r>
            <w:hyperlink r:id="rId742" w:history="1">
              <w:r>
                <w:rPr>
                  <w:rFonts w:ascii="Arial" w:eastAsia="Arial" w:hAnsi="Arial" w:cs="Arial"/>
                  <w:i/>
                  <w:color w:val="0077CC"/>
                  <w:sz w:val="20"/>
                  <w:u w:val="single"/>
                </w:rPr>
                <w:t>Smith, 7 Md. App. at 461, 256 A.2d at 360.</w:t>
              </w:r>
            </w:hyperlink>
            <w:r>
              <w:rPr>
                <w:rFonts w:ascii="Arial" w:eastAsia="Arial" w:hAnsi="Arial" w:cs="Arial"/>
                <w:color w:val="000000"/>
                <w:sz w:val="20"/>
              </w:rPr>
              <w:t xml:space="preserve"> The falsity required refers to the genuineness of the execution of the document, not merely to the fact that it contains a false statement. </w:t>
            </w:r>
            <w:hyperlink r:id="rId743" w:history="1">
              <w:r>
                <w:rPr>
                  <w:rFonts w:ascii="Arial" w:eastAsia="Arial" w:hAnsi="Arial" w:cs="Arial"/>
                  <w:i/>
                  <w:color w:val="0077CC"/>
                  <w:sz w:val="20"/>
                  <w:u w:val="single"/>
                </w:rPr>
                <w:t>Reese, 283 Md. at 93-94, 388 A.2d at 127.</w:t>
              </w:r>
            </w:hyperlink>
            <w:r>
              <w:rPr>
                <w:rFonts w:ascii="Arial" w:eastAsia="Arial" w:hAnsi="Arial" w:cs="Arial"/>
                <w:color w:val="000000"/>
                <w:sz w:val="20"/>
              </w:rPr>
              <w:t xml:space="preserve"> "For forgery it is not sufficient for the writing to tell a lie; the writing itself must be a lie." PERKINS &amp; BOYCE, </w:t>
            </w:r>
            <w:r>
              <w:rPr>
                <w:rFonts w:ascii="Arial" w:eastAsia="Arial" w:hAnsi="Arial" w:cs="Arial"/>
                <w:i/>
                <w:color w:val="000000"/>
                <w:sz w:val="20"/>
              </w:rPr>
              <w:t>supra</w:t>
            </w:r>
            <w:r>
              <w:rPr>
                <w:rFonts w:ascii="Arial" w:eastAsia="Arial" w:hAnsi="Arial" w:cs="Arial"/>
                <w:color w:val="000000"/>
                <w:sz w:val="20"/>
              </w:rPr>
              <w:t xml:space="preserve">, at 418. Thus, the mere fact that a check is bad does not mean that it is forged. </w:t>
            </w:r>
            <w:hyperlink r:id="rId744" w:history="1">
              <w:r>
                <w:rPr>
                  <w:rFonts w:ascii="Arial" w:eastAsia="Arial" w:hAnsi="Arial" w:cs="Arial"/>
                  <w:i/>
                  <w:color w:val="0077CC"/>
                  <w:sz w:val="20"/>
                  <w:u w:val="single"/>
                </w:rPr>
                <w:t>Johnson v. State, 7 Md. App. 114, 115, 253 A.2d 776, 777 (1969).</w:t>
              </w:r>
            </w:hyperlink>
            <w:r>
              <w:rPr>
                <w:rFonts w:ascii="Arial" w:eastAsia="Arial" w:hAnsi="Arial" w:cs="Arial"/>
                <w:color w:val="000000"/>
                <w:sz w:val="20"/>
              </w:rPr>
              <w:t xml:space="preserve"> Nor is ownership of a check relevant. </w:t>
            </w:r>
            <w:hyperlink r:id="rId745" w:history="1">
              <w:r>
                <w:rPr>
                  <w:rFonts w:ascii="Arial" w:eastAsia="Arial" w:hAnsi="Arial" w:cs="Arial"/>
                  <w:i/>
                  <w:color w:val="0077CC"/>
                  <w:sz w:val="20"/>
                  <w:u w:val="single"/>
                </w:rPr>
                <w:t>Charles v. State, 1 Md. App. 222, 226-27, 228 A.2d 620, 622 (1967).</w:t>
              </w:r>
            </w:hyperlink>
            <w:r>
              <w:rPr>
                <w:rFonts w:ascii="Arial" w:eastAsia="Arial" w:hAnsi="Arial" w:cs="Arial"/>
                <w:color w:val="000000"/>
                <w:sz w:val="20"/>
              </w:rPr>
              <w:t xml:space="preserve"> If a person puts his or her own name on an instrument, representing himself to be a different person with that name, it is forgery. </w:t>
            </w:r>
            <w:hyperlink r:id="rId746" w:history="1">
              <w:r>
                <w:rPr>
                  <w:rFonts w:ascii="Arial" w:eastAsia="Arial" w:hAnsi="Arial" w:cs="Arial"/>
                  <w:i/>
                  <w:color w:val="0077CC"/>
                  <w:sz w:val="20"/>
                  <w:u w:val="single"/>
                </w:rPr>
                <w:t>Nelson, 224 Md. at 378, 167 A.2d at 873.</w:t>
              </w:r>
            </w:hyperlink>
            <w:r>
              <w:rPr>
                <w:rFonts w:ascii="Arial" w:eastAsia="Arial" w:hAnsi="Arial" w:cs="Arial"/>
                <w:color w:val="000000"/>
                <w:sz w:val="20"/>
              </w:rPr>
              <w:t xml:space="preserve"> Signing fictitious names instead of real names is no bar to a forgery conviction. </w:t>
            </w:r>
            <w:hyperlink r:id="rId747" w:history="1">
              <w:r>
                <w:rPr>
                  <w:rFonts w:ascii="Arial" w:eastAsia="Arial" w:hAnsi="Arial" w:cs="Arial"/>
                  <w:i/>
                  <w:color w:val="0077CC"/>
                  <w:sz w:val="20"/>
                  <w:u w:val="single"/>
                </w:rPr>
                <w:t>El-Masri v. State, 228 Md. 114, 178 A.2d 407 (1962)</w:t>
              </w:r>
            </w:hyperlink>
            <w:r>
              <w:rPr>
                <w:rFonts w:ascii="Arial" w:eastAsia="Arial" w:hAnsi="Arial" w:cs="Arial"/>
                <w:color w:val="000000"/>
                <w:sz w:val="20"/>
              </w:rPr>
              <w:t xml:space="preserve"> (per curiam).</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Forgery requires making the instrument with a specific intent to defraud another. </w:t>
            </w:r>
            <w:hyperlink r:id="rId748" w:history="1">
              <w:r>
                <w:rPr>
                  <w:rFonts w:ascii="Arial" w:eastAsia="Arial" w:hAnsi="Arial" w:cs="Arial"/>
                  <w:i/>
                  <w:color w:val="0077CC"/>
                  <w:sz w:val="20"/>
                  <w:u w:val="single"/>
                </w:rPr>
                <w:t>Nelson, 224 Md. at 378-79, 167 A.2d at 873-74;</w:t>
              </w:r>
            </w:hyperlink>
            <w:r>
              <w:rPr>
                <w:rFonts w:ascii="Arial" w:eastAsia="Arial" w:hAnsi="Arial" w:cs="Arial"/>
                <w:color w:val="000000"/>
                <w:sz w:val="20"/>
              </w:rPr>
              <w:t xml:space="preserve"> </w:t>
            </w:r>
            <w:hyperlink r:id="rId749" w:history="1">
              <w:r>
                <w:rPr>
                  <w:rFonts w:ascii="Arial" w:eastAsia="Arial" w:hAnsi="Arial" w:cs="Arial"/>
                  <w:i/>
                  <w:color w:val="0077CC"/>
                  <w:sz w:val="20"/>
                  <w:u w:val="single"/>
                </w:rPr>
                <w:t>Bieber v. State, 8 Md. App. 522, 528, 261 A.2d 202, 205,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258 Md. 725 (1970).</w:t>
            </w:r>
            <w:r>
              <w:rPr>
                <w:rFonts w:ascii="Arial" w:eastAsia="Arial" w:hAnsi="Arial" w:cs="Arial"/>
                <w:color w:val="000000"/>
                <w:sz w:val="20"/>
              </w:rPr>
              <w:t xml:space="preserve"> The Committee used the term "intent to cheat or defraud" as most effectively explaining the mental state to the jury. </w:t>
            </w:r>
            <w:r>
              <w:rPr>
                <w:rFonts w:ascii="Arial" w:eastAsia="Arial" w:hAnsi="Arial" w:cs="Arial"/>
                <w:i/>
                <w:color w:val="000000"/>
                <w:sz w:val="20"/>
              </w:rPr>
              <w:t xml:space="preserve">See </w:t>
            </w:r>
            <w:hyperlink r:id="rId750" w:history="1">
              <w:r>
                <w:rPr>
                  <w:rFonts w:ascii="Arial" w:eastAsia="Arial" w:hAnsi="Arial" w:cs="Arial"/>
                  <w:i/>
                  <w:color w:val="0077CC"/>
                  <w:sz w:val="20"/>
                  <w:u w:val="single"/>
                </w:rPr>
                <w:t>State v. Cronin, 255 S.E.2d 240 (N.C. Ct. App. 1979),</w:t>
              </w:r>
            </w:hyperlink>
            <w:r>
              <w:rPr>
                <w:rFonts w:ascii="Arial" w:eastAsia="Arial" w:hAnsi="Arial" w:cs="Arial"/>
                <w:color w:val="000000"/>
                <w:sz w:val="20"/>
              </w:rPr>
              <w:t xml:space="preserve"> </w:t>
            </w:r>
            <w:r>
              <w:rPr>
                <w:rFonts w:ascii="Arial" w:eastAsia="Arial" w:hAnsi="Arial" w:cs="Arial"/>
                <w:i/>
                <w:color w:val="000000"/>
                <w:sz w:val="20"/>
              </w:rPr>
              <w:t>rev'd on other grounds</w:t>
            </w:r>
            <w:r>
              <w:rPr>
                <w:rFonts w:ascii="Arial" w:eastAsia="Arial" w:hAnsi="Arial" w:cs="Arial"/>
                <w:color w:val="000000"/>
                <w:sz w:val="20"/>
              </w:rPr>
              <w:t xml:space="preserve">, </w:t>
            </w:r>
            <w:hyperlink r:id="rId751" w:history="1">
              <w:r>
                <w:rPr>
                  <w:rFonts w:ascii="Arial" w:eastAsia="Arial" w:hAnsi="Arial" w:cs="Arial"/>
                  <w:i/>
                  <w:color w:val="0077CC"/>
                  <w:sz w:val="20"/>
                  <w:u w:val="single"/>
                </w:rPr>
                <w:t>262 S.E.2d 277 (N.C. 1980).</w:t>
              </w:r>
            </w:hyperlink>
            <w:r>
              <w:rPr>
                <w:rFonts w:ascii="Arial" w:eastAsia="Arial" w:hAnsi="Arial" w:cs="Arial"/>
                <w:color w:val="000000"/>
                <w:sz w:val="20"/>
              </w:rPr>
              <w:t xml:space="preserve"> Intent to defraud may relate to persons named in the indictment or to the public generally. Thus, it is not necessary to prove that it was the intent of the defendant to defraud any particular person. </w:t>
            </w:r>
            <w:hyperlink r:id="rId752" w:history="1">
              <w:r>
                <w:rPr>
                  <w:rFonts w:ascii="Arial" w:eastAsia="Arial" w:hAnsi="Arial" w:cs="Arial"/>
                  <w:i/>
                  <w:color w:val="0077CC"/>
                  <w:sz w:val="20"/>
                  <w:u w:val="single"/>
                </w:rPr>
                <w:t>Reddick, 219 Md. at 99, 148 A.2d at 386.</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the absence of a satisfactory explanation, the forgery can be inferred from the possession and uttering of a forged instrument. </w:t>
            </w:r>
            <w:hyperlink r:id="rId753" w:history="1">
              <w:r>
                <w:rPr>
                  <w:rFonts w:ascii="Arial" w:eastAsia="Arial" w:hAnsi="Arial" w:cs="Arial"/>
                  <w:i/>
                  <w:color w:val="0077CC"/>
                  <w:sz w:val="20"/>
                  <w:u w:val="single"/>
                </w:rPr>
                <w:t>Bieber, 8 Md. App. at 529-30, 261 A.2d at 207;</w:t>
              </w:r>
            </w:hyperlink>
            <w:r>
              <w:rPr>
                <w:rFonts w:ascii="Arial" w:eastAsia="Arial" w:hAnsi="Arial" w:cs="Arial"/>
                <w:color w:val="000000"/>
                <w:sz w:val="20"/>
              </w:rPr>
              <w:t xml:space="preserve"> </w:t>
            </w:r>
            <w:hyperlink r:id="rId754" w:history="1">
              <w:r>
                <w:rPr>
                  <w:rFonts w:ascii="Arial" w:eastAsia="Arial" w:hAnsi="Arial" w:cs="Arial"/>
                  <w:i/>
                  <w:color w:val="0077CC"/>
                  <w:sz w:val="20"/>
                  <w:u w:val="single"/>
                </w:rPr>
                <w:t>Turner v. State, 6 Md. App. 337, 251 A.2d 383 (1969).</w:t>
              </w:r>
            </w:hyperlink>
            <w:r>
              <w:rPr>
                <w:rFonts w:ascii="Arial" w:eastAsia="Arial" w:hAnsi="Arial" w:cs="Arial"/>
                <w:color w:val="000000"/>
                <w:sz w:val="20"/>
              </w:rPr>
              <w:t xml:space="preserve"> Possession of a recently forged instrument, coupled with possession of goods recently stolen by one claiming possession under the instrument, is also sufficient. </w:t>
            </w:r>
            <w:hyperlink r:id="rId755" w:history="1">
              <w:r>
                <w:rPr>
                  <w:rFonts w:ascii="Arial" w:eastAsia="Arial" w:hAnsi="Arial" w:cs="Arial"/>
                  <w:i/>
                  <w:color w:val="0077CC"/>
                  <w:sz w:val="20"/>
                  <w:u w:val="single"/>
                </w:rPr>
                <w:t>Wesbecker v. State, 240 Md. 41, 45-46, 212 A.2d 737, 740 (1965).</w:t>
              </w:r>
            </w:hyperlink>
            <w:r>
              <w:rPr>
                <w:rFonts w:ascii="Arial" w:eastAsia="Arial" w:hAnsi="Arial" w:cs="Arial"/>
                <w:color w:val="000000"/>
                <w:sz w:val="20"/>
              </w:rPr>
              <w:t xml:space="preserve"> Similarly, possession of a recently forged instrument, in the absence of a credible, exculpatory explanation of how the possessor came into possession of the instrument, gives rise to a reasonable inference that the possessor is the forger. GILBERT &amp; MOYLAN, </w:t>
            </w:r>
            <w:r>
              <w:rPr>
                <w:rFonts w:ascii="Arial" w:eastAsia="Arial" w:hAnsi="Arial" w:cs="Arial"/>
                <w:i/>
                <w:color w:val="000000"/>
                <w:sz w:val="20"/>
              </w:rPr>
              <w:t>supra</w:t>
            </w:r>
            <w:r>
              <w:rPr>
                <w:rFonts w:ascii="Arial" w:eastAsia="Arial" w:hAnsi="Arial" w:cs="Arial"/>
                <w:color w:val="000000"/>
                <w:sz w:val="20"/>
              </w:rPr>
              <w:t xml:space="preserve">, § 17.2, at 186. There is no forgery if the defendant acted with authority from the person whose name appears on the instrument or with a good faith reasonable belief that such authority existed. </w:t>
            </w:r>
            <w:hyperlink r:id="rId756" w:history="1">
              <w:r>
                <w:rPr>
                  <w:rFonts w:ascii="Arial" w:eastAsia="Arial" w:hAnsi="Arial" w:cs="Arial"/>
                  <w:i/>
                  <w:color w:val="0077CC"/>
                  <w:sz w:val="20"/>
                  <w:u w:val="single"/>
                </w:rPr>
                <w:t>Marino v. State, 171 Md. 104, 187 A. 858 (1936).</w:t>
              </w:r>
            </w:hyperlink>
          </w:p>
          <w:p w:rsidR="004729FB" w:rsidRDefault="004729FB" w:rsidP="00713DA5">
            <w:pPr>
              <w:spacing w:before="200" w:line="260" w:lineRule="atLeast"/>
              <w:ind w:left="60" w:right="360"/>
              <w:jc w:val="both"/>
            </w:pPr>
            <w:r>
              <w:rPr>
                <w:rFonts w:ascii="Arial" w:eastAsia="Arial" w:hAnsi="Arial" w:cs="Arial"/>
                <w:color w:val="000000"/>
                <w:sz w:val="20"/>
              </w:rPr>
              <w:t>Effective July 1, 1989, the legislature added the misdemeanor of knowingly possessing with unlawful intent to utter United States currency that is forged, counterfeited, or altered. CRIM. LAW II § 8-604.1.</w:t>
            </w:r>
          </w:p>
          <w:p w:rsidR="004729FB" w:rsidRDefault="004729FB" w:rsidP="00713DA5">
            <w:pPr>
              <w:spacing w:before="200" w:line="260" w:lineRule="atLeast"/>
              <w:ind w:left="60" w:right="360"/>
              <w:jc w:val="both"/>
            </w:pPr>
            <w:r>
              <w:rPr>
                <w:rFonts w:ascii="Arial" w:eastAsia="Arial" w:hAnsi="Arial" w:cs="Arial"/>
                <w:color w:val="000000"/>
                <w:sz w:val="20"/>
              </w:rPr>
              <w:t xml:space="preserve">Effective October 1, 2008, the legislature added the misdemeanor of forging, falsifying, or counterfeiting a signature of a judge, court officer, or court employee of the State or knowingly using a document with such a forged, falsified, or counterfeited signature. </w:t>
            </w:r>
            <w:r>
              <w:rPr>
                <w:rFonts w:ascii="Arial" w:eastAsia="Arial" w:hAnsi="Arial" w:cs="Arial"/>
                <w:i/>
                <w:color w:val="000000"/>
                <w:sz w:val="20"/>
              </w:rPr>
              <w:t>Id.</w:t>
            </w:r>
            <w:r>
              <w:rPr>
                <w:rFonts w:ascii="Arial" w:eastAsia="Arial" w:hAnsi="Arial" w:cs="Arial"/>
                <w:color w:val="000000"/>
                <w:sz w:val="20"/>
              </w:rPr>
              <w:t xml:space="preserve"> § 8-606.1.</w:t>
            </w:r>
          </w:p>
          <w:p w:rsidR="004729FB" w:rsidRDefault="004729FB" w:rsidP="00713DA5">
            <w:pPr>
              <w:spacing w:before="240" w:line="260" w:lineRule="atLeast"/>
              <w:ind w:left="60" w:right="360"/>
              <w:jc w:val="both"/>
            </w:pPr>
            <w:r>
              <w:rPr>
                <w:rFonts w:ascii="Arial" w:eastAsia="Arial" w:hAnsi="Arial" w:cs="Arial"/>
                <w:color w:val="000000"/>
                <w:sz w:val="20"/>
              </w:rPr>
              <w:t xml:space="preserve">A material alteration is sufficient for forgery. It may be in the form of an addition to the original writing, a substitution in the original writing, or the removal of part of the original writing. The removal may be by erasure or in some other manner, such as by cutting off a qualifying clause appearing after the signature. </w:t>
            </w:r>
            <w:hyperlink r:id="rId757" w:history="1">
              <w:r>
                <w:rPr>
                  <w:rFonts w:ascii="Arial" w:eastAsia="Arial" w:hAnsi="Arial" w:cs="Arial"/>
                  <w:i/>
                  <w:color w:val="0077CC"/>
                  <w:sz w:val="20"/>
                  <w:u w:val="single"/>
                </w:rPr>
                <w:t>Harding v. Ja Laur Corp., 20 Md. App. 209, 212, 315 A.2d 132, 134 (1974).</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2" style="position:absolute;left:0;text-align:left;z-index:25181184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1" name="Picture 5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64" w:history="1">
        <w:r>
          <w:rPr>
            <w:rFonts w:ascii="Arial" w:eastAsia="Arial" w:hAnsi="Arial" w:cs="Arial"/>
            <w:b/>
            <w:bCs/>
            <w:i/>
            <w:color w:val="0077CC"/>
            <w:kern w:val="32"/>
            <w:sz w:val="28"/>
            <w:szCs w:val="32"/>
            <w:u w:val="single"/>
          </w:rPr>
          <w:t>MPJI-Cr 4:14.1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COUNTERFEITING--ISSUING A COUNTERFEIT DOCUMENT</w:t>
      </w:r>
    </w:p>
    <w:p w:rsidR="004729FB" w:rsidRDefault="004729FB" w:rsidP="004729FB">
      <w:pPr>
        <w:keepNext/>
        <w:spacing w:before="240" w:line="340" w:lineRule="atLeast"/>
      </w:pPr>
      <w:r>
        <w:br/>
      </w:r>
      <w:r>
        <w:rPr>
          <w:rFonts w:ascii="Arial" w:eastAsia="Arial" w:hAnsi="Arial" w:cs="Arial"/>
          <w:b/>
          <w:color w:val="000000"/>
          <w:sz w:val="28"/>
        </w:rPr>
        <w:t>4:14.1Counterfeiting--Issuing a Counterfeit Document</w:t>
      </w:r>
    </w:p>
    <w:p w:rsidR="004729FB" w:rsidRDefault="004729FB" w:rsidP="004729FB">
      <w:pPr>
        <w:spacing w:line="60" w:lineRule="exact"/>
      </w:pPr>
      <w:r>
        <w:pict>
          <v:line id="_x0000_s1183" style="position:absolute;z-index:25180262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issuing a counterfeit document. Issuing is presenting or passing a counterfeit document as genuine, knowing that it is counterfeit and with the intent to cheat or defraud. A counterfeit document is one that appears to be a valid legal document, but was [falsely made] [materially altered] with the intent to cheat or defraud. In order to convict the defendant of issuing,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presented or passed, or attempted to present or to pass, a counterfeit document as genuine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knew that the document was counterfeit; and</w:t>
      </w:r>
    </w:p>
    <w:p w:rsidR="004729FB" w:rsidRDefault="004729FB" w:rsidP="004729FB">
      <w:pPr>
        <w:spacing w:before="200" w:line="260" w:lineRule="atLeast"/>
        <w:ind w:left="400"/>
        <w:jc w:val="both"/>
      </w:pPr>
      <w:r>
        <w:rPr>
          <w:rFonts w:ascii="Arial" w:eastAsia="Arial" w:hAnsi="Arial" w:cs="Arial"/>
          <w:b/>
          <w:color w:val="000000"/>
          <w:sz w:val="20"/>
        </w:rPr>
        <w:t>(3) that the defendant presented or passed, or attempted to present or to pass, the document with the intent to cheat or defraud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[To "materially alter" is to change in an important or substantial way.]</w:t>
      </w:r>
    </w:p>
    <w:p w:rsidR="004729FB" w:rsidRDefault="004729FB" w:rsidP="004729FB">
      <w:pPr>
        <w:spacing w:before="200" w:line="260" w:lineRule="atLeast"/>
        <w:jc w:val="both"/>
      </w:pPr>
      <w:r>
        <w:rPr>
          <w:rFonts w:ascii="Arial" w:eastAsia="Arial" w:hAnsi="Arial" w:cs="Arial"/>
          <w:b/>
          <w:color w:val="000000"/>
          <w:sz w:val="20"/>
        </w:rPr>
        <w:t>Although the State must prove the intent to cheat or defraud, the State does not have to prove that anyone actually suffered an economic loss as a result of the presentation of, or attempt to present, the counterfeit document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4:14 (Counterfeiting--False Making or Alteration).</w:t>
            </w:r>
          </w:p>
          <w:p w:rsidR="004729FB" w:rsidRDefault="004729FB" w:rsidP="00713DA5">
            <w:pPr>
              <w:spacing w:before="200" w:line="260" w:lineRule="atLeast"/>
              <w:ind w:left="60" w:right="360"/>
              <w:jc w:val="both"/>
            </w:pPr>
            <w:r>
              <w:rPr>
                <w:rFonts w:ascii="Arial" w:eastAsia="Arial" w:hAnsi="Arial" w:cs="Arial"/>
                <w:color w:val="000000"/>
                <w:sz w:val="20"/>
              </w:rPr>
              <w:t xml:space="preserve">It is a crime to issue a forged instrument with intent to defraud. The elements of issuing are as follows: (1) a forged instrument must be offered, published, or issued as true or genuine; (2) it must be known by the party offering, issuing, or publishing the instrument that it is counterfeited; and (3) it must be issued with the specific intent to defraud another person. </w:t>
            </w:r>
            <w:hyperlink r:id="rId765" w:history="1">
              <w:r>
                <w:rPr>
                  <w:rFonts w:ascii="Arial" w:eastAsia="Arial" w:hAnsi="Arial" w:cs="Arial"/>
                  <w:i/>
                  <w:color w:val="0077CC"/>
                  <w:sz w:val="20"/>
                  <w:u w:val="single"/>
                </w:rPr>
                <w:t>Pearson v. State, 8 Md. App. 79, 85-86, 258 A.2d 917, 919-20 (1969);</w:t>
              </w:r>
            </w:hyperlink>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RICHARD P. GILBERT &amp; CHARLES E. MOYLAN, JR., MARYLAND CRIMINAL LAW: PRACTICE &amp; PROCEDURE § 17.4, at 187-88 (1983 &amp; Supp. 1990).</w:t>
            </w:r>
          </w:p>
          <w:p w:rsidR="004729FB" w:rsidRDefault="004729FB" w:rsidP="00713DA5">
            <w:pPr>
              <w:spacing w:before="240" w:line="260" w:lineRule="atLeast"/>
              <w:ind w:left="60" w:right="360"/>
              <w:jc w:val="both"/>
            </w:pPr>
            <w:r>
              <w:rPr>
                <w:rFonts w:ascii="Arial" w:eastAsia="Arial" w:hAnsi="Arial" w:cs="Arial"/>
                <w:color w:val="000000"/>
                <w:sz w:val="20"/>
              </w:rPr>
              <w:t xml:space="preserve">Issuing and forgery are separate crimes. Although proof of issuing does not prove </w:t>
            </w:r>
            <w:r>
              <w:rPr>
                <w:rFonts w:ascii="Arial" w:eastAsia="Arial" w:hAnsi="Arial" w:cs="Arial"/>
                <w:i/>
                <w:color w:val="000000"/>
                <w:sz w:val="20"/>
              </w:rPr>
              <w:t>per se</w:t>
            </w:r>
            <w:r>
              <w:rPr>
                <w:rFonts w:ascii="Arial" w:eastAsia="Arial" w:hAnsi="Arial" w:cs="Arial"/>
                <w:color w:val="000000"/>
                <w:sz w:val="20"/>
              </w:rPr>
              <w:t xml:space="preserve"> that the issuer was also the forger, possession of a forged instrument by the issuer creates a permitted inference that the defendant was the forger as well. </w:t>
            </w:r>
            <w:hyperlink r:id="rId766" w:history="1">
              <w:r>
                <w:rPr>
                  <w:rFonts w:ascii="Arial" w:eastAsia="Arial" w:hAnsi="Arial" w:cs="Arial"/>
                  <w:i/>
                  <w:color w:val="0077CC"/>
                  <w:sz w:val="20"/>
                  <w:u w:val="single"/>
                </w:rPr>
                <w:t>Bieber v. State, 8 Md. App. 522, 530, 261 A.2d 202, 206,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 xml:space="preserve">258 </w:t>
            </w:r>
            <w:r>
              <w:rPr>
                <w:rFonts w:ascii="Arial" w:eastAsia="Arial" w:hAnsi="Arial" w:cs="Arial"/>
                <w:i/>
                <w:color w:val="000000"/>
                <w:sz w:val="20"/>
              </w:rPr>
              <w:lastRenderedPageBreak/>
              <w:t>Md. 725 (1970).</w:t>
            </w:r>
            <w:r>
              <w:rPr>
                <w:rFonts w:ascii="Arial" w:eastAsia="Arial" w:hAnsi="Arial" w:cs="Arial"/>
                <w:color w:val="000000"/>
                <w:sz w:val="20"/>
              </w:rPr>
              <w:t xml:space="preserve"> The mere offering of a known forged instrument with fraudulent intent constitutes an issuing, regardless of whether the transaction is consummated. </w:t>
            </w:r>
            <w:hyperlink r:id="rId767" w:history="1">
              <w:r>
                <w:rPr>
                  <w:rFonts w:ascii="Arial" w:eastAsia="Arial" w:hAnsi="Arial" w:cs="Arial"/>
                  <w:i/>
                  <w:color w:val="0077CC"/>
                  <w:sz w:val="20"/>
                  <w:u w:val="single"/>
                </w:rPr>
                <w:t>Beard v. State, 4 Md. App. 685, 689, 244 A.2d 906, 909 (1968).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Knowledge of the falsity of the document may be inferred from the surrounding circumstances. However, the mere act of possessing and offering a forged instrument, absent evidence that the defendant knows of the instrument's falsity, is insufficient. If the defendant does have knowledge that the instrument is a forgery at the time of the issuing, it may be inferred that he has the requisite intent to defraud. </w:t>
            </w:r>
            <w:hyperlink r:id="rId768" w:history="1">
              <w:r>
                <w:rPr>
                  <w:rFonts w:ascii="Arial" w:eastAsia="Arial" w:hAnsi="Arial" w:cs="Arial"/>
                  <w:i/>
                  <w:color w:val="0077CC"/>
                  <w:sz w:val="20"/>
                  <w:u w:val="single"/>
                </w:rPr>
                <w:t>Pearson, 8 Md. App. at 87-89, 258 A.2d at 921-23.</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3" style="position:absolute;left:0;text-align:left;z-index:25181286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0" name="Picture 5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75" w:history="1">
        <w:r>
          <w:rPr>
            <w:rFonts w:ascii="Arial" w:eastAsia="Arial" w:hAnsi="Arial" w:cs="Arial"/>
            <w:b/>
            <w:bCs/>
            <w:i/>
            <w:color w:val="0077CC"/>
            <w:kern w:val="32"/>
            <w:sz w:val="28"/>
            <w:szCs w:val="32"/>
            <w:u w:val="single"/>
          </w:rPr>
          <w:t>MPJI-Cr 4:14.2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COUNTERFEITING A CREDIT CARD (§ 8-205)</w:t>
      </w:r>
    </w:p>
    <w:p w:rsidR="004729FB" w:rsidRDefault="004729FB" w:rsidP="004729FB">
      <w:pPr>
        <w:keepNext/>
        <w:spacing w:before="240" w:line="340" w:lineRule="atLeast"/>
      </w:pPr>
      <w:r>
        <w:br/>
      </w:r>
      <w:r>
        <w:rPr>
          <w:rFonts w:ascii="Arial" w:eastAsia="Arial" w:hAnsi="Arial" w:cs="Arial"/>
          <w:b/>
          <w:color w:val="000000"/>
          <w:sz w:val="28"/>
        </w:rPr>
        <w:t>4:14.2Counterfeiting a Credit Card (§ 8-205)</w:t>
      </w:r>
    </w:p>
    <w:p w:rsidR="004729FB" w:rsidRDefault="004729FB" w:rsidP="004729FB">
      <w:pPr>
        <w:spacing w:line="60" w:lineRule="exact"/>
      </w:pPr>
      <w:r>
        <w:pict>
          <v:line id="_x0000_s1184" style="position:absolute;z-index:25180364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FALSELY MAKING A CREDIT CARD (§ 8-205(b)(1))</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a credit card. A credit card includes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The crime of counterfeiting a credit card includes falsely making a (</w:t>
      </w:r>
      <w:r>
        <w:rPr>
          <w:rFonts w:ascii="Arial" w:eastAsia="Arial" w:hAnsi="Arial" w:cs="Arial"/>
          <w:b/>
          <w:color w:val="000000"/>
          <w:sz w:val="20"/>
          <w:u w:val="single"/>
        </w:rPr>
        <w:t>insert the credit instrument or device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in whole or in part,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intended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appear to be genuine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did so with the intent to defraud another; and</w:t>
      </w:r>
    </w:p>
    <w:p w:rsidR="004729FB" w:rsidRDefault="004729FB" w:rsidP="004729FB">
      <w:pPr>
        <w:spacing w:before="200" w:line="260" w:lineRule="atLeast"/>
        <w:ind w:left="400"/>
        <w:jc w:val="both"/>
      </w:pPr>
      <w:r>
        <w:rPr>
          <w:rFonts w:ascii="Arial" w:eastAsia="Arial" w:hAnsi="Arial" w:cs="Arial"/>
          <w:b/>
          <w:color w:val="000000"/>
          <w:sz w:val="20"/>
        </w:rPr>
        <w:t>(4)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was not genuine because [(</w:t>
      </w:r>
      <w:r>
        <w:rPr>
          <w:rFonts w:ascii="Arial" w:eastAsia="Arial" w:hAnsi="Arial" w:cs="Arial"/>
          <w:b/>
          <w:color w:val="000000"/>
          <w:sz w:val="20"/>
          <w:u w:val="single"/>
        </w:rPr>
        <w:t>insert the issuer</w:t>
      </w:r>
      <w:r>
        <w:rPr>
          <w:rFonts w:ascii="Arial" w:eastAsia="Arial" w:hAnsi="Arial" w:cs="Arial"/>
          <w:b/>
          <w:color w:val="000000"/>
          <w:sz w:val="20"/>
        </w:rPr>
        <w:t>) did not authorize it] [no actual issuer authorized it]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"Intent to defraud" means to intend to deceive for the purpose of causing some financial or property loss to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FALSELY MAKING BY ALTERING A CREDIT CARD (§ 8-205(b)(1))</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a credit card. The crime of counterfeiting a credit card includes falsely making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by altering it.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altered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was validly issued;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with the intent to defraud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"Intent to defraud" means to intend to deceive for the purpose of causing some financial or property loss to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C</w:t>
      </w:r>
    </w:p>
    <w:p w:rsidR="004729FB" w:rsidRDefault="004729FB" w:rsidP="004729FB">
      <w:pPr>
        <w:spacing w:before="200" w:line="260" w:lineRule="atLeast"/>
        <w:jc w:val="both"/>
      </w:pPr>
      <w:r>
        <w:rPr>
          <w:rFonts w:ascii="Arial" w:eastAsia="Arial" w:hAnsi="Arial" w:cs="Arial"/>
          <w:b/>
          <w:color w:val="000000"/>
          <w:sz w:val="20"/>
        </w:rPr>
        <w:t>POSSESSING A FALSELY MADE CREDIT CARD (§ 8-205(b)(3))</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a credit card. The crime of counterfeiting a credit card includes knowingly possessing a falsely made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a falsely made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knew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was falsely made;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with the intent to defraud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"falsely made" credit card is (1) one that was made to appear to be a credit card but is not genuine because an issuer did not authorize the making; or (2) a validly issued credit card that has been altered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"Intent to defraud" means to intend to deceive for the purpose of causing some financial or property loss to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TRANSFERRING POSSESSION OF A FALSELY MADE CREDIT CARD (§ 8-205(b)(3))</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a credit card. The crime of counterfeiting a credit card includes transferring possession of a falsely made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transferred possession to another person of a falsely made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knew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was falsely made;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with the intent to defraud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"falsely made" credit card is (1) one that was made to appear to be a credit card but is not genuine because an issuer did not authorize the making; or (2) a validly issued credit card that has been altered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"Intent to defraud" means to intend to deceive for the purpose of causing some financial or property loss to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w:t>
      </w:r>
    </w:p>
    <w:p w:rsidR="004729FB" w:rsidRDefault="004729FB" w:rsidP="004729FB">
      <w:pPr>
        <w:spacing w:before="200" w:line="260" w:lineRule="atLeast"/>
        <w:jc w:val="both"/>
      </w:pPr>
      <w:r>
        <w:rPr>
          <w:rFonts w:ascii="Arial" w:eastAsia="Arial" w:hAnsi="Arial" w:cs="Arial"/>
          <w:b/>
          <w:color w:val="000000"/>
          <w:sz w:val="20"/>
        </w:rPr>
        <w:t>SIGNING A CREDIT CARD WITHOUT AUTHORITY (§ 8-205(c))</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counterfeiting a credit card. The crime of counterfeiting a credit card includes signing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without authority.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signed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 the intent to defraud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(3) that the defendant was not the person named on the card; and</w:t>
      </w:r>
    </w:p>
    <w:p w:rsidR="004729FB" w:rsidRDefault="004729FB" w:rsidP="004729FB">
      <w:pPr>
        <w:spacing w:before="200" w:line="260" w:lineRule="atLeast"/>
        <w:ind w:left="400"/>
        <w:jc w:val="both"/>
      </w:pPr>
      <w:r>
        <w:rPr>
          <w:rFonts w:ascii="Arial" w:eastAsia="Arial" w:hAnsi="Arial" w:cs="Arial"/>
          <w:b/>
          <w:color w:val="000000"/>
          <w:sz w:val="20"/>
        </w:rPr>
        <w:t>(4) that the defendant signed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without permission from the person named on the card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4:18.1 (Identity Fraud--Personal Information); MPJI-Cr 4:32.5 (Credit Card Theft).</w:t>
            </w:r>
          </w:p>
          <w:p w:rsidR="004729FB" w:rsidRDefault="004729FB" w:rsidP="00713DA5">
            <w:pPr>
              <w:spacing w:before="200" w:line="260" w:lineRule="atLeast"/>
              <w:ind w:left="60" w:right="360"/>
              <w:jc w:val="both"/>
            </w:pPr>
            <w:r>
              <w:rPr>
                <w:rFonts w:ascii="Arial" w:eastAsia="Arial" w:hAnsi="Arial" w:cs="Arial"/>
                <w:color w:val="000000"/>
                <w:sz w:val="20"/>
              </w:rPr>
              <w:t>CRIMINAL LAW II § 8-205 prohibits a number of forms of credit card counterfeiting. Section 8-201(c)(2) defines "credit card" to include "(i) a debit card, access card, or other device for use by a cardholder to effect a transfer of funds through an electronic terminal, telephone, or computer; (ii) a magnetic tape that orders or authorizes a financial institution to debit or credit an account; and (iii) a code, account number, or other means of account access that is not encoded or truncated and can be used to: 1) obtain money, goods, services, or anything of value; or 2) initiate a transfer of funds."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194" style="position:absolute;z-index:25181388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MJPJI-Cr 4:14.3, MPJI-Cr 4:18.1, MPJI-Cr 4:18.2, MPJI-Cr 4:18.3, MPJI-Cr 4:18.4, MPJI-Cr 4:18.5, MPJI-Cr 4:32.5.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01" style="position:absolute;left:0;text-align:left;z-index:2518210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9" name="Picture 4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82" w:history="1">
        <w:r>
          <w:rPr>
            <w:rFonts w:ascii="Arial" w:eastAsia="Arial" w:hAnsi="Arial" w:cs="Arial"/>
            <w:b/>
            <w:bCs/>
            <w:i/>
            <w:color w:val="0077CC"/>
            <w:kern w:val="32"/>
            <w:sz w:val="28"/>
            <w:szCs w:val="32"/>
            <w:u w:val="single"/>
          </w:rPr>
          <w:t>MPJI-Cr 4:14.3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FRAUD IN PROCURING ISSUANCE OF A CREDIT CARD (§ 8-203)</w:t>
      </w:r>
    </w:p>
    <w:p w:rsidR="004729FB" w:rsidRDefault="004729FB" w:rsidP="004729FB">
      <w:pPr>
        <w:keepNext/>
        <w:spacing w:before="240" w:line="340" w:lineRule="atLeast"/>
      </w:pPr>
      <w:r>
        <w:br/>
      </w:r>
      <w:r>
        <w:rPr>
          <w:rFonts w:ascii="Arial" w:eastAsia="Arial" w:hAnsi="Arial" w:cs="Arial"/>
          <w:b/>
          <w:color w:val="000000"/>
          <w:sz w:val="28"/>
        </w:rPr>
        <w:t>4:14.3Fraud in Procuring Issuance of a Credit Card (§ 8-203)</w:t>
      </w:r>
    </w:p>
    <w:p w:rsidR="004729FB" w:rsidRDefault="004729FB" w:rsidP="004729FB">
      <w:pPr>
        <w:spacing w:line="60" w:lineRule="exact"/>
      </w:pPr>
      <w:r>
        <w:pict>
          <v:line id="_x0000_s1185" style="position:absolute;z-index:25180467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credit card fraud. In order to convict the defendant of this form of credit card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directly or indirectly, a false statement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false statement was in writing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false statement was about the defendant's identity or the identity of another person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false statement was made with the intent to cause a (</w:t>
      </w:r>
      <w:r>
        <w:rPr>
          <w:rFonts w:ascii="Arial" w:eastAsia="Arial" w:hAnsi="Arial" w:cs="Arial"/>
          <w:b/>
          <w:color w:val="000000"/>
          <w:sz w:val="20"/>
          <w:u w:val="single"/>
        </w:rPr>
        <w:t>insert a type of credit instrument or device</w:t>
      </w:r>
      <w:r>
        <w:rPr>
          <w:rFonts w:ascii="Arial" w:eastAsia="Arial" w:hAnsi="Arial" w:cs="Arial"/>
          <w:b/>
          <w:color w:val="000000"/>
          <w:sz w:val="20"/>
        </w:rPr>
        <w:t>) to be issued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(5) that the defendant knew the statement was false; and</w:t>
      </w:r>
    </w:p>
    <w:p w:rsidR="004729FB" w:rsidRDefault="004729FB" w:rsidP="004729FB">
      <w:pPr>
        <w:spacing w:before="200" w:line="260" w:lineRule="atLeast"/>
        <w:ind w:left="400"/>
        <w:jc w:val="both"/>
      </w:pPr>
      <w:r>
        <w:rPr>
          <w:rFonts w:ascii="Arial" w:eastAsia="Arial" w:hAnsi="Arial" w:cs="Arial"/>
          <w:b/>
          <w:color w:val="000000"/>
          <w:sz w:val="20"/>
        </w:rPr>
        <w:t>(6) that the defendant intended that the issuer rely on the false statement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is not required to prove that a credit card was actually issued in order to convict the defendant.]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4:18.1 (Identity Fraud--Personal Information); MPJI-Cr 4:32.5 (Credit Card Theft).</w:t>
            </w:r>
          </w:p>
          <w:p w:rsidR="004729FB" w:rsidRDefault="004729FB" w:rsidP="00713DA5">
            <w:pPr>
              <w:spacing w:before="200" w:line="260" w:lineRule="atLeast"/>
              <w:ind w:left="60" w:right="360"/>
              <w:jc w:val="both"/>
            </w:pPr>
            <w:r>
              <w:rPr>
                <w:rFonts w:ascii="Arial" w:eastAsia="Arial" w:hAnsi="Arial" w:cs="Arial"/>
                <w:color w:val="000000"/>
                <w:sz w:val="20"/>
              </w:rPr>
              <w:t>CRIMINAL LAW II § 8-201(c)(2) defines "credit card" to include "(i) a debit card, access card, or other device for use by a cardholder to effect a transfer of funds through an electronic terminal, telephone, or computer; (ii) a magnetic tape that orders or authorizes a financial institution to debit or credit an account; and (iii) a code, account number, or other means of account access that is not encoded or truncated and can be used to: 1) obtain money, goods, services, or anything of value; or 2) initiate a transfer of funds."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5" style="position:absolute;left:0;text-align:left;z-index:25181491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8" name="Picture 4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789" w:history="1">
        <w:r>
          <w:rPr>
            <w:rFonts w:ascii="Arial" w:eastAsia="Arial" w:hAnsi="Arial" w:cs="Arial"/>
            <w:b/>
            <w:bCs/>
            <w:i/>
            <w:color w:val="0077CC"/>
            <w:kern w:val="32"/>
            <w:sz w:val="28"/>
            <w:szCs w:val="32"/>
            <w:u w:val="single"/>
          </w:rPr>
          <w:t>MPJI-Cr 4:15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FRAUD--MEDICAID</w:t>
      </w:r>
    </w:p>
    <w:p w:rsidR="004729FB" w:rsidRDefault="004729FB" w:rsidP="004729FB">
      <w:pPr>
        <w:keepNext/>
        <w:spacing w:before="240" w:line="340" w:lineRule="atLeast"/>
      </w:pPr>
      <w:r>
        <w:br/>
      </w:r>
      <w:r>
        <w:rPr>
          <w:rFonts w:ascii="Arial" w:eastAsia="Arial" w:hAnsi="Arial" w:cs="Arial"/>
          <w:b/>
          <w:color w:val="000000"/>
          <w:sz w:val="28"/>
        </w:rPr>
        <w:t>4:15Fraud--Medicaid</w:t>
      </w:r>
    </w:p>
    <w:p w:rsidR="004729FB" w:rsidRDefault="004729FB" w:rsidP="004729FB">
      <w:pPr>
        <w:spacing w:line="60" w:lineRule="exact"/>
      </w:pPr>
      <w:r>
        <w:pict>
          <v:line id="_x0000_s1186" style="position:absolute;z-index:25180569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8-509(1)--(DEFRAUD WITH DELIVERY OR PAYMENT)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defrauding a State health plan. In order to convict the defendant of defrauding a State health plan,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[defrauded] [attempted to defraud] a State health plan in connection with [the delivery of] [payment for] a health care service;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knowingly and willfully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8-509(2)--(FALSE REPRESENTATION RELATING TO RECEIVED OR REQUIRED BENEFITS)</w:t>
      </w:r>
    </w:p>
    <w:p w:rsidR="004729FB" w:rsidRDefault="004729FB" w:rsidP="004729FB">
      <w:pPr>
        <w:spacing w:before="200" w:line="260" w:lineRule="atLeast"/>
        <w:jc w:val="both"/>
      </w:pPr>
      <w:r>
        <w:rPr>
          <w:rFonts w:ascii="Arial" w:eastAsia="Arial" w:hAnsi="Arial" w:cs="Arial"/>
          <w:b/>
          <w:color w:val="000000"/>
          <w:sz w:val="20"/>
        </w:rPr>
        <w:t>The defendant is charged with the crime of defrauding a State health plan. In order to convict the defendant of defrauding a State health plan,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[[concealed] [falsified] [omitted] a material fact]] [made a false or fraudulent material statement] [used a document that contains a statement of material fact that the defendant knew to be false or fraudulent]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for the purpose of [[obtaining] [attempting to obtain]] [[money] [property] [anything of value]] in connection with the [delivery of] [payment for] a health care service that is [wholly or partly reimbursed by] [a required benefit of] a State health plan</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knowingly and willfully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"material fact" is one which could affect the determination of benefits or payments.]</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 8-509(3)--(DEPRIVE OF HONEST SERVICES)</w:t>
      </w:r>
    </w:p>
    <w:p w:rsidR="004729FB" w:rsidRDefault="004729FB" w:rsidP="004729FB">
      <w:pPr>
        <w:spacing w:before="200" w:line="260" w:lineRule="atLeast"/>
        <w:jc w:val="both"/>
      </w:pPr>
      <w:r>
        <w:rPr>
          <w:rFonts w:ascii="Arial" w:eastAsia="Arial" w:hAnsi="Arial" w:cs="Arial"/>
          <w:b/>
          <w:color w:val="000000"/>
          <w:sz w:val="20"/>
        </w:rPr>
        <w:t>The defendant is charged with the crime of defrauding a State health plan. In order to convict the defendant of defrauding a State health plan,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(1) that the defendant [defrauded] [attempted to defraud] a State health plan of the right to honest services;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knowingly and willfully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 8-509(4)--(FALSE REPRESENTATION WITH INTENT TO DEFRAUD)</w:t>
      </w:r>
    </w:p>
    <w:p w:rsidR="004729FB" w:rsidRDefault="004729FB" w:rsidP="004729FB">
      <w:pPr>
        <w:spacing w:before="200" w:line="260" w:lineRule="atLeast"/>
        <w:jc w:val="both"/>
      </w:pPr>
      <w:r>
        <w:rPr>
          <w:rFonts w:ascii="Arial" w:eastAsia="Arial" w:hAnsi="Arial" w:cs="Arial"/>
          <w:b/>
          <w:color w:val="000000"/>
          <w:sz w:val="20"/>
        </w:rPr>
        <w:t>The defendant is charged with the crime of defrauding a State health plan. In order to convict the defendant of defrauding a State health plan,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 false representation of a material fact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false representation related to a health care service or State health plan</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made the false representation with the intent to defraud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w:t>
      </w:r>
    </w:p>
    <w:p w:rsidR="004729FB" w:rsidRDefault="004729FB" w:rsidP="004729FB">
      <w:pPr>
        <w:spacing w:before="200" w:line="260" w:lineRule="atLeast"/>
        <w:jc w:val="both"/>
      </w:pPr>
      <w:r>
        <w:rPr>
          <w:rFonts w:ascii="Arial" w:eastAsia="Arial" w:hAnsi="Arial" w:cs="Arial"/>
          <w:b/>
          <w:color w:val="000000"/>
          <w:sz w:val="20"/>
        </w:rPr>
        <w:t>§ 8-510--CONVERSION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Medicaid fraud by means of conversion relating to a State health plan.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application under a State health plan for or received benefits or payments from a State health plan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made the application for the benefit of another person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used all or part of those benefits or payment for a use other than for the use and benefit of that other person; and</w:t>
      </w:r>
    </w:p>
    <w:p w:rsidR="004729FB" w:rsidRDefault="004729FB" w:rsidP="004729FB">
      <w:pPr>
        <w:spacing w:before="200" w:line="260" w:lineRule="atLeast"/>
        <w:ind w:left="400"/>
        <w:jc w:val="both"/>
      </w:pPr>
      <w:r>
        <w:rPr>
          <w:rFonts w:ascii="Arial" w:eastAsia="Arial" w:hAnsi="Arial" w:cs="Arial"/>
          <w:b/>
          <w:color w:val="000000"/>
          <w:sz w:val="20"/>
        </w:rPr>
        <w:t>(4) that the defendant did so knowingly and willfully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F</w:t>
      </w:r>
    </w:p>
    <w:p w:rsidR="004729FB" w:rsidRDefault="004729FB" w:rsidP="004729FB">
      <w:pPr>
        <w:spacing w:before="200" w:line="260" w:lineRule="atLeast"/>
        <w:jc w:val="both"/>
      </w:pPr>
      <w:r>
        <w:rPr>
          <w:rFonts w:ascii="Arial" w:eastAsia="Arial" w:hAnsi="Arial" w:cs="Arial"/>
          <w:b/>
          <w:color w:val="000000"/>
          <w:sz w:val="20"/>
        </w:rPr>
        <w:t>§ 8-511--BRIBE OR KICKBACK</w:t>
      </w:r>
    </w:p>
    <w:p w:rsidR="004729FB" w:rsidRDefault="004729FB" w:rsidP="004729FB">
      <w:pPr>
        <w:spacing w:before="200" w:line="260" w:lineRule="atLeast"/>
        <w:jc w:val="both"/>
      </w:pPr>
      <w:r>
        <w:rPr>
          <w:rFonts w:ascii="Arial" w:eastAsia="Arial" w:hAnsi="Arial" w:cs="Arial"/>
          <w:b/>
          <w:color w:val="000000"/>
          <w:sz w:val="20"/>
        </w:rPr>
        <w:t>The defendant is charged with the crime of Medicaid fraud by means of a bribe or kickback.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[asked for] [solicited] [offered] [made] [received] a [kickback] [bribe]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in exchange for [[items] [services]] [[provided] [to be provided]] to another person; and</w:t>
      </w:r>
    </w:p>
    <w:p w:rsidR="004729FB" w:rsidRDefault="004729FB" w:rsidP="004729FB">
      <w:pPr>
        <w:spacing w:before="200" w:line="260" w:lineRule="atLeast"/>
        <w:ind w:left="400"/>
        <w:jc w:val="both"/>
      </w:pPr>
      <w:r>
        <w:rPr>
          <w:rFonts w:ascii="Arial" w:eastAsia="Arial" w:hAnsi="Arial" w:cs="Arial"/>
          <w:b/>
          <w:color w:val="000000"/>
          <w:sz w:val="20"/>
        </w:rPr>
        <w:t>(3) that payment for those [items] [services] was made or may be made in whole or part from federal or State funds under a State health plan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G</w:t>
      </w:r>
    </w:p>
    <w:p w:rsidR="004729FB" w:rsidRDefault="004729FB" w:rsidP="004729FB">
      <w:pPr>
        <w:spacing w:before="200" w:line="260" w:lineRule="atLeast"/>
        <w:jc w:val="both"/>
      </w:pPr>
      <w:r>
        <w:rPr>
          <w:rFonts w:ascii="Arial" w:eastAsia="Arial" w:hAnsi="Arial" w:cs="Arial"/>
          <w:b/>
          <w:color w:val="000000"/>
          <w:sz w:val="20"/>
        </w:rPr>
        <w:t>§ 8-512--REFERRAL OR REBATE FEE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Medicaid fraud by means of an unlawful referral or rebate fee.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(1) that the defendant [asked for] [solicited] [offered] [made] [received] a [referral fee] [rebate or any fee or charge for referral to a health care provider]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in exchange for [[items] [services]] [[provided] [to be provided]] to another person; and</w:t>
      </w:r>
    </w:p>
    <w:p w:rsidR="004729FB" w:rsidRDefault="004729FB" w:rsidP="004729FB">
      <w:pPr>
        <w:spacing w:before="200" w:line="260" w:lineRule="atLeast"/>
        <w:ind w:left="400"/>
        <w:jc w:val="both"/>
      </w:pPr>
      <w:r>
        <w:rPr>
          <w:rFonts w:ascii="Arial" w:eastAsia="Arial" w:hAnsi="Arial" w:cs="Arial"/>
          <w:b/>
          <w:color w:val="000000"/>
          <w:sz w:val="20"/>
        </w:rPr>
        <w:t>(3) that payment for those [items] [services] was made or may be made in whole or in part from federal or State funds under a State health plan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w:t>
      </w:r>
    </w:p>
    <w:p w:rsidR="004729FB" w:rsidRDefault="004729FB" w:rsidP="004729FB">
      <w:pPr>
        <w:spacing w:before="200" w:line="260" w:lineRule="atLeast"/>
        <w:jc w:val="both"/>
      </w:pPr>
      <w:r>
        <w:rPr>
          <w:rFonts w:ascii="Arial" w:eastAsia="Arial" w:hAnsi="Arial" w:cs="Arial"/>
          <w:b/>
          <w:color w:val="000000"/>
          <w:sz w:val="20"/>
        </w:rPr>
        <w:t>§ 8-513--FALSE REPRESENTATION FOR QUALIFICATION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Medicaid fraud by means of a false representation leading to eligibility for Medicaid benefits, payments, or reimbursement.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[caused to be made] [tried to have another make] a false representation about the condition or operation of an institution or facility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false representation was one of material fact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acted knowingly and willfully; and</w:t>
      </w:r>
    </w:p>
    <w:p w:rsidR="004729FB" w:rsidRDefault="004729FB" w:rsidP="004729FB">
      <w:pPr>
        <w:spacing w:before="200" w:line="260" w:lineRule="atLeast"/>
        <w:ind w:left="400"/>
        <w:jc w:val="both"/>
      </w:pPr>
      <w:r>
        <w:rPr>
          <w:rFonts w:ascii="Arial" w:eastAsia="Arial" w:hAnsi="Arial" w:cs="Arial"/>
          <w:b/>
          <w:color w:val="000000"/>
          <w:sz w:val="20"/>
        </w:rPr>
        <w:t>(4) that the defendant acted so that the institution or facility could qualify as a [hospital] [skilled nursing facility] [intermediate care facility] [home health agency] eligible for Medicaid benefits, payments, or reimbursement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"material fact" is a fact that could affect the determination of benefits or payments.]</w:t>
      </w:r>
    </w:p>
    <w:p w:rsidR="004729FB" w:rsidRDefault="004729FB" w:rsidP="004729FB">
      <w:pPr>
        <w:spacing w:before="200" w:line="260" w:lineRule="atLeast"/>
        <w:jc w:val="both"/>
      </w:pPr>
      <w:r>
        <w:rPr>
          <w:rFonts w:ascii="Arial" w:eastAsia="Arial" w:hAnsi="Arial" w:cs="Arial"/>
          <w:b/>
          <w:color w:val="000000"/>
          <w:sz w:val="20"/>
        </w:rPr>
        <w:t>I</w:t>
      </w:r>
    </w:p>
    <w:p w:rsidR="004729FB" w:rsidRDefault="004729FB" w:rsidP="004729FB">
      <w:pPr>
        <w:spacing w:before="200" w:line="260" w:lineRule="atLeast"/>
        <w:jc w:val="both"/>
      </w:pPr>
      <w:r>
        <w:rPr>
          <w:rFonts w:ascii="Arial" w:eastAsia="Arial" w:hAnsi="Arial" w:cs="Arial"/>
          <w:b/>
          <w:color w:val="000000"/>
          <w:sz w:val="20"/>
        </w:rPr>
        <w:t>§ 8-514--OBTAINING BENEFIT BY FRAUD</w:t>
      </w:r>
    </w:p>
    <w:p w:rsidR="004729FB" w:rsidRDefault="004729FB" w:rsidP="004729FB">
      <w:pPr>
        <w:spacing w:before="200" w:line="260" w:lineRule="atLeast"/>
        <w:jc w:val="both"/>
      </w:pPr>
      <w:r>
        <w:rPr>
          <w:rFonts w:ascii="Arial" w:eastAsia="Arial" w:hAnsi="Arial" w:cs="Arial"/>
          <w:b/>
          <w:color w:val="000000"/>
          <w:sz w:val="20"/>
        </w:rPr>
        <w:t>The defendant is charged with the crime of defrauding a State health plan.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a. [counterfeited] [altered] a [medical assistance prescription] [pharmacy assistance prescription distributed under a State health plan]; or</w:t>
      </w:r>
    </w:p>
    <w:p w:rsidR="004729FB" w:rsidRDefault="004729FB" w:rsidP="004729FB">
      <w:pPr>
        <w:spacing w:before="200" w:line="260" w:lineRule="atLeast"/>
        <w:ind w:left="800"/>
        <w:jc w:val="both"/>
      </w:pPr>
      <w:r>
        <w:rPr>
          <w:rFonts w:ascii="Arial" w:eastAsia="Arial" w:hAnsi="Arial" w:cs="Arial"/>
          <w:b/>
          <w:color w:val="000000"/>
          <w:sz w:val="20"/>
        </w:rPr>
        <w:t>b. [hid material facts] [used a false name or address] [made a false representation] to [obtain] [attempt to obtain] [help another to obtain] [help another attempt to obtain] any drug product or medical care from a State health plan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acted with intent to defraud and knowledge that [he] [she] [the other person] was not entitled to the drug product or medical care; and</w:t>
      </w:r>
    </w:p>
    <w:p w:rsidR="004729FB" w:rsidRDefault="004729FB" w:rsidP="004729FB">
      <w:pPr>
        <w:spacing w:before="200" w:line="260" w:lineRule="atLeast"/>
        <w:ind w:left="400"/>
        <w:jc w:val="both"/>
      </w:pPr>
      <w:r>
        <w:rPr>
          <w:rFonts w:ascii="Arial" w:eastAsia="Arial" w:hAnsi="Arial" w:cs="Arial"/>
          <w:b/>
          <w:color w:val="000000"/>
          <w:sz w:val="20"/>
        </w:rPr>
        <w:t>(3) that payment for the drug product or medical care was made or may be made in whole or in part from federal or State funds under a State health plan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J</w:t>
      </w:r>
    </w:p>
    <w:p w:rsidR="004729FB" w:rsidRDefault="004729FB" w:rsidP="004729FB">
      <w:pPr>
        <w:spacing w:before="200" w:line="260" w:lineRule="atLeast"/>
        <w:jc w:val="both"/>
      </w:pPr>
      <w:r>
        <w:rPr>
          <w:rFonts w:ascii="Arial" w:eastAsia="Arial" w:hAnsi="Arial" w:cs="Arial"/>
          <w:b/>
          <w:color w:val="000000"/>
          <w:sz w:val="20"/>
        </w:rPr>
        <w:t>§ 8-515--UNAUTHORIZED POSSESSION OF A BENEFIT CARD</w:t>
      </w:r>
    </w:p>
    <w:p w:rsidR="004729FB" w:rsidRDefault="004729FB" w:rsidP="004729FB">
      <w:pPr>
        <w:spacing w:before="200" w:line="260" w:lineRule="atLeast"/>
        <w:jc w:val="both"/>
      </w:pPr>
      <w:r>
        <w:rPr>
          <w:rFonts w:ascii="Arial" w:eastAsia="Arial" w:hAnsi="Arial" w:cs="Arial"/>
          <w:b/>
          <w:color w:val="000000"/>
          <w:sz w:val="20"/>
        </w:rPr>
        <w:t>The defendant is charged with the crime of unauthorized possession of a benefit card.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(1) that the defendant possessed a [medical] [pharmacy] assistance card distributed under [a State health plan] [Medical Assistance Program] [Pharmacy Assistance Program]; and</w:t>
      </w:r>
    </w:p>
    <w:p w:rsidR="004729FB" w:rsidRDefault="004729FB" w:rsidP="004729FB">
      <w:pPr>
        <w:spacing w:before="200" w:line="260" w:lineRule="atLeast"/>
        <w:ind w:left="400"/>
        <w:jc w:val="both"/>
      </w:pPr>
      <w:r>
        <w:rPr>
          <w:rFonts w:ascii="Arial" w:eastAsia="Arial" w:hAnsi="Arial" w:cs="Arial"/>
          <w:b/>
          <w:color w:val="000000"/>
          <w:sz w:val="20"/>
        </w:rPr>
        <w:t>(2) that [he] [she] did so knowingly and will-fully and without authorization</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Medicaid fraud is defined, prohibited, and penalized in CRIM. LAW II §§ 8-508 through 8-517. The Committee substantially redrafted this instruction based on the substantial revisions to the Medicaid fraud laws in §§ 8-508 through 8-517.</w:t>
            </w:r>
          </w:p>
          <w:p w:rsidR="004729FB" w:rsidRDefault="004729FB" w:rsidP="00713DA5">
            <w:pPr>
              <w:spacing w:before="200" w:line="260" w:lineRule="atLeast"/>
              <w:ind w:left="60" w:right="360"/>
              <w:jc w:val="both"/>
            </w:pPr>
            <w:r>
              <w:rPr>
                <w:rFonts w:ascii="Arial" w:eastAsia="Arial" w:hAnsi="Arial" w:cs="Arial"/>
                <w:color w:val="000000"/>
                <w:sz w:val="20"/>
              </w:rPr>
              <w:t xml:space="preserve">A crime perpetrated by fraud is a specific intent crime. </w:t>
            </w:r>
            <w:hyperlink r:id="rId790" w:history="1">
              <w:r>
                <w:rPr>
                  <w:rFonts w:ascii="Arial" w:eastAsia="Arial" w:hAnsi="Arial" w:cs="Arial"/>
                  <w:i/>
                  <w:color w:val="0077CC"/>
                  <w:sz w:val="20"/>
                  <w:u w:val="single"/>
                </w:rPr>
                <w:t>Greco v. State, 65 Md. App. 56, 66, 499 A.2d 209, 214 (1985),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791" w:history="1">
              <w:r>
                <w:rPr>
                  <w:rFonts w:ascii="Arial" w:eastAsia="Arial" w:hAnsi="Arial" w:cs="Arial"/>
                  <w:i/>
                  <w:color w:val="0077CC"/>
                  <w:sz w:val="20"/>
                  <w:u w:val="single"/>
                </w:rPr>
                <w:t>307 Md. 470, 515 A.2d 220 (1986).</w:t>
              </w:r>
            </w:hyperlink>
            <w:r>
              <w:rPr>
                <w:rFonts w:ascii="Arial" w:eastAsia="Arial" w:hAnsi="Arial" w:cs="Arial"/>
                <w:color w:val="000000"/>
                <w:sz w:val="20"/>
              </w:rPr>
              <w:t xml:space="preserve"> "[F]raud includes the knowing and willful making of a false statement or false representation of a material fact with the intent and for the purpose of having another rely upon that false statement or false representation to his or her detriment." </w:t>
            </w:r>
            <w:r>
              <w:rPr>
                <w:rFonts w:ascii="Arial" w:eastAsia="Arial" w:hAnsi="Arial" w:cs="Arial"/>
                <w:i/>
                <w:color w:val="000000"/>
                <w:sz w:val="20"/>
              </w:rPr>
              <w:t>Id.</w:t>
            </w:r>
          </w:p>
          <w:p w:rsidR="004729FB" w:rsidRDefault="004729FB" w:rsidP="00713DA5">
            <w:pPr>
              <w:spacing w:before="240" w:line="260" w:lineRule="atLeast"/>
              <w:ind w:left="60" w:right="360"/>
              <w:jc w:val="both"/>
            </w:pPr>
            <w:r>
              <w:rPr>
                <w:rFonts w:ascii="Arial" w:eastAsia="Arial" w:hAnsi="Arial" w:cs="Arial"/>
                <w:color w:val="000000"/>
                <w:sz w:val="20"/>
              </w:rPr>
              <w:t xml:space="preserve">A fact is material in the context of Medicaid fraud if, had that fact been different, medical benefits or payments would not have been made or a facility would not have been qualified as eligible for Medicaid benefits or payments. </w:t>
            </w:r>
            <w:r>
              <w:rPr>
                <w:rFonts w:ascii="Arial" w:eastAsia="Arial" w:hAnsi="Arial" w:cs="Arial"/>
                <w:i/>
                <w:color w:val="000000"/>
                <w:sz w:val="20"/>
              </w:rPr>
              <w:t xml:space="preserve">Cf. </w:t>
            </w:r>
            <w:hyperlink r:id="rId792" w:history="1">
              <w:r>
                <w:rPr>
                  <w:rFonts w:ascii="Arial" w:eastAsia="Arial" w:hAnsi="Arial" w:cs="Arial"/>
                  <w:i/>
                  <w:color w:val="0077CC"/>
                  <w:sz w:val="20"/>
                  <w:u w:val="single"/>
                </w:rPr>
                <w:t>Hourie v. State, 53 Md. App. 62, 90-91, 452 A.2d 440, 455 (1982),</w:t>
              </w:r>
            </w:hyperlink>
            <w:r>
              <w:rPr>
                <w:rFonts w:ascii="Arial" w:eastAsia="Arial" w:hAnsi="Arial" w:cs="Arial"/>
                <w:color w:val="000000"/>
                <w:sz w:val="20"/>
              </w:rPr>
              <w:t xml:space="preserve"> </w:t>
            </w:r>
            <w:r>
              <w:rPr>
                <w:rFonts w:ascii="Arial" w:eastAsia="Arial" w:hAnsi="Arial" w:cs="Arial"/>
                <w:i/>
                <w:color w:val="000000"/>
                <w:sz w:val="20"/>
              </w:rPr>
              <w:t>aff'd on other grounds</w:t>
            </w:r>
            <w:r>
              <w:rPr>
                <w:rFonts w:ascii="Arial" w:eastAsia="Arial" w:hAnsi="Arial" w:cs="Arial"/>
                <w:color w:val="000000"/>
                <w:sz w:val="20"/>
              </w:rPr>
              <w:t xml:space="preserve">, </w:t>
            </w:r>
            <w:hyperlink r:id="rId793" w:history="1">
              <w:r>
                <w:rPr>
                  <w:rFonts w:ascii="Arial" w:eastAsia="Arial" w:hAnsi="Arial" w:cs="Arial"/>
                  <w:i/>
                  <w:color w:val="0077CC"/>
                  <w:sz w:val="20"/>
                  <w:u w:val="single"/>
                </w:rPr>
                <w:t>298 Md. 50, 467 A.2d 1016 (1983).</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With respect to Version C (§ 8-509(3) (Deprive of Honest Services)), § 8-509 does not define what is meant by "the right to honest services," and Maryland's appellate courts have not construed the phrase. In construing a comparable federal statute, which criminalized the deprivation of another's "intangible right of honest services," the United States Supreme Court, in order to avoid holding that statute void for vagueness, stated that it would construe the phrase to apply only to bribes and kickbacks. It found that Congress clearly intended to reach this conduct in enacting the federal statute, and the Court declined to give the statute a broader meaning. </w:t>
            </w:r>
            <w:hyperlink r:id="rId794" w:history="1">
              <w:r>
                <w:rPr>
                  <w:rFonts w:ascii="Arial" w:eastAsia="Arial" w:hAnsi="Arial" w:cs="Arial"/>
                  <w:i/>
                  <w:color w:val="0077CC"/>
                  <w:sz w:val="20"/>
                  <w:u w:val="single"/>
                </w:rPr>
                <w:t>Skilling v. United States, 561 U.S. 358 (2010).</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6" style="position:absolute;left:0;text-align:left;z-index:25181593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7" name="Picture 4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01" w:history="1">
        <w:r>
          <w:rPr>
            <w:rFonts w:ascii="Arial" w:eastAsia="Arial" w:hAnsi="Arial" w:cs="Arial"/>
            <w:b/>
            <w:bCs/>
            <w:i/>
            <w:color w:val="0077CC"/>
            <w:kern w:val="32"/>
            <w:sz w:val="28"/>
            <w:szCs w:val="32"/>
            <w:u w:val="single"/>
          </w:rPr>
          <w:t>MPJI-Cr 4:15.1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8-503: FRAUD--PUBLIC ASSISTANCE</w:t>
      </w:r>
    </w:p>
    <w:p w:rsidR="004729FB" w:rsidRDefault="004729FB" w:rsidP="004729FB">
      <w:pPr>
        <w:keepNext/>
        <w:spacing w:before="240" w:line="340" w:lineRule="atLeast"/>
      </w:pPr>
      <w:r>
        <w:br/>
      </w:r>
      <w:r>
        <w:rPr>
          <w:rFonts w:ascii="Arial" w:eastAsia="Arial" w:hAnsi="Arial" w:cs="Arial"/>
          <w:b/>
          <w:color w:val="000000"/>
          <w:sz w:val="28"/>
        </w:rPr>
        <w:t>4:15.1§ 8-503: Fraud--Public Assistance</w:t>
      </w:r>
    </w:p>
    <w:p w:rsidR="004729FB" w:rsidRDefault="004729FB" w:rsidP="004729FB">
      <w:pPr>
        <w:spacing w:line="60" w:lineRule="exact"/>
      </w:pPr>
      <w:r>
        <w:pict>
          <v:line id="_x0000_s1187" style="position:absolute;z-index:25180672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public assistance fraud. Public assistance fraud is the fraudulent obtaining of money, property, food stamps, or other assistance that is provided under a social or nutritional program based on need. In order to convict the defendant of public assistance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[[obtained or attempted to obtain] [helped another person in obtaining or attempting to obtain]] [[money] [property] [food stamps] [medical care] [(</w:t>
      </w:r>
      <w:r>
        <w:rPr>
          <w:rFonts w:ascii="Arial" w:eastAsia="Arial" w:hAnsi="Arial" w:cs="Arial"/>
          <w:b/>
          <w:color w:val="000000"/>
          <w:sz w:val="20"/>
          <w:u w:val="single"/>
        </w:rPr>
        <w:t>other public assistance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program is funded in any part by the State and administered by the [State] [political subdivision of the State]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had no right to obtain such public assistance; and</w:t>
      </w:r>
    </w:p>
    <w:p w:rsidR="004729FB" w:rsidRDefault="004729FB" w:rsidP="004729FB">
      <w:pPr>
        <w:spacing w:before="200" w:line="260" w:lineRule="atLeast"/>
        <w:ind w:left="400"/>
        <w:jc w:val="both"/>
      </w:pPr>
      <w:r>
        <w:rPr>
          <w:rFonts w:ascii="Arial" w:eastAsia="Arial" w:hAnsi="Arial" w:cs="Arial"/>
          <w:b/>
          <w:color w:val="000000"/>
          <w:sz w:val="20"/>
        </w:rPr>
        <w:t>(4) that the defendant did so by [willfully making a false statement or false representation] [willfully failing to report a material change in household or financial condition] [pretending to be someone else]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Public assistance fraud is committed by fraudulently obtaining or attempting to obtain assistance under any public assistance program, other than Medicaid, if financed at least in part by the State and administered by the State or a political subdivision. CRIM. LAW II §§ 8-501-8-504. Fraud includes willful misrepresentation or false statement, willful failure to disclose a material change in household or financial condition, or impersonation of another. </w:t>
            </w:r>
            <w:r>
              <w:rPr>
                <w:rFonts w:ascii="Arial" w:eastAsia="Arial" w:hAnsi="Arial" w:cs="Arial"/>
                <w:i/>
                <w:color w:val="000000"/>
                <w:sz w:val="20"/>
              </w:rPr>
              <w:t>Id.</w:t>
            </w:r>
            <w:r>
              <w:rPr>
                <w:rFonts w:ascii="Arial" w:eastAsia="Arial" w:hAnsi="Arial" w:cs="Arial"/>
                <w:color w:val="000000"/>
                <w:sz w:val="20"/>
              </w:rPr>
              <w:t xml:space="preserve"> § 8-501. "The offense is proved upon evidence that [the defendant] unlawfully received any public assistance to which he was not entitled or assistance greater than that to which he was justly entitled; … The amount of money involved is no more an element of the offense than it is in a robbery." </w:t>
            </w:r>
            <w:hyperlink r:id="rId802" w:history="1">
              <w:r>
                <w:rPr>
                  <w:rFonts w:ascii="Arial" w:eastAsia="Arial" w:hAnsi="Arial" w:cs="Arial"/>
                  <w:i/>
                  <w:color w:val="0077CC"/>
                  <w:sz w:val="20"/>
                  <w:u w:val="single"/>
                </w:rPr>
                <w:t>Gentry v. State, 12 Md. App. 44, 46, 276 A.2d 673, 674 (1971).</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lastRenderedPageBreak/>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7" style="position:absolute;left:0;text-align:left;z-index:25181696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6" name="Picture 4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09" w:history="1">
        <w:r>
          <w:rPr>
            <w:rFonts w:ascii="Arial" w:eastAsia="Arial" w:hAnsi="Arial" w:cs="Arial"/>
            <w:b/>
            <w:bCs/>
            <w:i/>
            <w:color w:val="0077CC"/>
            <w:kern w:val="32"/>
            <w:sz w:val="28"/>
            <w:szCs w:val="32"/>
            <w:u w:val="single"/>
          </w:rPr>
          <w:t>MPJI-Cr 4:15.2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8-504: PUBLIC ASSISTANCE FRAUD--FRAUDULENT STATEMENT IN APPLICATION</w:t>
      </w:r>
    </w:p>
    <w:p w:rsidR="004729FB" w:rsidRDefault="004729FB" w:rsidP="004729FB">
      <w:pPr>
        <w:keepNext/>
        <w:spacing w:before="240" w:line="340" w:lineRule="atLeast"/>
      </w:pPr>
      <w:r>
        <w:br/>
      </w:r>
      <w:r>
        <w:rPr>
          <w:rFonts w:ascii="Arial" w:eastAsia="Arial" w:hAnsi="Arial" w:cs="Arial"/>
          <w:b/>
          <w:color w:val="000000"/>
          <w:sz w:val="28"/>
        </w:rPr>
        <w:t>4:15.2§ 8-504: Public Assistance Fraud--Fraudulent Statement in Application</w:t>
      </w:r>
    </w:p>
    <w:p w:rsidR="004729FB" w:rsidRDefault="004729FB" w:rsidP="004729FB">
      <w:pPr>
        <w:spacing w:line="60" w:lineRule="exact"/>
      </w:pPr>
      <w:r>
        <w:pict>
          <v:line id="_x0000_s1188" style="position:absolute;z-index:25180774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making a fraudulent statement in an application for public assistance. In order to convict the defendant of making a fraudulent statement in an application for public assistance,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 [false] [fraudulent] statement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made the statement in an application for [money] [property] [food stamps] [other assistance] related to a [nutritional program based on need] [social program] that is financed in whole or part by the State and administered by the [Department of Human Resources] [the Department of Health and Mental Hygiene] [local department of social services]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signed the application</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(4) that the defendant acted with the intent to obtain the [money] [property] [food stamps] [other assistance]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4:15.1.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198" style="position:absolute;left:0;text-align:left;z-index:25181798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45" name="Picture 4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16" w:history="1">
        <w:r>
          <w:rPr>
            <w:rFonts w:ascii="Arial" w:eastAsia="Arial" w:hAnsi="Arial" w:cs="Arial"/>
            <w:b/>
            <w:bCs/>
            <w:i/>
            <w:color w:val="0077CC"/>
            <w:kern w:val="32"/>
            <w:sz w:val="28"/>
            <w:szCs w:val="32"/>
            <w:u w:val="single"/>
          </w:rPr>
          <w:t>MPJI-Cr 4:15.3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8-505: PUBLIC ASSISTANCE FRAUD--CONVERSION AND UNAUTHORIZED DISPOSITION OF DONATED FOOD</w:t>
      </w:r>
    </w:p>
    <w:p w:rsidR="004729FB" w:rsidRDefault="004729FB" w:rsidP="004729FB">
      <w:pPr>
        <w:keepNext/>
        <w:spacing w:before="240" w:line="340" w:lineRule="atLeast"/>
      </w:pPr>
      <w:r>
        <w:br/>
      </w:r>
      <w:r>
        <w:rPr>
          <w:rFonts w:ascii="Arial" w:eastAsia="Arial" w:hAnsi="Arial" w:cs="Arial"/>
          <w:b/>
          <w:color w:val="000000"/>
          <w:sz w:val="28"/>
        </w:rPr>
        <w:t>4:15.3§ 8-505: Public Assistance Fraud--Conversion and Unauthorized Disposition of Donated Food</w:t>
      </w:r>
    </w:p>
    <w:p w:rsidR="004729FB" w:rsidRDefault="004729FB" w:rsidP="004729FB">
      <w:pPr>
        <w:spacing w:line="60" w:lineRule="exact"/>
      </w:pPr>
      <w:r>
        <w:pict>
          <v:line id="_x0000_s1189" style="position:absolute;z-index:2518087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8-505(a)</w:t>
      </w:r>
    </w:p>
    <w:p w:rsidR="004729FB" w:rsidRDefault="004729FB" w:rsidP="004729FB">
      <w:pPr>
        <w:spacing w:before="200" w:line="260" w:lineRule="atLeast"/>
        <w:jc w:val="both"/>
      </w:pPr>
      <w:r>
        <w:rPr>
          <w:rFonts w:ascii="Arial" w:eastAsia="Arial" w:hAnsi="Arial" w:cs="Arial"/>
          <w:b/>
          <w:color w:val="000000"/>
          <w:sz w:val="20"/>
        </w:rPr>
        <w:t>UNAUTHORIZED DISPOSITION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unauthorized disposition of donated food. In order to convict the defendant of unauthorized disposition of donated food,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disposed of food that was donated under a program of the federal government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acted without authorization</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acted with the intent to defraud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8-505(b)</w:t>
      </w:r>
    </w:p>
    <w:p w:rsidR="004729FB" w:rsidRDefault="004729FB" w:rsidP="004729FB">
      <w:pPr>
        <w:spacing w:before="200" w:line="260" w:lineRule="atLeast"/>
        <w:jc w:val="both"/>
      </w:pPr>
      <w:r>
        <w:rPr>
          <w:rFonts w:ascii="Arial" w:eastAsia="Arial" w:hAnsi="Arial" w:cs="Arial"/>
          <w:b/>
          <w:color w:val="000000"/>
          <w:sz w:val="20"/>
        </w:rPr>
        <w:t>CONVERSION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conversion of donated food. In order to convict the defendant of conversion of donated food,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received food that was donated under a program of the federal government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used the food for [his] [her] own benefit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was not authorized to receive the food; and</w:t>
      </w:r>
    </w:p>
    <w:p w:rsidR="004729FB" w:rsidRDefault="004729FB" w:rsidP="004729FB">
      <w:pPr>
        <w:spacing w:before="200" w:line="260" w:lineRule="atLeast"/>
        <w:ind w:left="400"/>
        <w:jc w:val="both"/>
      </w:pPr>
      <w:r>
        <w:rPr>
          <w:rFonts w:ascii="Arial" w:eastAsia="Arial" w:hAnsi="Arial" w:cs="Arial"/>
          <w:b/>
          <w:color w:val="000000"/>
          <w:sz w:val="20"/>
        </w:rPr>
        <w:t>(4) that the defendant knew [he] [she] was not authorized to receive the food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lastRenderedPageBreak/>
              <w:t>See</w:t>
            </w:r>
            <w:r>
              <w:rPr>
                <w:rFonts w:ascii="Arial" w:eastAsia="Arial" w:hAnsi="Arial" w:cs="Arial"/>
                <w:color w:val="000000"/>
                <w:sz w:val="20"/>
              </w:rPr>
              <w:t xml:space="preserve"> Comment to MPJI-Cr 4:15.1.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199" style="position:absolute;left:0;text-align:left;z-index:251819008;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10:49:00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77923615</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817" w:history="1">
        <w:r>
          <w:rPr>
            <w:rFonts w:ascii="Arial" w:eastAsia="Arial" w:hAnsi="Arial" w:cs="Arial"/>
            <w:color w:val="000000"/>
            <w:sz w:val="20"/>
            <w:u w:val="single"/>
          </w:rPr>
          <w:t xml:space="preserve"> </w:t>
        </w:r>
      </w:hyperlink>
      <w:hyperlink r:id="rId818" w:history="1">
        <w:r>
          <w:rPr>
            <w:rFonts w:ascii="Arial" w:eastAsia="Arial" w:hAnsi="Arial" w:cs="Arial"/>
            <w:i/>
            <w:color w:val="0077CC"/>
            <w:sz w:val="20"/>
            <w:u w:val="single"/>
          </w:rPr>
          <w:t>§ 8-515: Unauthorized Possession of a Benefit Card</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819" w:history="1">
        <w:r>
          <w:rPr>
            <w:rFonts w:ascii="Arial" w:eastAsia="Arial" w:hAnsi="Arial" w:cs="Arial"/>
            <w:color w:val="000000"/>
            <w:sz w:val="20"/>
            <w:u w:val="single"/>
          </w:rPr>
          <w:t xml:space="preserve"> </w:t>
        </w:r>
      </w:hyperlink>
      <w:hyperlink r:id="rId820" w:history="1">
        <w:r>
          <w:rPr>
            <w:rFonts w:ascii="Arial" w:eastAsia="Arial" w:hAnsi="Arial" w:cs="Arial"/>
            <w:i/>
            <w:color w:val="0077CC"/>
            <w:sz w:val="20"/>
            <w:u w:val="single"/>
          </w:rPr>
          <w:t>Gambling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821" w:history="1">
        <w:r>
          <w:rPr>
            <w:rFonts w:ascii="Arial" w:eastAsia="Arial" w:hAnsi="Arial" w:cs="Arial"/>
            <w:color w:val="000000"/>
            <w:sz w:val="20"/>
            <w:u w:val="single"/>
          </w:rPr>
          <w:t xml:space="preserve"> </w:t>
        </w:r>
      </w:hyperlink>
      <w:hyperlink r:id="rId822" w:history="1">
        <w:r>
          <w:rPr>
            <w:rFonts w:ascii="Arial" w:eastAsia="Arial" w:hAnsi="Arial" w:cs="Arial"/>
            <w:i/>
            <w:color w:val="0077CC"/>
            <w:sz w:val="20"/>
            <w:u w:val="single"/>
          </w:rPr>
          <w:t>Gang Participation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823" w:history="1">
        <w:r>
          <w:rPr>
            <w:rFonts w:ascii="Arial" w:eastAsia="Arial" w:hAnsi="Arial" w:cs="Arial"/>
            <w:color w:val="000000"/>
            <w:sz w:val="20"/>
            <w:u w:val="single"/>
          </w:rPr>
          <w:t xml:space="preserve"> </w:t>
        </w:r>
      </w:hyperlink>
      <w:hyperlink r:id="rId824" w:history="1">
        <w:r>
          <w:rPr>
            <w:rFonts w:ascii="Arial" w:eastAsia="Arial" w:hAnsi="Arial" w:cs="Arial"/>
            <w:i/>
            <w:color w:val="0077CC"/>
            <w:sz w:val="20"/>
            <w:u w:val="single"/>
          </w:rPr>
          <w:t>Homicide--First Degree Premeditated Murder and Second Degree Specific Intent Murder (No Justification or Mitigation Generated)</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825" w:history="1">
        <w:r>
          <w:rPr>
            <w:rFonts w:ascii="Arial" w:eastAsia="Arial" w:hAnsi="Arial" w:cs="Arial"/>
            <w:color w:val="000000"/>
            <w:sz w:val="20"/>
            <w:u w:val="single"/>
          </w:rPr>
          <w:t xml:space="preserve"> </w:t>
        </w:r>
      </w:hyperlink>
      <w:hyperlink r:id="rId826" w:history="1">
        <w:r>
          <w:rPr>
            <w:rFonts w:ascii="Arial" w:eastAsia="Arial" w:hAnsi="Arial" w:cs="Arial"/>
            <w:i/>
            <w:color w:val="0077CC"/>
            <w:sz w:val="20"/>
            <w:u w:val="single"/>
          </w:rPr>
          <w:t>Homicide--Transferred Intent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827" w:history="1">
        <w:r>
          <w:rPr>
            <w:rFonts w:ascii="Arial" w:eastAsia="Arial" w:hAnsi="Arial" w:cs="Arial"/>
            <w:color w:val="000000"/>
            <w:sz w:val="20"/>
            <w:u w:val="single"/>
          </w:rPr>
          <w:t xml:space="preserve"> </w:t>
        </w:r>
      </w:hyperlink>
      <w:hyperlink r:id="rId828" w:history="1">
        <w:r>
          <w:rPr>
            <w:rFonts w:ascii="Arial" w:eastAsia="Arial" w:hAnsi="Arial" w:cs="Arial"/>
            <w:i/>
            <w:color w:val="0077CC"/>
            <w:sz w:val="20"/>
            <w:u w:val="single"/>
          </w:rPr>
          <w:t>Homicide--First Degree Premeditated Murder and Second Degree Specific Intent Murder (Voluntary Intoxication Generated and Second Degree Depraved Heart Murder and Involuntary Manslaughter Instructed), But No Justification or Mitigation Generated</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829" w:history="1">
        <w:r>
          <w:rPr>
            <w:rFonts w:ascii="Arial" w:eastAsia="Arial" w:hAnsi="Arial" w:cs="Arial"/>
            <w:color w:val="000000"/>
            <w:sz w:val="20"/>
            <w:u w:val="single"/>
          </w:rPr>
          <w:t xml:space="preserve"> </w:t>
        </w:r>
      </w:hyperlink>
      <w:hyperlink r:id="rId830" w:history="1">
        <w:r>
          <w:rPr>
            <w:rFonts w:ascii="Arial" w:eastAsia="Arial" w:hAnsi="Arial" w:cs="Arial"/>
            <w:i/>
            <w:color w:val="0077CC"/>
            <w:sz w:val="20"/>
            <w:u w:val="single"/>
          </w:rPr>
          <w:t>Homicide--First Degree Premeditated Murder, Second Degree Specific Intent Murder and Voluntary Manslaughter (Perfect/Imperfect Self-Defense and Perfect/Imperfect Defense of Habitation)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831" w:history="1">
        <w:r>
          <w:rPr>
            <w:rFonts w:ascii="Arial" w:eastAsia="Arial" w:hAnsi="Arial" w:cs="Arial"/>
            <w:color w:val="000000"/>
            <w:sz w:val="20"/>
            <w:u w:val="single"/>
          </w:rPr>
          <w:t xml:space="preserve"> </w:t>
        </w:r>
      </w:hyperlink>
      <w:hyperlink r:id="rId832" w:history="1">
        <w:r>
          <w:rPr>
            <w:rFonts w:ascii="Arial" w:eastAsia="Arial" w:hAnsi="Arial" w:cs="Arial"/>
            <w:i/>
            <w:color w:val="0077CC"/>
            <w:sz w:val="20"/>
            <w:u w:val="single"/>
          </w:rPr>
          <w:t>Homicide--First Degree Premeditated Murder, Second Degree Specific Intent Murder and Voluntary Manslaughter (Perfect/Imperfect Defense of Others)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833" w:history="1">
        <w:r>
          <w:rPr>
            <w:rFonts w:ascii="Arial" w:eastAsia="Arial" w:hAnsi="Arial" w:cs="Arial"/>
            <w:color w:val="000000"/>
            <w:sz w:val="20"/>
            <w:u w:val="single"/>
          </w:rPr>
          <w:t xml:space="preserve"> </w:t>
        </w:r>
      </w:hyperlink>
      <w:hyperlink r:id="rId834" w:history="1">
        <w:r>
          <w:rPr>
            <w:rFonts w:ascii="Arial" w:eastAsia="Arial" w:hAnsi="Arial" w:cs="Arial"/>
            <w:i/>
            <w:color w:val="0077CC"/>
            <w:sz w:val="20"/>
            <w:u w:val="single"/>
          </w:rPr>
          <w:t>Homicide--First Degree Premeditated Murder, Second Degree Specific Intent Murder, and Voluntary Manslaughter (Hot Blooded Response to Legally Adequate Provocation)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835" w:history="1">
        <w:r>
          <w:rPr>
            <w:rFonts w:ascii="Arial" w:eastAsia="Arial" w:hAnsi="Arial" w:cs="Arial"/>
            <w:color w:val="000000"/>
            <w:sz w:val="20"/>
            <w:u w:val="single"/>
          </w:rPr>
          <w:t xml:space="preserve"> </w:t>
        </w:r>
      </w:hyperlink>
      <w:hyperlink r:id="rId836" w:history="1">
        <w:r>
          <w:rPr>
            <w:rFonts w:ascii="Arial" w:eastAsia="Arial" w:hAnsi="Arial" w:cs="Arial"/>
            <w:i/>
            <w:color w:val="0077CC"/>
            <w:sz w:val="20"/>
            <w:u w:val="single"/>
          </w:rPr>
          <w:t>Homicide--First Degree Premeditated Murder, Second Degree Specific Intent Murder and Voluntary Manslaughter (Duress)</w:t>
        </w:r>
      </w:hyperlink>
    </w:p>
    <w:p w:rsidR="004729FB" w:rsidRDefault="004729FB" w:rsidP="004729FB">
      <w:pPr>
        <w:spacing w:before="80" w:line="240" w:lineRule="atLeast"/>
        <w:ind w:left="290"/>
        <w:sectPr w:rsidR="004729FB" w:rsidSect="004729FB">
          <w:headerReference w:type="even" r:id="rId837"/>
          <w:headerReference w:type="default" r:id="rId838"/>
          <w:footerReference w:type="even" r:id="rId839"/>
          <w:footerReference w:type="default" r:id="rId840"/>
          <w:headerReference w:type="first" r:id="rId841"/>
          <w:footerReference w:type="first" r:id="rId842"/>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5" name="Picture 6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49" w:history="1">
        <w:r>
          <w:rPr>
            <w:rFonts w:ascii="Arial" w:eastAsia="Arial" w:hAnsi="Arial" w:cs="Arial"/>
            <w:b/>
            <w:bCs/>
            <w:i/>
            <w:color w:val="0077CC"/>
            <w:kern w:val="32"/>
            <w:sz w:val="28"/>
            <w:szCs w:val="32"/>
            <w:u w:val="single"/>
          </w:rPr>
          <w:t>MPJI-Cr 4:15.4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8-515: UNAUTHORIZED POSSESSION OF A BENEFIT CARD</w:t>
      </w:r>
    </w:p>
    <w:p w:rsidR="004729FB" w:rsidRDefault="004729FB" w:rsidP="004729FB">
      <w:pPr>
        <w:keepNext/>
        <w:spacing w:before="240" w:line="340" w:lineRule="atLeast"/>
      </w:pPr>
      <w:r>
        <w:br/>
      </w:r>
      <w:r>
        <w:rPr>
          <w:rFonts w:ascii="Arial" w:eastAsia="Arial" w:hAnsi="Arial" w:cs="Arial"/>
          <w:b/>
          <w:color w:val="000000"/>
          <w:sz w:val="28"/>
        </w:rPr>
        <w:t>4:15.4§ 8-515: Unauthorized Possession of a Benefit Card</w:t>
      </w:r>
    </w:p>
    <w:p w:rsidR="004729FB" w:rsidRDefault="004729FB" w:rsidP="004729FB">
      <w:pPr>
        <w:spacing w:line="60" w:lineRule="exact"/>
      </w:pPr>
      <w:r>
        <w:pict>
          <v:line id="_x0000_s1202" style="position:absolute;z-index:25182310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unauthorized possession of a benefit card. In order to convict the defendant of unauthorized possession of a benefit card,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a [medical] [pharmacy] assistance card distributed under [a State health plan] [Medical Assistance Program] [Pharmacy Assistance Program]; and</w:t>
      </w:r>
    </w:p>
    <w:p w:rsidR="004729FB" w:rsidRDefault="004729FB" w:rsidP="004729FB">
      <w:pPr>
        <w:spacing w:before="200" w:line="260" w:lineRule="atLeast"/>
        <w:ind w:left="400"/>
        <w:jc w:val="both"/>
      </w:pPr>
      <w:r>
        <w:rPr>
          <w:rFonts w:ascii="Arial" w:eastAsia="Arial" w:hAnsi="Arial" w:cs="Arial"/>
          <w:b/>
          <w:color w:val="000000"/>
          <w:sz w:val="20"/>
        </w:rPr>
        <w:t>(2) that [he] [she] did so knowingly and will-fully, without the authorization of the person to whom the card was issued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4:15.1.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12" style="position:absolute;left:0;text-align:left;z-index:25183334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4" name="Picture 6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56" w:history="1">
        <w:r>
          <w:rPr>
            <w:rFonts w:ascii="Arial" w:eastAsia="Arial" w:hAnsi="Arial" w:cs="Arial"/>
            <w:b/>
            <w:bCs/>
            <w:i/>
            <w:color w:val="0077CC"/>
            <w:kern w:val="32"/>
            <w:sz w:val="28"/>
            <w:szCs w:val="32"/>
            <w:u w:val="single"/>
          </w:rPr>
          <w:t>MPJI-Cr 4:16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GAMBLING</w:t>
      </w:r>
    </w:p>
    <w:p w:rsidR="004729FB" w:rsidRDefault="004729FB" w:rsidP="004729FB">
      <w:pPr>
        <w:keepNext/>
        <w:spacing w:before="240" w:line="340" w:lineRule="atLeast"/>
      </w:pPr>
      <w:r>
        <w:br/>
      </w:r>
      <w:r>
        <w:rPr>
          <w:rFonts w:ascii="Arial" w:eastAsia="Arial" w:hAnsi="Arial" w:cs="Arial"/>
          <w:b/>
          <w:color w:val="000000"/>
          <w:sz w:val="28"/>
        </w:rPr>
        <w:t>4:16Gambling</w:t>
      </w:r>
    </w:p>
    <w:p w:rsidR="004729FB" w:rsidRDefault="004729FB" w:rsidP="004729FB">
      <w:pPr>
        <w:spacing w:line="60" w:lineRule="exact"/>
      </w:pPr>
      <w:r>
        <w:pict>
          <v:line id="_x0000_s1203" style="position:absolute;z-index:25182412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12-104(a)(1): GAMING DEVICE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gambling. In order to convict the defendant of gambling, the State must prove that the defendant [kept] [dealt at] [managed] a gaming device or other place of gambling within the State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gaming device is a gaming table or other gaming mechanism, or a game itself, through or at which money or any other thing of value is bet or wagered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12-104(a)(6): INTEREST IN GAMING DEVICE OR PROFITS FROM IT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gambling. In order to convict the defendant of gambling, the State must prove that the defendant had an interest in a gaming device or the profits that resulted from a gaming device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gaming device is a gaming table or other gaming mechanism, or a game itself, through or at which money or any other thing of value is bet or wagered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 12-104(a)(2)-(3): INTEREST IN GAMING PLACE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gambling. In order to convict the defendant of gambling, the State must prove that the defendant [owned] [occupied] [leased] [rented] all or part of a place and knowingly allowed a gaming device to be kept in the place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gaming device is a gaming table or other gaming mechanism, or a game itself, through or at which money or any other thing of value is bet or wagered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criminal restrictions on gambling are statutory and are categorized under two general proscriptions: gaming laws under CRIM. LAW II §§ 12-101 through 12-113, and lotteries under CRIM. LAW II §§ 12-201 </w:t>
            </w:r>
            <w:r>
              <w:rPr>
                <w:rFonts w:ascii="Arial" w:eastAsia="Arial" w:hAnsi="Arial" w:cs="Arial"/>
                <w:color w:val="000000"/>
                <w:sz w:val="20"/>
              </w:rPr>
              <w:lastRenderedPageBreak/>
              <w:t>through 12-212. The restrictions on slot machines are addressed in CRIM. LAW II §§ 12-301 through 12-307.</w:t>
            </w:r>
          </w:p>
          <w:p w:rsidR="004729FB" w:rsidRDefault="004729FB" w:rsidP="00713DA5">
            <w:pPr>
              <w:spacing w:before="240" w:line="260" w:lineRule="atLeast"/>
              <w:ind w:left="60" w:right="360"/>
              <w:jc w:val="both"/>
            </w:pPr>
            <w:r>
              <w:rPr>
                <w:rFonts w:ascii="Arial" w:eastAsia="Arial" w:hAnsi="Arial" w:cs="Arial"/>
                <w:color w:val="000000"/>
                <w:sz w:val="20"/>
              </w:rPr>
              <w:t xml:space="preserve">The courts have distinguished between "gaming" and "lottery" schemes largely based upon the degree of participation of an individual and the presence or absence of skill or chance. </w:t>
            </w:r>
            <w:hyperlink r:id="rId857" w:history="1">
              <w:r>
                <w:rPr>
                  <w:rFonts w:ascii="Arial" w:eastAsia="Arial" w:hAnsi="Arial" w:cs="Arial"/>
                  <w:i/>
                  <w:color w:val="0077CC"/>
                  <w:sz w:val="20"/>
                  <w:u w:val="single"/>
                </w:rPr>
                <w:t>Bender v. Arundel Arena, Inc., 248 Md. 181, 189-90, 236 A.2d 7, 12 (1967).</w:t>
              </w:r>
            </w:hyperlink>
          </w:p>
          <w:p w:rsidR="004729FB" w:rsidRDefault="004729FB" w:rsidP="00713DA5">
            <w:pPr>
              <w:spacing w:before="60" w:line="260" w:lineRule="atLeast"/>
              <w:ind w:left="460" w:right="360"/>
              <w:jc w:val="both"/>
            </w:pPr>
            <w:r>
              <w:rPr>
                <w:rFonts w:ascii="Arial" w:eastAsia="Arial" w:hAnsi="Arial" w:cs="Arial"/>
                <w:color w:val="000000"/>
                <w:sz w:val="20"/>
              </w:rPr>
              <w:t>[L]ottery laws covered schemes for awarding a prize by lot or chance in which the only direct or personal participation by the seeker of the prize is his purchase of a ticket or its equivalent; and… gaming laws covered gambling by games of chance or gaming tables, as broadly defined (even though skill plays no part), in which the player participates personally and directly and is present when the game ends and the result becomes known.</w:t>
            </w:r>
          </w:p>
          <w:p w:rsidR="004729FB" w:rsidRDefault="004729FB" w:rsidP="00713DA5">
            <w:pPr>
              <w:spacing w:before="24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Such laws are within the State's police power to legislate in the interest of the public welfare. </w:t>
            </w:r>
            <w:r>
              <w:rPr>
                <w:rFonts w:ascii="Arial" w:eastAsia="Arial" w:hAnsi="Arial" w:cs="Arial"/>
                <w:i/>
                <w:color w:val="000000"/>
                <w:sz w:val="20"/>
              </w:rPr>
              <w:t xml:space="preserve">See </w:t>
            </w:r>
            <w:hyperlink r:id="rId858" w:history="1">
              <w:r>
                <w:rPr>
                  <w:rFonts w:ascii="Arial" w:eastAsia="Arial" w:hAnsi="Arial" w:cs="Arial"/>
                  <w:i/>
                  <w:color w:val="0077CC"/>
                  <w:sz w:val="20"/>
                  <w:u w:val="single"/>
                </w:rPr>
                <w:t>Miedzinski v. Landman, 218 Md. 3, 145 A.2d 220 (1958),</w:t>
              </w:r>
            </w:hyperlink>
            <w:r>
              <w:rPr>
                <w:rFonts w:ascii="Arial" w:eastAsia="Arial" w:hAnsi="Arial" w:cs="Arial"/>
                <w:color w:val="000000"/>
                <w:sz w:val="20"/>
              </w:rPr>
              <w:t xml:space="preserve"> </w:t>
            </w:r>
            <w:r>
              <w:rPr>
                <w:rFonts w:ascii="Arial" w:eastAsia="Arial" w:hAnsi="Arial" w:cs="Arial"/>
                <w:i/>
                <w:color w:val="000000"/>
                <w:sz w:val="20"/>
              </w:rPr>
              <w:t>appeal dismissed</w:t>
            </w:r>
            <w:r>
              <w:rPr>
                <w:rFonts w:ascii="Arial" w:eastAsia="Arial" w:hAnsi="Arial" w:cs="Arial"/>
                <w:color w:val="000000"/>
                <w:sz w:val="20"/>
              </w:rPr>
              <w:t xml:space="preserve">, </w:t>
            </w:r>
            <w:r>
              <w:rPr>
                <w:rFonts w:ascii="Arial" w:eastAsia="Arial" w:hAnsi="Arial" w:cs="Arial"/>
                <w:i/>
                <w:color w:val="000000"/>
                <w:sz w:val="20"/>
              </w:rPr>
              <w:t>358 U.S. 644 (1959);</w:t>
            </w:r>
            <w:r>
              <w:rPr>
                <w:rFonts w:ascii="Arial" w:eastAsia="Arial" w:hAnsi="Arial" w:cs="Arial"/>
                <w:color w:val="000000"/>
                <w:sz w:val="20"/>
              </w:rPr>
              <w:t xml:space="preserve"> </w:t>
            </w:r>
            <w:hyperlink r:id="rId859" w:history="1">
              <w:r>
                <w:rPr>
                  <w:rFonts w:ascii="Arial" w:eastAsia="Arial" w:hAnsi="Arial" w:cs="Arial"/>
                  <w:i/>
                  <w:color w:val="0077CC"/>
                  <w:sz w:val="20"/>
                  <w:u w:val="single"/>
                </w:rPr>
                <w:t>Soper v. Michal, 123 Md. 542, 91 A. 684 (1914).</w:t>
              </w:r>
            </w:hyperlink>
            <w:r>
              <w:rPr>
                <w:rFonts w:ascii="Arial" w:eastAsia="Arial" w:hAnsi="Arial" w:cs="Arial"/>
                <w:color w:val="000000"/>
                <w:sz w:val="20"/>
              </w:rPr>
              <w:t xml:space="preserve"> Furthermore, laws against gambling are to be liberally construed. CRIM. LAW II § 12-113; </w:t>
            </w:r>
            <w:hyperlink r:id="rId860" w:history="1">
              <w:r>
                <w:rPr>
                  <w:rFonts w:ascii="Arial" w:eastAsia="Arial" w:hAnsi="Arial" w:cs="Arial"/>
                  <w:i/>
                  <w:color w:val="0077CC"/>
                  <w:sz w:val="20"/>
                  <w:u w:val="single"/>
                </w:rPr>
                <w:t>State v. 158 Gaming Devices, 304 Md. 404, 499 A.2d 940 (1985).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Section 12-101 uses inclusive terms to describe gaming tables generally, rather than specify what types of tables constitute games. Section 12-102 identifies acts made illegal by the gaming proscriptions. The statute's restrictions apply to individuals, as well as corporations, and make it unlawful to "bet, wager, or gamble" or to "make or sell a book or pool on the result of a race, contest, or contingency." CRIM. LAW II § 12-102(a)(1)-(2). It includes those who keep, rent, use or occupy, or knowingly allow the use, of any house, building, vessel, grounds, or place for the purpose of committing any of these acts. </w:t>
            </w:r>
            <w:r>
              <w:rPr>
                <w:rFonts w:ascii="Arial" w:eastAsia="Arial" w:hAnsi="Arial" w:cs="Arial"/>
                <w:i/>
                <w:color w:val="000000"/>
                <w:sz w:val="20"/>
              </w:rPr>
              <w:t>Id.</w:t>
            </w:r>
            <w:r>
              <w:rPr>
                <w:rFonts w:ascii="Arial" w:eastAsia="Arial" w:hAnsi="Arial" w:cs="Arial"/>
                <w:color w:val="000000"/>
                <w:sz w:val="20"/>
              </w:rPr>
              <w:t xml:space="preserve"> § 12-102(a)(3). Additionally, this section prohibits any participation in the gaming scheme, such as forwarding, receiving, or agreeing to forward bets and wagers. </w:t>
            </w:r>
            <w:r>
              <w:rPr>
                <w:rFonts w:ascii="Arial" w:eastAsia="Arial" w:hAnsi="Arial" w:cs="Arial"/>
                <w:i/>
                <w:color w:val="000000"/>
                <w:sz w:val="20"/>
              </w:rPr>
              <w:t>Id.</w:t>
            </w:r>
            <w:r>
              <w:rPr>
                <w:rFonts w:ascii="Arial" w:eastAsia="Arial" w:hAnsi="Arial" w:cs="Arial"/>
                <w:color w:val="000000"/>
                <w:sz w:val="20"/>
              </w:rPr>
              <w:t xml:space="preserve"> § 12-102(a)(4). In view of the expansive prohibitions, this section has been found to create four separate offenses: (1) gambling in any manner or by any means, (2) making book on a contingency of any kind, (3) keeping any place on land or water in Maryland for purposes of gambling, and (4) receiving, recording, or forwarding any bet. </w:t>
            </w:r>
            <w:hyperlink r:id="rId861" w:history="1">
              <w:r>
                <w:rPr>
                  <w:rFonts w:ascii="Arial" w:eastAsia="Arial" w:hAnsi="Arial" w:cs="Arial"/>
                  <w:i/>
                  <w:color w:val="0077CC"/>
                  <w:sz w:val="20"/>
                  <w:u w:val="single"/>
                </w:rPr>
                <w:t>Handy v. State, 23 Md. App. 239, 252-53, 326 A.2d 189, 197 (1974).</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As to the acts proscribed under the statute, the insertion of money and the operation of a device by a player in hopes of winning a monetary pay-off constitutes a bet or wager regardless of the element of skill involved in playing the game. </w:t>
            </w:r>
            <w:r>
              <w:rPr>
                <w:rFonts w:ascii="Arial" w:eastAsia="Arial" w:hAnsi="Arial" w:cs="Arial"/>
                <w:i/>
                <w:color w:val="000000"/>
                <w:sz w:val="20"/>
              </w:rPr>
              <w:t xml:space="preserve">See </w:t>
            </w:r>
            <w:hyperlink r:id="rId862" w:history="1">
              <w:r>
                <w:rPr>
                  <w:rFonts w:ascii="Arial" w:eastAsia="Arial" w:hAnsi="Arial" w:cs="Arial"/>
                  <w:i/>
                  <w:color w:val="0077CC"/>
                  <w:sz w:val="20"/>
                  <w:u w:val="single"/>
                </w:rPr>
                <w:t>F.A.C.E. Trading, Inc. v. Todd, 393 Md. 364, 903 A.2d 348 (2006)</w:t>
              </w:r>
            </w:hyperlink>
            <w:r>
              <w:rPr>
                <w:rFonts w:ascii="Arial" w:eastAsia="Arial" w:hAnsi="Arial" w:cs="Arial"/>
                <w:color w:val="000000"/>
                <w:sz w:val="20"/>
              </w:rPr>
              <w:t xml:space="preserve"> (finding that a machine that dispensed tickets letting a buyer buy merchandise discounts and chances to win cash was a gaming device); </w:t>
            </w:r>
            <w:hyperlink r:id="rId863" w:history="1">
              <w:r>
                <w:rPr>
                  <w:rFonts w:ascii="Arial" w:eastAsia="Arial" w:hAnsi="Arial" w:cs="Arial"/>
                  <w:i/>
                  <w:color w:val="0077CC"/>
                  <w:sz w:val="20"/>
                  <w:u w:val="single"/>
                </w:rPr>
                <w:t>Brown v. State, 210 Md. 301, 123 A.2d 324 (1956)</w:t>
              </w:r>
            </w:hyperlink>
            <w:r>
              <w:rPr>
                <w:rFonts w:ascii="Arial" w:eastAsia="Arial" w:hAnsi="Arial" w:cs="Arial"/>
                <w:color w:val="000000"/>
                <w:sz w:val="20"/>
              </w:rPr>
              <w:t xml:space="preserve"> (finding that a pinball machine that involved, in part, a game of chance, and included a potential cash payout was a gaming device). Gambling and book making are not complete until the consideration for a bet passes from the bettor to the bookmaker or runner of a bookmaking establishment. Gambling does not occur, therefore, when a bet is placed over the telephone. </w:t>
            </w:r>
            <w:hyperlink r:id="rId864" w:history="1">
              <w:r>
                <w:rPr>
                  <w:rFonts w:ascii="Arial" w:eastAsia="Arial" w:hAnsi="Arial" w:cs="Arial"/>
                  <w:i/>
                  <w:color w:val="0077CC"/>
                  <w:sz w:val="20"/>
                  <w:u w:val="single"/>
                </w:rPr>
                <w:t>Novak v. State, 214 Md. 472, 477, 136 A.2d 256, 258 (1957).</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Section 12-104 prohibits keeping, dealing, managing, or having any interest in a gaming table or other place of gambling. CRIM. LAW II § 12-104(a)(1), (4)-(6). Any owner, tenant, or occupant of any place who knowingly permits any gambling table to be kept on the premises also is guilty. </w:t>
            </w:r>
            <w:r>
              <w:rPr>
                <w:rFonts w:ascii="Arial" w:eastAsia="Arial" w:hAnsi="Arial" w:cs="Arial"/>
                <w:i/>
                <w:color w:val="000000"/>
                <w:sz w:val="20"/>
              </w:rPr>
              <w:t>Id.</w:t>
            </w:r>
            <w:r>
              <w:rPr>
                <w:rFonts w:ascii="Arial" w:eastAsia="Arial" w:hAnsi="Arial" w:cs="Arial"/>
                <w:color w:val="000000"/>
                <w:sz w:val="20"/>
              </w:rPr>
              <w:t xml:space="preserve"> § 12-104(a)(2). Both § 12-102 and § 12-104 require proof that the person knew that the premises were being used for illegal purposes. </w:t>
            </w:r>
            <w:r>
              <w:rPr>
                <w:rFonts w:ascii="Arial" w:eastAsia="Arial" w:hAnsi="Arial" w:cs="Arial"/>
                <w:i/>
                <w:color w:val="000000"/>
                <w:sz w:val="20"/>
              </w:rPr>
              <w:t>Id.</w:t>
            </w:r>
            <w:r>
              <w:rPr>
                <w:rFonts w:ascii="Arial" w:eastAsia="Arial" w:hAnsi="Arial" w:cs="Arial"/>
                <w:color w:val="000000"/>
                <w:sz w:val="20"/>
              </w:rPr>
              <w:t xml:space="preserve"> §§ 12-102(a)(3), 12-104(a)(2); </w:t>
            </w:r>
            <w:hyperlink r:id="rId865" w:history="1">
              <w:r>
                <w:rPr>
                  <w:rFonts w:ascii="Arial" w:eastAsia="Arial" w:hAnsi="Arial" w:cs="Arial"/>
                  <w:i/>
                  <w:color w:val="0077CC"/>
                  <w:sz w:val="20"/>
                  <w:u w:val="single"/>
                </w:rPr>
                <w:t>Propst v. State, 5 Md. App. 36, 44, 245 A.2d 88, 92-93 (1968),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252 Md. 732 (1969);</w:t>
            </w:r>
            <w:r>
              <w:rPr>
                <w:rFonts w:ascii="Arial" w:eastAsia="Arial" w:hAnsi="Arial" w:cs="Arial"/>
                <w:color w:val="000000"/>
                <w:sz w:val="20"/>
              </w:rPr>
              <w:t xml:space="preserve"> </w:t>
            </w:r>
            <w:r>
              <w:rPr>
                <w:rFonts w:ascii="Arial" w:eastAsia="Arial" w:hAnsi="Arial" w:cs="Arial"/>
                <w:i/>
                <w:color w:val="000000"/>
                <w:sz w:val="20"/>
              </w:rPr>
              <w:t xml:space="preserve">see </w:t>
            </w:r>
            <w:hyperlink r:id="rId866" w:history="1">
              <w:r>
                <w:rPr>
                  <w:rFonts w:ascii="Arial" w:eastAsia="Arial" w:hAnsi="Arial" w:cs="Arial"/>
                  <w:i/>
                  <w:color w:val="0077CC"/>
                  <w:sz w:val="20"/>
                  <w:u w:val="single"/>
                </w:rPr>
                <w:t>Chan v. State, 78 Md. App. 287, 319-20, 552 A.2d 1351, 1367 (1989)</w:t>
              </w:r>
            </w:hyperlink>
            <w:r>
              <w:rPr>
                <w:rFonts w:ascii="Arial" w:eastAsia="Arial" w:hAnsi="Arial" w:cs="Arial"/>
                <w:color w:val="000000"/>
                <w:sz w:val="20"/>
              </w:rPr>
              <w:t xml:space="preserve"> (finding that ten telephones, a gambling-related ledger, and $ 1,800 in cash were circumstantial evidence of gambling).</w:t>
            </w:r>
          </w:p>
          <w:p w:rsidR="004729FB" w:rsidRDefault="004729FB" w:rsidP="00713DA5">
            <w:pPr>
              <w:spacing w:before="200" w:line="260" w:lineRule="atLeast"/>
              <w:ind w:left="60" w:right="360"/>
              <w:jc w:val="both"/>
            </w:pPr>
            <w:r>
              <w:rPr>
                <w:rFonts w:ascii="Arial" w:eastAsia="Arial" w:hAnsi="Arial" w:cs="Arial"/>
                <w:color w:val="000000"/>
                <w:sz w:val="20"/>
              </w:rPr>
              <w:t>Section 12-302 prohibits the locating, possession, keeping, or operation of slot machines, except as allowed under §§ 12-304 through 12-306. Section 12-301 defines slot machines as follows:</w:t>
            </w:r>
          </w:p>
          <w:p w:rsidR="004729FB" w:rsidRDefault="004729FB" w:rsidP="00713DA5">
            <w:pPr>
              <w:spacing w:before="60" w:line="260" w:lineRule="atLeast"/>
              <w:ind w:left="460" w:right="360"/>
              <w:jc w:val="both"/>
            </w:pPr>
            <w:r>
              <w:rPr>
                <w:rFonts w:ascii="Arial" w:eastAsia="Arial" w:hAnsi="Arial" w:cs="Arial"/>
                <w:color w:val="000000"/>
                <w:sz w:val="20"/>
              </w:rPr>
              <w:t>(1) "slot machine" means a machine, apparatus, or device that:</w:t>
            </w:r>
          </w:p>
          <w:p w:rsidR="004729FB" w:rsidRDefault="004729FB" w:rsidP="00713DA5">
            <w:pPr>
              <w:spacing w:before="60" w:line="260" w:lineRule="atLeast"/>
              <w:ind w:left="860" w:right="360"/>
              <w:jc w:val="both"/>
            </w:pPr>
            <w:r>
              <w:rPr>
                <w:rFonts w:ascii="Arial" w:eastAsia="Arial" w:hAnsi="Arial" w:cs="Arial"/>
                <w:color w:val="000000"/>
                <w:sz w:val="20"/>
              </w:rPr>
              <w:t xml:space="preserve">(i) operates or can be made to operate by inserting, depositing, or placing with another person </w:t>
            </w:r>
            <w:r>
              <w:rPr>
                <w:rFonts w:ascii="Arial" w:eastAsia="Arial" w:hAnsi="Arial" w:cs="Arial"/>
                <w:color w:val="000000"/>
                <w:sz w:val="20"/>
              </w:rPr>
              <w:lastRenderedPageBreak/>
              <w:t>money, a token, or another object; and</w:t>
            </w:r>
          </w:p>
          <w:p w:rsidR="004729FB" w:rsidRDefault="004729FB" w:rsidP="00713DA5">
            <w:pPr>
              <w:spacing w:before="60" w:line="260" w:lineRule="atLeast"/>
              <w:ind w:left="860" w:right="360"/>
              <w:jc w:val="both"/>
            </w:pPr>
            <w:r>
              <w:rPr>
                <w:rFonts w:ascii="Arial" w:eastAsia="Arial" w:hAnsi="Arial" w:cs="Arial"/>
                <w:color w:val="000000"/>
                <w:sz w:val="20"/>
              </w:rPr>
              <w:t>(ii) through the element of chance, the reading of a game of chance, the delivery of a game of chance, or any other outcome unpredictable by the user, awards the user:</w:t>
            </w:r>
          </w:p>
          <w:p w:rsidR="004729FB" w:rsidRDefault="004729FB" w:rsidP="00713DA5">
            <w:pPr>
              <w:spacing w:before="60" w:line="260" w:lineRule="atLeast"/>
              <w:ind w:left="860" w:right="360"/>
              <w:jc w:val="both"/>
            </w:pPr>
            <w:r>
              <w:rPr>
                <w:rFonts w:ascii="Arial" w:eastAsia="Arial" w:hAnsi="Arial" w:cs="Arial"/>
                <w:color w:val="000000"/>
                <w:sz w:val="20"/>
              </w:rPr>
              <w:t>1. money, a token, or other object that represents or that can be converted into money; or</w:t>
            </w:r>
          </w:p>
          <w:p w:rsidR="004729FB" w:rsidRDefault="004729FB" w:rsidP="00713DA5">
            <w:pPr>
              <w:spacing w:before="60" w:line="260" w:lineRule="atLeast"/>
              <w:ind w:left="860" w:right="360"/>
              <w:jc w:val="both"/>
            </w:pPr>
            <w:r>
              <w:rPr>
                <w:rFonts w:ascii="Arial" w:eastAsia="Arial" w:hAnsi="Arial" w:cs="Arial"/>
                <w:color w:val="000000"/>
                <w:sz w:val="20"/>
              </w:rPr>
              <w:t>2. the right to receive money, a token, or another object that represents and can be converted into money;</w:t>
            </w:r>
          </w:p>
          <w:p w:rsidR="004729FB" w:rsidRDefault="004729FB" w:rsidP="00713DA5">
            <w:pPr>
              <w:spacing w:before="60" w:line="260" w:lineRule="atLeast"/>
              <w:ind w:left="460" w:right="360"/>
              <w:jc w:val="both"/>
            </w:pPr>
            <w:r>
              <w:rPr>
                <w:rFonts w:ascii="Arial" w:eastAsia="Arial" w:hAnsi="Arial" w:cs="Arial"/>
                <w:color w:val="000000"/>
                <w:sz w:val="20"/>
              </w:rPr>
              <w:t>(2) "slot machine" includes:</w:t>
            </w:r>
          </w:p>
          <w:p w:rsidR="004729FB" w:rsidRDefault="004729FB" w:rsidP="00713DA5">
            <w:pPr>
              <w:spacing w:before="60" w:line="260" w:lineRule="atLeast"/>
              <w:ind w:left="860" w:right="360"/>
              <w:jc w:val="both"/>
            </w:pPr>
            <w:r>
              <w:rPr>
                <w:rFonts w:ascii="Arial" w:eastAsia="Arial" w:hAnsi="Arial" w:cs="Arial"/>
                <w:color w:val="000000"/>
                <w:sz w:val="20"/>
              </w:rPr>
              <w:t>(i) a machine, apparatus, or device described in item (1) of this section that also sells, delivers, or awards merchandise, money, or some other tangible thing of value; and</w:t>
            </w:r>
          </w:p>
          <w:p w:rsidR="004729FB" w:rsidRDefault="004729FB" w:rsidP="00713DA5">
            <w:pPr>
              <w:spacing w:before="60" w:line="260" w:lineRule="atLeast"/>
              <w:ind w:left="860" w:right="360"/>
              <w:jc w:val="both"/>
            </w:pPr>
            <w:r>
              <w:rPr>
                <w:rFonts w:ascii="Arial" w:eastAsia="Arial" w:hAnsi="Arial" w:cs="Arial"/>
                <w:color w:val="000000"/>
                <w:sz w:val="20"/>
              </w:rPr>
              <w:t>(ii) a pinball machine or console machine that pays off in merchandise …</w:t>
            </w:r>
          </w:p>
          <w:p w:rsidR="004729FB" w:rsidRDefault="004729FB" w:rsidP="00713DA5">
            <w:pPr>
              <w:spacing w:before="240" w:line="260" w:lineRule="atLeast"/>
              <w:ind w:left="60" w:right="360"/>
              <w:jc w:val="both"/>
            </w:pPr>
            <w:r>
              <w:rPr>
                <w:rFonts w:ascii="Arial" w:eastAsia="Arial" w:hAnsi="Arial" w:cs="Arial"/>
                <w:color w:val="000000"/>
                <w:sz w:val="20"/>
              </w:rPr>
              <w:t xml:space="preserve">CRIM. LAW II § 12-301(1)-(2). Section 12-301 has several explicit exceptions to this definition, such as machines that award only free plays or non-cash awards of minimal value and machines used by the State Lottery Commission or legislatively authorized video lottery terminals. </w:t>
            </w:r>
            <w:r>
              <w:rPr>
                <w:rFonts w:ascii="Arial" w:eastAsia="Arial" w:hAnsi="Arial" w:cs="Arial"/>
                <w:i/>
                <w:color w:val="000000"/>
                <w:sz w:val="20"/>
              </w:rPr>
              <w:t>See id.</w:t>
            </w:r>
            <w:r>
              <w:rPr>
                <w:rFonts w:ascii="Arial" w:eastAsia="Arial" w:hAnsi="Arial" w:cs="Arial"/>
                <w:color w:val="000000"/>
                <w:sz w:val="20"/>
              </w:rPr>
              <w:t xml:space="preserve"> § 12-301(3). Section 12-302 has been upheld against challenges of deprivation of property without due process, void for vagueness, and discriminatory classification violative of the Equal Protection Clause of the Fourteenth Amendment. In upholding the statute, the United States District Court for the District of Maryland recognized that the police power of the State to suppress gambling is practically unrestrained. </w:t>
            </w:r>
            <w:hyperlink r:id="rId867" w:history="1">
              <w:r>
                <w:rPr>
                  <w:rFonts w:ascii="Arial" w:eastAsia="Arial" w:hAnsi="Arial" w:cs="Arial"/>
                  <w:i/>
                  <w:color w:val="0077CC"/>
                  <w:sz w:val="20"/>
                  <w:u w:val="single"/>
                </w:rPr>
                <w:t>Mills v. Agnew, 286 F. Supp. 107 (D. Md. 1968).</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Under §§ 12-201 and 12-203, lotteries operated by anyone other than the State itself are illegal. </w:t>
            </w:r>
            <w:r>
              <w:rPr>
                <w:rFonts w:ascii="Arial" w:eastAsia="Arial" w:hAnsi="Arial" w:cs="Arial"/>
                <w:i/>
                <w:color w:val="000000"/>
                <w:sz w:val="20"/>
              </w:rPr>
              <w:t xml:space="preserve">See </w:t>
            </w:r>
            <w:hyperlink r:id="rId868" w:history="1">
              <w:r>
                <w:rPr>
                  <w:rFonts w:ascii="Arial" w:eastAsia="Arial" w:hAnsi="Arial" w:cs="Arial"/>
                  <w:i/>
                  <w:color w:val="0077CC"/>
                  <w:sz w:val="20"/>
                  <w:u w:val="single"/>
                </w:rPr>
                <w:t>Mid-Atlantic Coca-Cola Bottling Co. v. Chen, Walsh &amp; Tecler, 296 Md. 99, 460 A.2d 44 (1983)</w:t>
              </w:r>
            </w:hyperlink>
            <w:r>
              <w:rPr>
                <w:rFonts w:ascii="Arial" w:eastAsia="Arial" w:hAnsi="Arial" w:cs="Arial"/>
                <w:color w:val="000000"/>
                <w:sz w:val="20"/>
              </w:rPr>
              <w:t xml:space="preserve"> (holding that an advertising promotion offering chance of prizes with purchase of product and providing method of entering without purchase is not an illegal lottery). The elements of a lottery are consideration, chance, and prize. Consideration requires the payment of money or other thing of value by the purchaser to the lottery sponsor for the opportunity of winning a prize awarded by chance. </w:t>
            </w:r>
            <w:hyperlink r:id="rId869" w:history="1">
              <w:r>
                <w:rPr>
                  <w:rFonts w:ascii="Arial" w:eastAsia="Arial" w:hAnsi="Arial" w:cs="Arial"/>
                  <w:i/>
                  <w:color w:val="0077CC"/>
                  <w:sz w:val="20"/>
                  <w:u w:val="single"/>
                </w:rPr>
                <w:t>Id. at 105, 460 A.2d at 47;</w:t>
              </w:r>
            </w:hyperlink>
            <w:r>
              <w:rPr>
                <w:rFonts w:ascii="Arial" w:eastAsia="Arial" w:hAnsi="Arial" w:cs="Arial"/>
                <w:color w:val="000000"/>
                <w:sz w:val="20"/>
              </w:rPr>
              <w:t xml:space="preserve"> </w:t>
            </w:r>
            <w:r>
              <w:rPr>
                <w:rFonts w:ascii="Arial" w:eastAsia="Arial" w:hAnsi="Arial" w:cs="Arial"/>
                <w:i/>
                <w:color w:val="000000"/>
                <w:sz w:val="20"/>
              </w:rPr>
              <w:t>see also F</w:t>
            </w:r>
            <w:r>
              <w:rPr>
                <w:rFonts w:ascii="Arial" w:eastAsia="Arial" w:hAnsi="Arial" w:cs="Arial"/>
                <w:color w:val="000000"/>
                <w:sz w:val="20"/>
              </w:rPr>
              <w:t>.A.</w:t>
            </w:r>
            <w:hyperlink r:id="rId870" w:history="1">
              <w:r>
                <w:rPr>
                  <w:rFonts w:ascii="Arial" w:eastAsia="Arial" w:hAnsi="Arial" w:cs="Arial"/>
                  <w:i/>
                  <w:color w:val="0077CC"/>
                  <w:sz w:val="20"/>
                  <w:u w:val="single"/>
                </w:rPr>
                <w:t>C.E. Trading, Inc., 393 Md. at 379-383, 903 A.2d at 357-59</w:t>
              </w:r>
            </w:hyperlink>
            <w:r>
              <w:rPr>
                <w:rFonts w:ascii="Arial" w:eastAsia="Arial" w:hAnsi="Arial" w:cs="Arial"/>
                <w:color w:val="000000"/>
                <w:sz w:val="20"/>
              </w:rPr>
              <w:t xml:space="preserve"> (distinguishing facts from </w:t>
            </w:r>
            <w:r>
              <w:rPr>
                <w:rFonts w:ascii="Arial" w:eastAsia="Arial" w:hAnsi="Arial" w:cs="Arial"/>
                <w:i/>
                <w:color w:val="000000"/>
                <w:sz w:val="20"/>
              </w:rPr>
              <w:t>Mid-Atlantic Coca-Cola</w:t>
            </w:r>
            <w:r>
              <w:rPr>
                <w:rFonts w:ascii="Arial" w:eastAsia="Arial" w:hAnsi="Arial" w:cs="Arial"/>
                <w:color w:val="000000"/>
                <w:sz w:val="20"/>
              </w:rPr>
              <w:t xml:space="preserve"> and holding that the sale of a combination of chances to win cash prizes and coupons was, in fact, gambling).</w:t>
            </w:r>
          </w:p>
          <w:p w:rsidR="004729FB" w:rsidRDefault="004729FB" w:rsidP="00713DA5">
            <w:pPr>
              <w:spacing w:before="200" w:line="260" w:lineRule="atLeast"/>
              <w:ind w:left="60" w:right="360"/>
              <w:jc w:val="both"/>
            </w:pPr>
            <w:r>
              <w:rPr>
                <w:rFonts w:ascii="Arial" w:eastAsia="Arial" w:hAnsi="Arial" w:cs="Arial"/>
                <w:color w:val="000000"/>
                <w:sz w:val="20"/>
              </w:rPr>
              <w:t xml:space="preserve">Section 12-204 prohibits keeping a house or other place for the purpose of selling or bartering lottery tickets. CRIM. LAW II § 12-204(a)(1). This applies to keeping a place in Maryland for the sale of out-of-state lottery tickets, even if the lottery is legal in the other state. 57 Op. Md. Att'y Gen. 346 (1972). Ownership of the place is not a prerequisite. </w:t>
            </w:r>
            <w:hyperlink r:id="rId871" w:history="1">
              <w:r>
                <w:rPr>
                  <w:rFonts w:ascii="Arial" w:eastAsia="Arial" w:hAnsi="Arial" w:cs="Arial"/>
                  <w:i/>
                  <w:color w:val="0077CC"/>
                  <w:sz w:val="20"/>
                  <w:u w:val="single"/>
                </w:rPr>
                <w:t>Williams v. State, 7 Md. App. 5, 252 A.2d 880 (1969).</w:t>
              </w:r>
            </w:hyperlink>
            <w:r>
              <w:rPr>
                <w:rFonts w:ascii="Arial" w:eastAsia="Arial" w:hAnsi="Arial" w:cs="Arial"/>
                <w:color w:val="000000"/>
                <w:sz w:val="20"/>
              </w:rPr>
              <w:t xml:space="preserve"> Section 12-204 also prohibits the owner of a house or office from permitting the use of the home or office for selling lottery tickets. CRIM. LAW II § 12-204(a)(2). As with gaming under § 12-102, § 12-204 requires scienter on the part of the property owner. </w:t>
            </w:r>
            <w:r>
              <w:rPr>
                <w:rFonts w:ascii="Arial" w:eastAsia="Arial" w:hAnsi="Arial" w:cs="Arial"/>
                <w:i/>
                <w:color w:val="000000"/>
                <w:sz w:val="20"/>
              </w:rPr>
              <w:t>See id.</w:t>
            </w:r>
            <w:r>
              <w:rPr>
                <w:rFonts w:ascii="Arial" w:eastAsia="Arial" w:hAnsi="Arial" w:cs="Arial"/>
                <w:color w:val="000000"/>
                <w:sz w:val="20"/>
              </w:rPr>
              <w:t xml:space="preserve"> § 12-204(b).</w:t>
            </w:r>
          </w:p>
          <w:p w:rsidR="004729FB" w:rsidRDefault="004729FB" w:rsidP="00713DA5">
            <w:pPr>
              <w:spacing w:before="200" w:line="260" w:lineRule="atLeast"/>
              <w:ind w:left="60" w:right="360"/>
              <w:jc w:val="both"/>
            </w:pPr>
            <w:r>
              <w:rPr>
                <w:rFonts w:ascii="Arial" w:eastAsia="Arial" w:hAnsi="Arial" w:cs="Arial"/>
                <w:color w:val="000000"/>
                <w:sz w:val="20"/>
              </w:rPr>
              <w:t xml:space="preserve">Section 12-205 prohibits possession of lottery devices or records, except for those issued by the State or another government. Section 12-206 prohibits publication of the account of a lottery not conducted by a government. </w:t>
            </w:r>
            <w:r>
              <w:rPr>
                <w:rFonts w:ascii="Arial" w:eastAsia="Arial" w:hAnsi="Arial" w:cs="Arial"/>
                <w:i/>
                <w:color w:val="000000"/>
                <w:sz w:val="20"/>
              </w:rPr>
              <w:t xml:space="preserve">See </w:t>
            </w:r>
            <w:hyperlink r:id="rId872" w:history="1">
              <w:r>
                <w:rPr>
                  <w:rFonts w:ascii="Arial" w:eastAsia="Arial" w:hAnsi="Arial" w:cs="Arial"/>
                  <w:i/>
                  <w:color w:val="0077CC"/>
                  <w:sz w:val="20"/>
                  <w:u w:val="single"/>
                </w:rPr>
                <w:t>Silbert v. State, 12 Md. App. 516, 280 A.2d 55,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720 (1971).</w:t>
            </w:r>
            <w:r>
              <w:rPr>
                <w:rFonts w:ascii="Arial" w:eastAsia="Arial" w:hAnsi="Arial" w:cs="Arial"/>
                <w:color w:val="000000"/>
                <w:sz w:val="20"/>
              </w:rPr>
              <w:t xml:space="preserve"> Section 12-207 prohibits insuring for or against drawing a lottery ticket.</w:t>
            </w:r>
          </w:p>
          <w:p w:rsidR="004729FB" w:rsidRDefault="004729FB" w:rsidP="00713DA5">
            <w:pPr>
              <w:spacing w:before="200" w:line="260" w:lineRule="atLeast"/>
              <w:ind w:left="60" w:right="360"/>
              <w:jc w:val="both"/>
            </w:pPr>
            <w:r>
              <w:rPr>
                <w:rFonts w:ascii="Arial" w:eastAsia="Arial" w:hAnsi="Arial" w:cs="Arial"/>
                <w:color w:val="000000"/>
                <w:sz w:val="20"/>
              </w:rPr>
              <w:t xml:space="preserve">Maryland's counties have the authority to regulate and license bingo, raffles, and other gaming activities conducted by nonprofit and charitable organizations. The state gaming and lottery laws are generally inapplicable to these entities. </w:t>
            </w:r>
            <w:r>
              <w:rPr>
                <w:rFonts w:ascii="Arial" w:eastAsia="Arial" w:hAnsi="Arial" w:cs="Arial"/>
                <w:i/>
                <w:color w:val="000000"/>
                <w:sz w:val="20"/>
              </w:rPr>
              <w:t>See generally</w:t>
            </w:r>
            <w:r>
              <w:rPr>
                <w:rFonts w:ascii="Arial" w:eastAsia="Arial" w:hAnsi="Arial" w:cs="Arial"/>
                <w:color w:val="000000"/>
                <w:sz w:val="20"/>
              </w:rPr>
              <w:t xml:space="preserve"> CRIM. LAW II §§ 13-101-13-205, and laws regulating specific counties, §§ 13-301-13-302 (Allegany County); §§ 13-401-13-408 (Anne Arundel County); §§ 13-501-13-510 (Baltimore City); §§ 13-601-13-607 (Baltimore County); §§ 13-701-13-709 (Calvert County); § 13-801 (Caroline County); §§ 13-901-13-909 (Carroll County); §§ 13-1001-13-1005 (Cecil County); §§ 13-1101-13-1115 (Charles County); §§ 13-1201-13-1207 (Dorchester County); §§ 13-1301-13-1307 (Frederick County); §§ 13-1401-13-1406 (Garrett County); §§ 13-1501-13-1512 (Harford County); §§ 13-1601-13-1604 (Howard County); §§ 13-1701-13-1706 (Kent County); §§ 13-1801-13-1815 (Montgomery County); §§ 13-1901-13-1912 (Prince George's County); §§ 13-2001-13-2006 (Queen Anne's County); §§ 13-2101-13-2115 (St. </w:t>
            </w:r>
            <w:r>
              <w:rPr>
                <w:rFonts w:ascii="Arial" w:eastAsia="Arial" w:hAnsi="Arial" w:cs="Arial"/>
                <w:color w:val="000000"/>
                <w:sz w:val="20"/>
              </w:rPr>
              <w:lastRenderedPageBreak/>
              <w:t>Mary's County); §§ 13-2201-13-2202 (Somerset County); § 13-2301 (Talbot County); §§ 13-2401-13-2439 (Washington County); §§ 13-2501-13-2508 (Wicomico County); §§ 13-2601-13-2628 (Worcester County).</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13" style="position:absolute;left:0;text-align:left;z-index:25183436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3" name="Picture 6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79" w:history="1">
        <w:r>
          <w:rPr>
            <w:rFonts w:ascii="Arial" w:eastAsia="Arial" w:hAnsi="Arial" w:cs="Arial"/>
            <w:b/>
            <w:bCs/>
            <w:i/>
            <w:color w:val="0077CC"/>
            <w:kern w:val="32"/>
            <w:sz w:val="28"/>
            <w:szCs w:val="32"/>
            <w:u w:val="single"/>
          </w:rPr>
          <w:t>MPJI-Cr 4:16.1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GANG PARTICIPATION</w:t>
      </w:r>
    </w:p>
    <w:p w:rsidR="004729FB" w:rsidRDefault="004729FB" w:rsidP="004729FB">
      <w:pPr>
        <w:keepNext/>
        <w:spacing w:before="240" w:line="340" w:lineRule="atLeast"/>
      </w:pPr>
      <w:r>
        <w:br/>
      </w:r>
      <w:r>
        <w:rPr>
          <w:rFonts w:ascii="Arial" w:eastAsia="Arial" w:hAnsi="Arial" w:cs="Arial"/>
          <w:b/>
          <w:color w:val="000000"/>
          <w:sz w:val="28"/>
        </w:rPr>
        <w:t>4:16.1Gang Participation</w:t>
      </w:r>
    </w:p>
    <w:p w:rsidR="004729FB" w:rsidRDefault="004729FB" w:rsidP="004729FB">
      <w:pPr>
        <w:spacing w:line="60" w:lineRule="exact"/>
      </w:pPr>
      <w:r>
        <w:pict>
          <v:line id="_x0000_s1204" style="position:absolute;z-index:2518251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participation in a criminal gang [resulting in the death of a victim]. In order to convict the defendant of the crime of participation in a criminal gang [resulting in the death of a victim],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participated in a criminal gang, knowing that the members of the gang were engaged in a pattern of criminal gang activity</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 knowingly and willfully participated in or directed another to participate in the crime of (</w:t>
      </w:r>
      <w:r>
        <w:rPr>
          <w:rFonts w:ascii="Arial" w:eastAsia="Arial" w:hAnsi="Arial" w:cs="Arial"/>
          <w:b/>
          <w:color w:val="000000"/>
          <w:sz w:val="20"/>
          <w:u w:val="single"/>
        </w:rPr>
        <w:t>insert underlying crime(s)</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(3) the crime(s) of (</w:t>
      </w:r>
      <w:r>
        <w:rPr>
          <w:rFonts w:ascii="Arial" w:eastAsia="Arial" w:hAnsi="Arial" w:cs="Arial"/>
          <w:b/>
          <w:color w:val="000000"/>
          <w:sz w:val="20"/>
          <w:u w:val="single"/>
        </w:rPr>
        <w:t>insert underlying crime(s)</w:t>
      </w:r>
      <w:r>
        <w:rPr>
          <w:rFonts w:ascii="Arial" w:eastAsia="Arial" w:hAnsi="Arial" w:cs="Arial"/>
          <w:b/>
          <w:color w:val="000000"/>
          <w:sz w:val="20"/>
        </w:rPr>
        <w:t>) was committed for the benefit of, at the direction of, or in association with the criminal gang[.] [; and]</w:t>
      </w:r>
    </w:p>
    <w:p w:rsidR="004729FB" w:rsidRDefault="004729FB" w:rsidP="004729FB">
      <w:pPr>
        <w:spacing w:before="200" w:line="260" w:lineRule="atLeast"/>
        <w:ind w:left="800"/>
        <w:jc w:val="both"/>
      </w:pPr>
      <w:r>
        <w:rPr>
          <w:rFonts w:ascii="Arial" w:eastAsia="Arial" w:hAnsi="Arial" w:cs="Arial"/>
          <w:b/>
          <w:color w:val="000000"/>
          <w:sz w:val="20"/>
        </w:rPr>
        <w:t>[(4) as a result of the commission of (</w:t>
      </w:r>
      <w:r>
        <w:rPr>
          <w:rFonts w:ascii="Arial" w:eastAsia="Arial" w:hAnsi="Arial" w:cs="Arial"/>
          <w:b/>
          <w:color w:val="000000"/>
          <w:sz w:val="20"/>
          <w:u w:val="single"/>
        </w:rPr>
        <w:t>insert underlying crime(s)</w:t>
      </w:r>
      <w:r>
        <w:rPr>
          <w:rFonts w:ascii="Arial" w:eastAsia="Arial" w:hAnsi="Arial" w:cs="Arial"/>
          <w:b/>
          <w:color w:val="000000"/>
          <w:sz w:val="20"/>
        </w:rPr>
        <w:t>), (</w:t>
      </w:r>
      <w:r>
        <w:rPr>
          <w:rFonts w:ascii="Arial" w:eastAsia="Arial" w:hAnsi="Arial" w:cs="Arial"/>
          <w:b/>
          <w:color w:val="000000"/>
          <w:sz w:val="20"/>
          <w:u w:val="single"/>
        </w:rPr>
        <w:t>the victim's name</w:t>
      </w:r>
      <w:r>
        <w:rPr>
          <w:rFonts w:ascii="Arial" w:eastAsia="Arial" w:hAnsi="Arial" w:cs="Arial"/>
          <w:b/>
          <w:color w:val="000000"/>
          <w:sz w:val="20"/>
        </w:rPr>
        <w:t>) died.]</w:t>
      </w:r>
    </w:p>
    <w:p w:rsidR="004729FB" w:rsidRDefault="004729FB" w:rsidP="004729FB">
      <w:pPr>
        <w:spacing w:before="200" w:line="260" w:lineRule="atLeast"/>
        <w:jc w:val="both"/>
      </w:pPr>
      <w:r>
        <w:rPr>
          <w:rFonts w:ascii="Arial" w:eastAsia="Arial" w:hAnsi="Arial" w:cs="Arial"/>
          <w:b/>
          <w:color w:val="000000"/>
          <w:sz w:val="20"/>
        </w:rPr>
        <w:t>A "criminal gang" is a group or association of three or more people whose members individually or collectively engage in a pattern of criminal gang activity; have in common an overt or covert organization or command structure; and have as one of their primary objectives or activities the commission of one or more of the following underlying crimes: (</w:t>
      </w:r>
      <w:r>
        <w:rPr>
          <w:rFonts w:ascii="Arial" w:eastAsia="Arial" w:hAnsi="Arial" w:cs="Arial"/>
          <w:b/>
          <w:color w:val="000000"/>
          <w:sz w:val="20"/>
          <w:u w:val="single"/>
        </w:rPr>
        <w:t>insert underlying crime(s)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"pattern of criminal gang activity" means the commission of, attempted commission of, conspiracy to commit, or solicitation to commit two or more of the following crimes: (</w:t>
      </w:r>
      <w:r>
        <w:rPr>
          <w:rFonts w:ascii="Arial" w:eastAsia="Arial" w:hAnsi="Arial" w:cs="Arial"/>
          <w:b/>
          <w:color w:val="000000"/>
          <w:sz w:val="20"/>
          <w:u w:val="single"/>
        </w:rPr>
        <w:t>insert underlying crime(s)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To prove the crime of participation in a criminal gang, the state must prove, first, that the defendant "knowingly and willfully participated in or directed another to participate in" one of the statutorily listed crimes "for the benefit of, at the direction of, or in association with the criminal gang," CRIM. LAW II § 9-804(a)(2), and second, that the gang has engaged in a "pattern of criminal gang activity," which means "the commission of, attempted commission of, conspiracy to commit, or solicitation to commit two or more" of the statutorily listed crimes. CRIM. LAW II § 9-804(a)(1). In </w:t>
            </w:r>
            <w:r>
              <w:rPr>
                <w:rFonts w:ascii="Arial" w:eastAsia="Arial" w:hAnsi="Arial" w:cs="Arial"/>
                <w:i/>
                <w:color w:val="000000"/>
                <w:sz w:val="20"/>
              </w:rPr>
              <w:t>In re Kevin T.</w:t>
            </w:r>
            <w:r>
              <w:rPr>
                <w:rFonts w:ascii="Arial" w:eastAsia="Arial" w:hAnsi="Arial" w:cs="Arial"/>
                <w:color w:val="000000"/>
                <w:sz w:val="20"/>
              </w:rPr>
              <w:t xml:space="preserve">, the Court held that there was insufficient evidence to support the juvenile court's delinquency finding based on Kevin T's alleged participation in a criminal gang. </w:t>
            </w:r>
            <w:hyperlink r:id="rId880" w:history="1">
              <w:r>
                <w:rPr>
                  <w:rFonts w:ascii="Arial" w:eastAsia="Arial" w:hAnsi="Arial" w:cs="Arial"/>
                  <w:i/>
                  <w:color w:val="0077CC"/>
                  <w:sz w:val="20"/>
                  <w:u w:val="single"/>
                </w:rPr>
                <w:t>222 Md. App. 671, 114 A.3d 297 (2015).</w:t>
              </w:r>
            </w:hyperlink>
            <w:r>
              <w:rPr>
                <w:rFonts w:ascii="Arial" w:eastAsia="Arial" w:hAnsi="Arial" w:cs="Arial"/>
                <w:color w:val="000000"/>
                <w:sz w:val="20"/>
              </w:rPr>
              <w:t xml:space="preserve"> The Court found that the state had failed to prove that the gang in which Kevin T. participated, MS-13, "was engaged in a 'pattern of criminal </w:t>
            </w:r>
            <w:r>
              <w:rPr>
                <w:rFonts w:ascii="Arial" w:eastAsia="Arial" w:hAnsi="Arial" w:cs="Arial"/>
                <w:color w:val="000000"/>
                <w:sz w:val="20"/>
              </w:rPr>
              <w:lastRenderedPageBreak/>
              <w:t xml:space="preserve">gang activity,' i.e., that members of the gang actually committed (or attempted to commit) two or more acts of specified criminal conduct." </w:t>
            </w:r>
            <w:hyperlink r:id="rId881" w:history="1">
              <w:r>
                <w:rPr>
                  <w:rFonts w:ascii="Arial" w:eastAsia="Arial" w:hAnsi="Arial" w:cs="Arial"/>
                  <w:i/>
                  <w:color w:val="0077CC"/>
                  <w:sz w:val="20"/>
                  <w:u w:val="single"/>
                </w:rPr>
                <w:t>Id. at 678, 114 A.3d at 301.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882" w:history="1">
              <w:r>
                <w:rPr>
                  <w:rFonts w:ascii="Arial" w:eastAsia="Arial" w:hAnsi="Arial" w:cs="Arial"/>
                  <w:i/>
                  <w:color w:val="0077CC"/>
                  <w:sz w:val="20"/>
                  <w:u w:val="single"/>
                </w:rPr>
                <w:t>Marshall v. State, 213 Md. App. 532, 74 A.3d 831 (2013),</w:t>
              </w:r>
            </w:hyperlink>
            <w:r>
              <w:rPr>
                <w:rFonts w:ascii="Arial" w:eastAsia="Arial" w:hAnsi="Arial" w:cs="Arial"/>
                <w:color w:val="000000"/>
                <w:sz w:val="20"/>
              </w:rPr>
              <w:t xml:space="preserve"> a gang prosecution under § 9-804, the Court made it clear that evidence of a prior crime that satisfies the "underlying crime" test is an exception to MD. RULE 5-404(b). The evidence is not offered merely as character evidence, but rather as direct evidence to satisfy the requirements of CRIM. LAW II § 9-804. In </w:t>
            </w:r>
            <w:r>
              <w:rPr>
                <w:rFonts w:ascii="Arial" w:eastAsia="Arial" w:hAnsi="Arial" w:cs="Arial"/>
                <w:i/>
                <w:color w:val="000000"/>
                <w:sz w:val="20"/>
              </w:rPr>
              <w:t>Marshall</w:t>
            </w:r>
            <w:r>
              <w:rPr>
                <w:rFonts w:ascii="Arial" w:eastAsia="Arial" w:hAnsi="Arial" w:cs="Arial"/>
                <w:color w:val="000000"/>
                <w:sz w:val="20"/>
              </w:rPr>
              <w:t xml:space="preserve">, the "other crimes" evidence was offered to prove the "pattern of criminal gang activity" element of § 9-804(a)(1) and "Marshall's participation in a 'criminal gang.'" </w:t>
            </w:r>
            <w:hyperlink r:id="rId883" w:history="1">
              <w:r>
                <w:rPr>
                  <w:rFonts w:ascii="Arial" w:eastAsia="Arial" w:hAnsi="Arial" w:cs="Arial"/>
                  <w:i/>
                  <w:color w:val="0077CC"/>
                  <w:sz w:val="20"/>
                  <w:u w:val="single"/>
                </w:rPr>
                <w:t>213 Md. at 546, 74 A.3d at 839.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To be admissible, evidence of a defendant's participation in a gang in prosecutions for crimes other than participation in a criminal gang must meet a two-part test. First, there must be fact evidence showing the crime was related to gang membership. Second, assuming this threshold is met, the trial court must decide whether the probative value of the gang evidence is substantially outweighed by the danger of unfair prejudice. In </w:t>
            </w:r>
            <w:hyperlink r:id="rId884" w:history="1">
              <w:r>
                <w:rPr>
                  <w:rFonts w:ascii="Arial" w:eastAsia="Arial" w:hAnsi="Arial" w:cs="Arial"/>
                  <w:i/>
                  <w:color w:val="0077CC"/>
                  <w:sz w:val="20"/>
                  <w:u w:val="single"/>
                </w:rPr>
                <w:t>Burris v. State, 435 Md. 370, 78 A.3d 371 (2013),</w:t>
              </w:r>
            </w:hyperlink>
            <w:r>
              <w:rPr>
                <w:rFonts w:ascii="Arial" w:eastAsia="Arial" w:hAnsi="Arial" w:cs="Arial"/>
                <w:color w:val="000000"/>
                <w:sz w:val="20"/>
              </w:rPr>
              <w:t xml:space="preserve"> the Court found that the State had met the first test but failed the second. Burris was convicted of first degree murder and use of a handgun in a crime of violence. There was testimony that he was a "hit man" in the Black Guerrilla Family (BGF) and that he executed the victim for the BGF. The Court said: "Such evidence was sufficient to establish a nexus between BGF and the crime for which Burris was on trial." </w:t>
            </w:r>
            <w:hyperlink r:id="rId885" w:history="1">
              <w:r>
                <w:rPr>
                  <w:rFonts w:ascii="Arial" w:eastAsia="Arial" w:hAnsi="Arial" w:cs="Arial"/>
                  <w:i/>
                  <w:color w:val="0077CC"/>
                  <w:sz w:val="20"/>
                  <w:u w:val="single"/>
                </w:rPr>
                <w:t>Burris, 435 Md. at 391-392, 78 A.3d at 384.</w:t>
              </w:r>
            </w:hyperlink>
            <w:r>
              <w:rPr>
                <w:rFonts w:ascii="Arial" w:eastAsia="Arial" w:hAnsi="Arial" w:cs="Arial"/>
                <w:color w:val="000000"/>
                <w:sz w:val="20"/>
              </w:rPr>
              <w:t xml:space="preserve"> The Court reversed the convictions, however, finding that the second test had not been satisfied. It said:</w:t>
            </w:r>
          </w:p>
          <w:p w:rsidR="004729FB" w:rsidRDefault="004729FB" w:rsidP="00713DA5">
            <w:pPr>
              <w:spacing w:before="60" w:line="260" w:lineRule="atLeast"/>
              <w:ind w:left="460" w:right="360"/>
              <w:jc w:val="both"/>
            </w:pPr>
            <w:r>
              <w:rPr>
                <w:rFonts w:ascii="Arial" w:eastAsia="Arial" w:hAnsi="Arial" w:cs="Arial"/>
                <w:color w:val="000000"/>
                <w:sz w:val="20"/>
              </w:rPr>
              <w:t>Having determined the threshold for admissibility of gang evidence was met, however, does not end our inquiry, as we still must determine whether the evidence should have been excluded because "its probative value is substantially outweighed by the danger of unfair prejudice" or because it was "needless presentation of cumulative evidence." Rule 5-403. In the present case, the probative value of [the] testimony was substantially outweighed by the danger of unfair prejudice and in some instances cumulative of other evidence adduced at trial.</w:t>
            </w:r>
          </w:p>
          <w:p w:rsidR="004729FB" w:rsidRDefault="004729FB" w:rsidP="00713DA5">
            <w:pPr>
              <w:spacing w:before="240" w:line="260" w:lineRule="atLeast"/>
              <w:ind w:left="60" w:right="360"/>
              <w:jc w:val="both"/>
            </w:pPr>
            <w:hyperlink r:id="rId886" w:history="1">
              <w:r>
                <w:rPr>
                  <w:rFonts w:ascii="Arial" w:eastAsia="Arial" w:hAnsi="Arial" w:cs="Arial"/>
                  <w:i/>
                  <w:color w:val="0077CC"/>
                  <w:sz w:val="20"/>
                  <w:u w:val="single"/>
                </w:rPr>
                <w:t>Id. at 392, 78 A.3d at 384.</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14" style="position:absolute;left:0;text-align:left;z-index:25183539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887"/>
          <w:headerReference w:type="default" r:id="rId888"/>
          <w:footerReference w:type="even" r:id="rId889"/>
          <w:footerReference w:type="default" r:id="rId890"/>
          <w:headerReference w:type="first" r:id="rId891"/>
          <w:footerReference w:type="first" r:id="rId89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2" name="Picture 6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893" w:history="1">
        <w:r>
          <w:rPr>
            <w:rFonts w:ascii="Arial" w:eastAsia="Arial" w:hAnsi="Arial" w:cs="Arial"/>
            <w:b/>
            <w:bCs/>
            <w:i/>
            <w:color w:val="0077CC"/>
            <w:kern w:val="32"/>
            <w:sz w:val="28"/>
            <w:szCs w:val="32"/>
            <w:u w:val="single"/>
          </w:rPr>
          <w:t>MPJI-Cr 4:17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AND SECOND DEGREE SPECIFIC INTENT MURDER (NO JUSTIFICATION OR MITIGATION GENERATED)</w:t>
      </w:r>
    </w:p>
    <w:p w:rsidR="004729FB" w:rsidRDefault="004729FB" w:rsidP="004729FB">
      <w:pPr>
        <w:keepNext/>
        <w:spacing w:before="240" w:line="340" w:lineRule="atLeast"/>
      </w:pPr>
      <w:r>
        <w:br/>
      </w:r>
      <w:r>
        <w:rPr>
          <w:rFonts w:ascii="Arial" w:eastAsia="Arial" w:hAnsi="Arial" w:cs="Arial"/>
          <w:b/>
          <w:color w:val="000000"/>
          <w:sz w:val="28"/>
        </w:rPr>
        <w:t>4:17Homicide--First Degree Premeditated Murder and Second Degree Specific Intent Murder (No Justification or Mitigation Generated)</w:t>
      </w:r>
    </w:p>
    <w:p w:rsidR="004729FB" w:rsidRDefault="004729FB" w:rsidP="004729FB">
      <w:pPr>
        <w:spacing w:line="60" w:lineRule="exact"/>
      </w:pPr>
      <w:r>
        <w:pict>
          <v:line id="_x0000_s1205" style="position:absolute;z-index:2518261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and second degree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Deliberate means that the defendant was conscious of the intent to kill</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The Committee has established 14 sets of homicide instructions, each designed to be a self-contained packet of instructions for a particular homicide situation. Homicide is the killing of one human being by another human being and includes first degree murder, second degree murder, manslaughter, and non-criminal justified or excused homicide. The Committee did not distinguish between justified homicides and excused homicides. Rather, the term justification was used for all non-criminal homicides.</w:t>
            </w:r>
          </w:p>
          <w:p w:rsidR="004729FB" w:rsidRDefault="004729FB" w:rsidP="00713DA5">
            <w:pPr>
              <w:spacing w:before="200" w:line="260" w:lineRule="atLeast"/>
              <w:ind w:left="60" w:right="360"/>
              <w:jc w:val="both"/>
            </w:pPr>
            <w:r>
              <w:rPr>
                <w:rFonts w:ascii="Arial" w:eastAsia="Arial" w:hAnsi="Arial" w:cs="Arial"/>
                <w:color w:val="000000"/>
                <w:sz w:val="20"/>
              </w:rPr>
              <w:t>The distinction between justifiable and excusable homicide was once of importance, due to the fact that excusable homicide was punished by forfeiture of goods, while no punishment of any kind followed justifiable homicide. At the present day, the exemption from any punishment is as full in the one case as in the other. Neither entails any responsibility, so the distinction is no longer of any practical importance. Generally speaking, they are used synonymously. JUSTIN MILLER, HANDBOOK OF CRIMINAL LAW 255-56 (1934).</w:t>
            </w:r>
          </w:p>
          <w:p w:rsidR="004729FB" w:rsidRDefault="004729FB" w:rsidP="00713DA5">
            <w:pPr>
              <w:spacing w:before="200" w:line="260" w:lineRule="atLeast"/>
              <w:ind w:left="60" w:right="360"/>
              <w:jc w:val="both"/>
            </w:pPr>
            <w:r>
              <w:rPr>
                <w:rFonts w:ascii="Arial" w:eastAsia="Arial" w:hAnsi="Arial" w:cs="Arial"/>
                <w:color w:val="000000"/>
                <w:sz w:val="20"/>
              </w:rPr>
              <w:t xml:space="preserve">There are three threshold issues for all criminal homicides. The first is the requirement of a victim whose death was caused criminally. However, the State need not produce direct evidence of the victim's body or the fact of death. </w:t>
            </w:r>
            <w:hyperlink r:id="rId894" w:history="1">
              <w:r>
                <w:rPr>
                  <w:rFonts w:ascii="Arial" w:eastAsia="Arial" w:hAnsi="Arial" w:cs="Arial"/>
                  <w:i/>
                  <w:color w:val="0077CC"/>
                  <w:sz w:val="20"/>
                  <w:u w:val="single"/>
                </w:rPr>
                <w:t>Riggins v. State, 155 Md. App. 181, 211, 843 A.2d 115, 132</w:t>
              </w:r>
            </w:hyperlink>
            <w:r>
              <w:rPr>
                <w:rFonts w:ascii="Arial" w:eastAsia="Arial" w:hAnsi="Arial" w:cs="Arial"/>
                <w:color w:val="000000"/>
                <w:sz w:val="20"/>
              </w:rPr>
              <w:t xml:space="preserve"> ("Clearly, a murder conviction is not dependent upon the recovery of the victim's body."),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381 Md. 676, 851 A.2d 595 (2004);</w:t>
            </w:r>
            <w:r>
              <w:rPr>
                <w:rFonts w:ascii="Arial" w:eastAsia="Arial" w:hAnsi="Arial" w:cs="Arial"/>
                <w:color w:val="000000"/>
                <w:sz w:val="20"/>
              </w:rPr>
              <w:t xml:space="preserve"> </w:t>
            </w:r>
            <w:hyperlink r:id="rId895" w:history="1">
              <w:r>
                <w:rPr>
                  <w:rFonts w:ascii="Arial" w:eastAsia="Arial" w:hAnsi="Arial" w:cs="Arial"/>
                  <w:i/>
                  <w:color w:val="0077CC"/>
                  <w:sz w:val="20"/>
                  <w:u w:val="single"/>
                </w:rPr>
                <w:t>Hurley v. State, 60 Md. App. 539, 549-54, 483 A.2d 1298, 1303-05 (1984)</w:t>
              </w:r>
            </w:hyperlink>
            <w:r>
              <w:rPr>
                <w:rFonts w:ascii="Arial" w:eastAsia="Arial" w:hAnsi="Arial" w:cs="Arial"/>
                <w:color w:val="000000"/>
                <w:sz w:val="20"/>
              </w:rPr>
              <w:t xml:space="preserve"> (holding that strong circumstantial evidence of criminal homicide is sufficient),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302 Md. 409, 488 A.2d 500 (1985).</w:t>
            </w:r>
          </w:p>
          <w:p w:rsidR="004729FB" w:rsidRDefault="004729FB" w:rsidP="00713DA5">
            <w:pPr>
              <w:spacing w:before="200" w:line="260" w:lineRule="atLeast"/>
              <w:ind w:left="60" w:right="360"/>
              <w:jc w:val="both"/>
            </w:pPr>
            <w:r>
              <w:rPr>
                <w:rFonts w:ascii="Arial" w:eastAsia="Arial" w:hAnsi="Arial" w:cs="Arial"/>
                <w:color w:val="000000"/>
                <w:sz w:val="20"/>
              </w:rPr>
              <w:t xml:space="preserve">The second issue is the requirement that the victim be a living human being at the time of the homicidal act. At one end of the chronology, the victim must be born alive and then die, which requires that the fetus be fully brought forth and have an independent circulation. </w:t>
            </w:r>
            <w:r>
              <w:rPr>
                <w:rFonts w:ascii="Arial" w:eastAsia="Arial" w:hAnsi="Arial" w:cs="Arial"/>
                <w:i/>
                <w:color w:val="000000"/>
                <w:sz w:val="20"/>
              </w:rPr>
              <w:t xml:space="preserve">See </w:t>
            </w:r>
            <w:hyperlink r:id="rId896" w:history="1">
              <w:r>
                <w:rPr>
                  <w:rFonts w:ascii="Arial" w:eastAsia="Arial" w:hAnsi="Arial" w:cs="Arial"/>
                  <w:i/>
                  <w:color w:val="0077CC"/>
                  <w:sz w:val="20"/>
                  <w:u w:val="single"/>
                </w:rPr>
                <w:t>Williams v. State, 316 Md. 677, 561 A.2d 216 (1989)</w:t>
              </w:r>
            </w:hyperlink>
            <w:r>
              <w:rPr>
                <w:rFonts w:ascii="Arial" w:eastAsia="Arial" w:hAnsi="Arial" w:cs="Arial"/>
                <w:color w:val="000000"/>
                <w:sz w:val="20"/>
              </w:rPr>
              <w:t xml:space="preserve"> (holding that a child who was born alive and then died can be a homicide victim based on an injury sustained while in utero).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10.00, at 597-602 (7th ed. 1967); WAYNE R. LAFAVE, CRIMINAL LAW § 14.1(c), at 767-70 (5th ed. 2010); ROLLIN M. PERKINS &amp; RONALD N. BOYCE, CRIMINAL LAW 49-53 (3d ed. 1982); Note, </w:t>
            </w:r>
            <w:r>
              <w:rPr>
                <w:rFonts w:ascii="Arial" w:eastAsia="Arial" w:hAnsi="Arial" w:cs="Arial"/>
                <w:i/>
                <w:color w:val="000000"/>
                <w:sz w:val="20"/>
              </w:rPr>
              <w:t>The Killing of a Viable Fetus Is Murder--Keeler v. Superior Court</w:t>
            </w:r>
            <w:r>
              <w:rPr>
                <w:rFonts w:ascii="Arial" w:eastAsia="Arial" w:hAnsi="Arial" w:cs="Arial"/>
                <w:color w:val="000000"/>
                <w:sz w:val="20"/>
              </w:rPr>
              <w:t>, 30 MD. L. REV. 137 (1970).</w:t>
            </w:r>
          </w:p>
          <w:p w:rsidR="004729FB" w:rsidRDefault="004729FB" w:rsidP="00713DA5">
            <w:pPr>
              <w:spacing w:before="200" w:line="260" w:lineRule="atLeast"/>
              <w:ind w:left="60" w:right="360"/>
              <w:jc w:val="both"/>
            </w:pPr>
            <w:r>
              <w:rPr>
                <w:rFonts w:ascii="Arial" w:eastAsia="Arial" w:hAnsi="Arial" w:cs="Arial"/>
                <w:color w:val="000000"/>
                <w:sz w:val="20"/>
              </w:rPr>
              <w:t xml:space="preserve">At the other end of the chronology, the victim must still be alive at the time of the homicidal act. CLARK &amp; MARSHALL, </w:t>
            </w:r>
            <w:r>
              <w:rPr>
                <w:rFonts w:ascii="Arial" w:eastAsia="Arial" w:hAnsi="Arial" w:cs="Arial"/>
                <w:i/>
                <w:color w:val="000000"/>
                <w:sz w:val="20"/>
              </w:rPr>
              <w:t>supra</w:t>
            </w:r>
            <w:r>
              <w:rPr>
                <w:rFonts w:ascii="Arial" w:eastAsia="Arial" w:hAnsi="Arial" w:cs="Arial"/>
                <w:color w:val="000000"/>
                <w:sz w:val="20"/>
              </w:rPr>
              <w:t xml:space="preserve">, § 10.00, at 598-602; LAFAVE, </w:t>
            </w:r>
            <w:r>
              <w:rPr>
                <w:rFonts w:ascii="Arial" w:eastAsia="Arial" w:hAnsi="Arial" w:cs="Arial"/>
                <w:i/>
                <w:color w:val="000000"/>
                <w:sz w:val="20"/>
              </w:rPr>
              <w:t>supra</w:t>
            </w:r>
            <w:r>
              <w:rPr>
                <w:rFonts w:ascii="Arial" w:eastAsia="Arial" w:hAnsi="Arial" w:cs="Arial"/>
                <w:color w:val="000000"/>
                <w:sz w:val="20"/>
              </w:rPr>
              <w:t xml:space="preserve">, § 14.1(d), at 770-73; PERKINS &amp; BOYCE, </w:t>
            </w:r>
            <w:r>
              <w:rPr>
                <w:rFonts w:ascii="Arial" w:eastAsia="Arial" w:hAnsi="Arial" w:cs="Arial"/>
                <w:i/>
                <w:color w:val="000000"/>
                <w:sz w:val="20"/>
              </w:rPr>
              <w:t>supra</w:t>
            </w:r>
            <w:r>
              <w:rPr>
                <w:rFonts w:ascii="Arial" w:eastAsia="Arial" w:hAnsi="Arial" w:cs="Arial"/>
                <w:color w:val="000000"/>
                <w:sz w:val="20"/>
              </w:rPr>
              <w:t>, at 48-49, 825. "An individual is dead if, based on ordinary standards of medical practice, the individual has sustained either: (1) [i]rreversible cessation of circulatory and respiratory functions; or (2) [i]rreversible cessation of all functions of the entire brain, including the brain stem." MD. CODE ANN., HEALTH-GENERAL I § 5-202(a) (2015 &amp; Supp. 2018).</w:t>
            </w:r>
          </w:p>
          <w:p w:rsidR="004729FB" w:rsidRDefault="004729FB" w:rsidP="00713DA5">
            <w:pPr>
              <w:spacing w:before="200" w:line="260" w:lineRule="atLeast"/>
              <w:ind w:left="60" w:right="360"/>
              <w:jc w:val="both"/>
            </w:pPr>
            <w:r>
              <w:rPr>
                <w:rFonts w:ascii="Arial" w:eastAsia="Arial" w:hAnsi="Arial" w:cs="Arial"/>
                <w:color w:val="000000"/>
                <w:sz w:val="20"/>
              </w:rPr>
              <w:t xml:space="preserve">The third threshold issue is the requirement of both factual and legal or proximate causation between the act or omission of the defendant and the death of the victim. The factual causation requirement is satisfied if the defendant's act or omission was a substantial factor in bringing about the death. Legal or proximate causation means that there must not have been a subsequent factual causation that intervened in such a manner as to supersede or replace the original factual causation. </w:t>
            </w:r>
            <w:r>
              <w:rPr>
                <w:rFonts w:ascii="Arial" w:eastAsia="Arial" w:hAnsi="Arial" w:cs="Arial"/>
                <w:i/>
                <w:color w:val="000000"/>
                <w:sz w:val="20"/>
              </w:rPr>
              <w:t>See generally</w:t>
            </w:r>
            <w:r>
              <w:rPr>
                <w:rFonts w:ascii="Arial" w:eastAsia="Arial" w:hAnsi="Arial" w:cs="Arial"/>
                <w:color w:val="000000"/>
                <w:sz w:val="20"/>
              </w:rPr>
              <w:t xml:space="preserve"> CLARK &amp; MARSHALL, </w:t>
            </w:r>
            <w:r>
              <w:rPr>
                <w:rFonts w:ascii="Arial" w:eastAsia="Arial" w:hAnsi="Arial" w:cs="Arial"/>
                <w:i/>
                <w:color w:val="000000"/>
                <w:sz w:val="20"/>
              </w:rPr>
              <w:t>supra</w:t>
            </w:r>
            <w:r>
              <w:rPr>
                <w:rFonts w:ascii="Arial" w:eastAsia="Arial" w:hAnsi="Arial" w:cs="Arial"/>
                <w:color w:val="000000"/>
                <w:sz w:val="20"/>
              </w:rPr>
              <w:t xml:space="preserve">, § 10.01, at 603-16; LAFAVE, </w:t>
            </w:r>
            <w:r>
              <w:rPr>
                <w:rFonts w:ascii="Arial" w:eastAsia="Arial" w:hAnsi="Arial" w:cs="Arial"/>
                <w:i/>
                <w:color w:val="000000"/>
                <w:sz w:val="20"/>
              </w:rPr>
              <w:t>supra</w:t>
            </w:r>
            <w:r>
              <w:rPr>
                <w:rFonts w:ascii="Arial" w:eastAsia="Arial" w:hAnsi="Arial" w:cs="Arial"/>
                <w:color w:val="000000"/>
                <w:sz w:val="20"/>
              </w:rPr>
              <w:t xml:space="preserve">, § 6.4-6.4(c), at 350-57; PERKINS &amp; BOYCE, </w:t>
            </w:r>
            <w:r>
              <w:rPr>
                <w:rFonts w:ascii="Arial" w:eastAsia="Arial" w:hAnsi="Arial" w:cs="Arial"/>
                <w:i/>
                <w:color w:val="000000"/>
                <w:sz w:val="20"/>
              </w:rPr>
              <w:t>supra</w:t>
            </w:r>
            <w:r>
              <w:rPr>
                <w:rFonts w:ascii="Arial" w:eastAsia="Arial" w:hAnsi="Arial" w:cs="Arial"/>
                <w:color w:val="000000"/>
                <w:sz w:val="20"/>
              </w:rPr>
              <w:t xml:space="preserve">, at 769-824. The Court of Appeals has stated that improper medical treatment is not an "independent supervening" cause of death unless the death results solely from the effects of the improper medical treatment. </w:t>
            </w:r>
            <w:hyperlink r:id="rId897" w:history="1">
              <w:r>
                <w:rPr>
                  <w:rFonts w:ascii="Arial" w:eastAsia="Arial" w:hAnsi="Arial" w:cs="Arial"/>
                  <w:i/>
                  <w:color w:val="0077CC"/>
                  <w:sz w:val="20"/>
                  <w:u w:val="single"/>
                </w:rPr>
                <w:t>DeVaughn v. State, 232 Md. 447, 454-56, 194 A.2d 109, 113-14 (1963)</w:t>
              </w:r>
            </w:hyperlink>
            <w:r>
              <w:rPr>
                <w:rFonts w:ascii="Arial" w:eastAsia="Arial" w:hAnsi="Arial" w:cs="Arial"/>
                <w:color w:val="000000"/>
                <w:sz w:val="20"/>
              </w:rPr>
              <w:t xml:space="preserve"> (victim died after complications arising from surgery necessitated by gunshot wound),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376 U.S. 927 (1964).</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A homicide prosecution may be instituted regardless of the time elapsed between the infliction of the fatal injury--by act or omission--and the death of the victim. </w:t>
            </w:r>
            <w:r>
              <w:rPr>
                <w:rFonts w:ascii="Arial" w:eastAsia="Arial" w:hAnsi="Arial" w:cs="Arial"/>
                <w:i/>
                <w:color w:val="000000"/>
                <w:sz w:val="20"/>
              </w:rPr>
              <w:t>See</w:t>
            </w:r>
            <w:r>
              <w:rPr>
                <w:rFonts w:ascii="Arial" w:eastAsia="Arial" w:hAnsi="Arial" w:cs="Arial"/>
                <w:color w:val="000000"/>
                <w:sz w:val="20"/>
              </w:rPr>
              <w:t xml:space="preserve"> CRIM. LAW I § 2-102 (abolishing the "year-and-a-day" rule).</w:t>
            </w:r>
          </w:p>
          <w:p w:rsidR="004729FB" w:rsidRDefault="004729FB" w:rsidP="00713DA5">
            <w:pPr>
              <w:spacing w:before="200" w:line="260" w:lineRule="atLeast"/>
              <w:ind w:left="60" w:right="360"/>
              <w:jc w:val="both"/>
            </w:pPr>
            <w:r>
              <w:rPr>
                <w:rFonts w:ascii="Arial" w:eastAsia="Arial" w:hAnsi="Arial" w:cs="Arial"/>
                <w:color w:val="000000"/>
                <w:sz w:val="20"/>
              </w:rPr>
              <w:t xml:space="preserve">Murder is the felonious killing of one human being by another human being with malice. </w:t>
            </w:r>
            <w:r>
              <w:rPr>
                <w:rFonts w:ascii="Arial" w:eastAsia="Arial" w:hAnsi="Arial" w:cs="Arial"/>
                <w:i/>
                <w:color w:val="000000"/>
                <w:sz w:val="20"/>
              </w:rPr>
              <w:t>See generally</w:t>
            </w:r>
            <w:r>
              <w:rPr>
                <w:rFonts w:ascii="Arial" w:eastAsia="Arial" w:hAnsi="Arial" w:cs="Arial"/>
                <w:color w:val="000000"/>
                <w:sz w:val="20"/>
              </w:rPr>
              <w:t xml:space="preserve"> CLARK &amp; MARSHALL, </w:t>
            </w:r>
            <w:r>
              <w:rPr>
                <w:rFonts w:ascii="Arial" w:eastAsia="Arial" w:hAnsi="Arial" w:cs="Arial"/>
                <w:i/>
                <w:color w:val="000000"/>
                <w:sz w:val="20"/>
              </w:rPr>
              <w:t>supra</w:t>
            </w:r>
            <w:r>
              <w:rPr>
                <w:rFonts w:ascii="Arial" w:eastAsia="Arial" w:hAnsi="Arial" w:cs="Arial"/>
                <w:color w:val="000000"/>
                <w:sz w:val="20"/>
              </w:rPr>
              <w:t xml:space="preserve">, §§ 10.04-10.06, at 628-56; LAFAVE, </w:t>
            </w:r>
            <w:r>
              <w:rPr>
                <w:rFonts w:ascii="Arial" w:eastAsia="Arial" w:hAnsi="Arial" w:cs="Arial"/>
                <w:i/>
                <w:color w:val="000000"/>
                <w:sz w:val="20"/>
              </w:rPr>
              <w:t>supra</w:t>
            </w:r>
            <w:r>
              <w:rPr>
                <w:rFonts w:ascii="Arial" w:eastAsia="Arial" w:hAnsi="Arial" w:cs="Arial"/>
                <w:color w:val="000000"/>
                <w:sz w:val="20"/>
              </w:rPr>
              <w:t xml:space="preserve">, § 14.1, at 765-67; PERKINS &amp; BOYCE, </w:t>
            </w:r>
            <w:r>
              <w:rPr>
                <w:rFonts w:ascii="Arial" w:eastAsia="Arial" w:hAnsi="Arial" w:cs="Arial"/>
                <w:i/>
                <w:color w:val="000000"/>
                <w:sz w:val="20"/>
              </w:rPr>
              <w:t>supra</w:t>
            </w:r>
            <w:r>
              <w:rPr>
                <w:rFonts w:ascii="Arial" w:eastAsia="Arial" w:hAnsi="Arial" w:cs="Arial"/>
                <w:color w:val="000000"/>
                <w:sz w:val="20"/>
              </w:rPr>
              <w:t xml:space="preserve">, at 57-59. Malice is the intentional doing of a wrongful act without justification, excuse, or mitigation. There are four disjunctive methods of establishing malice: (1) specific intent to kill; (2) specific intent to inflict serious bodily harm; (3) an act of depraved, abandoned, or malignant heart; and (4) felony murder. </w:t>
            </w:r>
            <w:hyperlink r:id="rId898" w:history="1">
              <w:r>
                <w:rPr>
                  <w:rFonts w:ascii="Arial" w:eastAsia="Arial" w:hAnsi="Arial" w:cs="Arial"/>
                  <w:i/>
                  <w:color w:val="0077CC"/>
                  <w:sz w:val="20"/>
                  <w:u w:val="single"/>
                </w:rPr>
                <w:t>Evans v. State, 28 Md. App. 640, 685-90, 349 A.2d 300, 335-36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899"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900" w:history="1">
              <w:r>
                <w:rPr>
                  <w:rFonts w:ascii="Arial" w:eastAsia="Arial" w:hAnsi="Arial" w:cs="Arial"/>
                  <w:i/>
                  <w:color w:val="0077CC"/>
                  <w:sz w:val="20"/>
                  <w:u w:val="single"/>
                </w:rPr>
                <w:t>Trimble v. State, 321 Md. 248, 256-57, 582 A.2d 794, 798 (1990).</w:t>
              </w:r>
            </w:hyperlink>
            <w:r>
              <w:rPr>
                <w:rFonts w:ascii="Arial" w:eastAsia="Arial" w:hAnsi="Arial" w:cs="Arial"/>
                <w:color w:val="000000"/>
                <w:sz w:val="20"/>
              </w:rPr>
              <w:t xml:space="preserve"> Even though malice is a required element, the word "malice" need not be included in the instruction. </w:t>
            </w:r>
            <w:hyperlink r:id="rId901" w:history="1">
              <w:r>
                <w:rPr>
                  <w:rFonts w:ascii="Arial" w:eastAsia="Arial" w:hAnsi="Arial" w:cs="Arial"/>
                  <w:i/>
                  <w:color w:val="0077CC"/>
                  <w:sz w:val="20"/>
                  <w:u w:val="single"/>
                </w:rPr>
                <w:t>Bruce v. State, 318 Md. 706, 732, 569 A.2d 1254, 1267 (1990),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508 U.S. 963 (1993).</w:t>
            </w:r>
            <w:r>
              <w:rPr>
                <w:rFonts w:ascii="Arial" w:eastAsia="Arial" w:hAnsi="Arial" w:cs="Arial"/>
                <w:color w:val="000000"/>
                <w:sz w:val="20"/>
              </w:rPr>
              <w:t xml:space="preserve"> The Committee did not include the word "malice" because of its potential for confusion. Moreover, when the malice components of absence of justification, absence of excuse, and absence of mitigation are not generated by the evidence, the instruction need not include them. </w:t>
            </w:r>
            <w:r>
              <w:rPr>
                <w:rFonts w:ascii="Arial" w:eastAsia="Arial" w:hAnsi="Arial" w:cs="Arial"/>
                <w:i/>
                <w:color w:val="000000"/>
                <w:sz w:val="20"/>
              </w:rPr>
              <w:t>Id.</w:t>
            </w:r>
          </w:p>
          <w:p w:rsidR="004729FB" w:rsidRDefault="004729FB" w:rsidP="00713DA5">
            <w:pPr>
              <w:spacing w:before="240" w:line="260" w:lineRule="atLeast"/>
              <w:ind w:left="60" w:right="360"/>
              <w:jc w:val="both"/>
            </w:pPr>
            <w:r>
              <w:rPr>
                <w:rFonts w:ascii="Arial" w:eastAsia="Arial" w:hAnsi="Arial" w:cs="Arial"/>
                <w:color w:val="000000"/>
                <w:sz w:val="20"/>
              </w:rPr>
              <w:t xml:space="preserve">Murder is divided into first degree and second degree. CRIM. LAW I §§ 2-201, 2-204. Section 2-201 establishes first degree murder as killing by poison, killing by lying in wait, or a willful, deliberate, and premeditated killing. </w:t>
            </w:r>
            <w:r>
              <w:rPr>
                <w:rFonts w:ascii="Arial" w:eastAsia="Arial" w:hAnsi="Arial" w:cs="Arial"/>
                <w:i/>
                <w:color w:val="000000"/>
                <w:sz w:val="20"/>
              </w:rPr>
              <w:t>Id.</w:t>
            </w:r>
            <w:r>
              <w:rPr>
                <w:rFonts w:ascii="Arial" w:eastAsia="Arial" w:hAnsi="Arial" w:cs="Arial"/>
                <w:color w:val="000000"/>
                <w:sz w:val="20"/>
              </w:rPr>
              <w:t xml:space="preserve"> § 2-201(a)(1)-(3). Section 2-201 enumerates those common law and statutory felonies that support first degree felony murder. </w:t>
            </w:r>
            <w:r>
              <w:rPr>
                <w:rFonts w:ascii="Arial" w:eastAsia="Arial" w:hAnsi="Arial" w:cs="Arial"/>
                <w:i/>
                <w:color w:val="000000"/>
                <w:sz w:val="20"/>
              </w:rPr>
              <w:t>See id.</w:t>
            </w:r>
            <w:r>
              <w:rPr>
                <w:rFonts w:ascii="Arial" w:eastAsia="Arial" w:hAnsi="Arial" w:cs="Arial"/>
                <w:color w:val="000000"/>
                <w:sz w:val="20"/>
              </w:rPr>
              <w:t xml:space="preserve"> § 2-201(a)(4). Section 2-204(a) provides that all other murders are second degree. This statutory scheme does not create new statutory offenses, but rather divides the common law crime of murder into degrees for sentencing purposes. </w:t>
            </w:r>
            <w:hyperlink r:id="rId902" w:history="1">
              <w:r>
                <w:rPr>
                  <w:rFonts w:ascii="Arial" w:eastAsia="Arial" w:hAnsi="Arial" w:cs="Arial"/>
                  <w:i/>
                  <w:color w:val="0077CC"/>
                  <w:sz w:val="20"/>
                  <w:u w:val="single"/>
                </w:rPr>
                <w:t>Bruce v. State, 317 Md. 642, 644-45, 566 A.2d 103, 104 (1989).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Killing another person, either with the intent to kill or with the intent to inflict such serious bodily harm that death would be the likely result, is sufficient to constitute second degree murder. </w:t>
            </w:r>
            <w:hyperlink r:id="rId903" w:history="1">
              <w:r>
                <w:rPr>
                  <w:rFonts w:ascii="Arial" w:eastAsia="Arial" w:hAnsi="Arial" w:cs="Arial"/>
                  <w:i/>
                  <w:color w:val="0077CC"/>
                  <w:sz w:val="20"/>
                  <w:u w:val="single"/>
                </w:rPr>
                <w:t>Davis v. State, 237 Md. 97, 104, 205 A.2d 254, 258 (1964),</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as recognized in </w:t>
            </w:r>
            <w:hyperlink r:id="rId904" w:history="1">
              <w:r>
                <w:rPr>
                  <w:rFonts w:ascii="Arial" w:eastAsia="Arial" w:hAnsi="Arial" w:cs="Arial"/>
                  <w:i/>
                  <w:color w:val="0077CC"/>
                  <w:sz w:val="20"/>
                  <w:u w:val="single"/>
                </w:rPr>
                <w:t>Thornton v. State, 397 Md. 704, 919 A.2d 678 (2007).</w:t>
              </w:r>
            </w:hyperlink>
            <w:r>
              <w:rPr>
                <w:rFonts w:ascii="Arial" w:eastAsia="Arial" w:hAnsi="Arial" w:cs="Arial"/>
                <w:color w:val="000000"/>
                <w:sz w:val="20"/>
              </w:rPr>
              <w:t xml:space="preserve"> Although intent may never be presumed, it may be inferred from the natural and probable consequences of the acts of the defendant. </w:t>
            </w:r>
            <w:r>
              <w:rPr>
                <w:rFonts w:ascii="Arial" w:eastAsia="Arial" w:hAnsi="Arial" w:cs="Arial"/>
                <w:i/>
                <w:color w:val="000000"/>
                <w:sz w:val="20"/>
              </w:rPr>
              <w:t xml:space="preserve">See </w:t>
            </w:r>
            <w:hyperlink r:id="rId905" w:history="1">
              <w:r>
                <w:rPr>
                  <w:rFonts w:ascii="Arial" w:eastAsia="Arial" w:hAnsi="Arial" w:cs="Arial"/>
                  <w:i/>
                  <w:color w:val="0077CC"/>
                  <w:sz w:val="20"/>
                  <w:u w:val="single"/>
                </w:rPr>
                <w:t>Sandstrom v. Montana, 442 U.S. 510 (1979).</w:t>
              </w:r>
            </w:hyperlink>
            <w:r>
              <w:rPr>
                <w:rFonts w:ascii="Arial" w:eastAsia="Arial" w:hAnsi="Arial" w:cs="Arial"/>
                <w:color w:val="000000"/>
                <w:sz w:val="20"/>
              </w:rPr>
              <w:t xml:space="preserve"> In </w:t>
            </w:r>
            <w:r>
              <w:rPr>
                <w:rFonts w:ascii="Arial" w:eastAsia="Arial" w:hAnsi="Arial" w:cs="Arial"/>
                <w:i/>
                <w:color w:val="000000"/>
                <w:sz w:val="20"/>
              </w:rPr>
              <w:t>Thornton</w:t>
            </w:r>
            <w:r>
              <w:rPr>
                <w:rFonts w:ascii="Arial" w:eastAsia="Arial" w:hAnsi="Arial" w:cs="Arial"/>
                <w:color w:val="000000"/>
                <w:sz w:val="20"/>
              </w:rPr>
              <w:t xml:space="preserve">, the Court of Appeals said that the "intent to inflict grievous bodily harm" that is required for second-degree murder "is a life-threatening state of mind," and in order to convict, the State must prove that the defendant's "desire or purpose was to inflict such harm that a reasonable person, under the circumstances, could or should have anticipated that death would likely occur." </w:t>
            </w:r>
            <w:hyperlink r:id="rId906" w:history="1">
              <w:r>
                <w:rPr>
                  <w:rFonts w:ascii="Arial" w:eastAsia="Arial" w:hAnsi="Arial" w:cs="Arial"/>
                  <w:i/>
                  <w:color w:val="0077CC"/>
                  <w:sz w:val="20"/>
                  <w:u w:val="single"/>
                </w:rPr>
                <w:t>397 Md. at 737, 919 A.2d at 697.</w:t>
              </w:r>
            </w:hyperlink>
            <w:r>
              <w:rPr>
                <w:rFonts w:ascii="Arial" w:eastAsia="Arial" w:hAnsi="Arial" w:cs="Arial"/>
                <w:color w:val="000000"/>
                <w:sz w:val="20"/>
              </w:rPr>
              <w:t xml:space="preserve"> The Court quoted from MPJI-Cr 4:17(B)(2) the phrase "that death would be the likely result," and said that phrase "both circumscribes and clarifies the intent element of [grievous bodily harm] second-degree murder." </w:t>
            </w:r>
            <w:hyperlink r:id="rId907" w:history="1">
              <w:r>
                <w:rPr>
                  <w:rFonts w:ascii="Arial" w:eastAsia="Arial" w:hAnsi="Arial" w:cs="Arial"/>
                  <w:i/>
                  <w:color w:val="0077CC"/>
                  <w:sz w:val="20"/>
                  <w:u w:val="single"/>
                </w:rPr>
                <w:t>Id. at 741, 919 A.2d at 700.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specific intent to kill or commit serious bodily harm may be inferred from firing a deadly weapon at a vital part of the human body. </w:t>
            </w:r>
            <w:hyperlink r:id="rId908" w:history="1">
              <w:r>
                <w:rPr>
                  <w:rFonts w:ascii="Arial" w:eastAsia="Arial" w:hAnsi="Arial" w:cs="Arial"/>
                  <w:i/>
                  <w:color w:val="0077CC"/>
                  <w:sz w:val="20"/>
                  <w:u w:val="single"/>
                </w:rPr>
                <w:t>Shenberger v. State, 234 Md. 363, 199 A.2d 233 (1964)</w:t>
              </w:r>
            </w:hyperlink>
            <w:r>
              <w:rPr>
                <w:rFonts w:ascii="Arial" w:eastAsia="Arial" w:hAnsi="Arial" w:cs="Arial"/>
                <w:color w:val="000000"/>
                <w:sz w:val="20"/>
              </w:rPr>
              <w:t xml:space="preserve"> (per curiam) (finding merely pointing a deadly weapon, coupled with the expressed intention to kill, sufficient to support assault with intent to murder); </w:t>
            </w:r>
            <w:hyperlink r:id="rId909" w:history="1">
              <w:r>
                <w:rPr>
                  <w:rFonts w:ascii="Arial" w:eastAsia="Arial" w:hAnsi="Arial" w:cs="Arial"/>
                  <w:i/>
                  <w:color w:val="0077CC"/>
                  <w:sz w:val="20"/>
                  <w:u w:val="single"/>
                </w:rPr>
                <w:t>James v. State, 31 Md. App. 666, 674, 358 A.2d 595, 600,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725 (1976).</w:t>
            </w:r>
            <w:r>
              <w:rPr>
                <w:rFonts w:ascii="Arial" w:eastAsia="Arial" w:hAnsi="Arial" w:cs="Arial"/>
                <w:color w:val="000000"/>
                <w:sz w:val="20"/>
              </w:rPr>
              <w:t xml:space="preserve"> </w:t>
            </w:r>
            <w:r>
              <w:rPr>
                <w:rFonts w:ascii="Arial" w:eastAsia="Arial" w:hAnsi="Arial" w:cs="Arial"/>
                <w:i/>
                <w:color w:val="000000"/>
                <w:sz w:val="20"/>
              </w:rPr>
              <w:t xml:space="preserve">But see </w:t>
            </w:r>
            <w:hyperlink r:id="rId910" w:history="1">
              <w:r>
                <w:rPr>
                  <w:rFonts w:ascii="Arial" w:eastAsia="Arial" w:hAnsi="Arial" w:cs="Arial"/>
                  <w:i/>
                  <w:color w:val="0077CC"/>
                  <w:sz w:val="20"/>
                  <w:u w:val="single"/>
                </w:rPr>
                <w:t>Brown v. State, 64 Md. App. 324, 329-33, 494 A.2d 999, 1001-03</w:t>
              </w:r>
            </w:hyperlink>
            <w:r>
              <w:rPr>
                <w:rFonts w:ascii="Arial" w:eastAsia="Arial" w:hAnsi="Arial" w:cs="Arial"/>
                <w:color w:val="000000"/>
                <w:sz w:val="20"/>
              </w:rPr>
              <w:t xml:space="preserve"> (holding that merely pointing a gun is insufficient),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296, 498 A.2d 1183 (1985);</w:t>
            </w:r>
            <w:r>
              <w:rPr>
                <w:rFonts w:ascii="Arial" w:eastAsia="Arial" w:hAnsi="Arial" w:cs="Arial"/>
                <w:color w:val="000000"/>
                <w:sz w:val="20"/>
              </w:rPr>
              <w:t xml:space="preserve"> </w:t>
            </w:r>
            <w:hyperlink r:id="rId911" w:history="1">
              <w:r>
                <w:rPr>
                  <w:rFonts w:ascii="Arial" w:eastAsia="Arial" w:hAnsi="Arial" w:cs="Arial"/>
                  <w:i/>
                  <w:color w:val="0077CC"/>
                  <w:sz w:val="20"/>
                  <w:u w:val="single"/>
                </w:rPr>
                <w:t>Brown v. State, 29 Md. App. 467, 349 A.2d 267 (1975)</w:t>
              </w:r>
            </w:hyperlink>
            <w:r>
              <w:rPr>
                <w:rFonts w:ascii="Arial" w:eastAsia="Arial" w:hAnsi="Arial" w:cs="Arial"/>
                <w:color w:val="000000"/>
                <w:sz w:val="20"/>
              </w:rPr>
              <w:t xml:space="preserve"> (holding that intent may not be inferred from pointing and clicking a gun without evidence of whether the gun was loaded and misfired or was unloaded),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277 Md. 736 (1976).</w:t>
            </w:r>
            <w:r>
              <w:rPr>
                <w:rFonts w:ascii="Arial" w:eastAsia="Arial" w:hAnsi="Arial" w:cs="Arial"/>
                <w:color w:val="000000"/>
                <w:sz w:val="20"/>
              </w:rPr>
              <w:t xml:space="preserve"> Although intent to kill may be inferred from the use of a deadly weapon directed at a vital part of the body, the intent to murder, i.e., the malice resulting from the absence of justification, the absence of excuse, and the absence of mitigation, may not be inferred. </w:t>
            </w:r>
            <w:r>
              <w:rPr>
                <w:rFonts w:ascii="Arial" w:eastAsia="Arial" w:hAnsi="Arial" w:cs="Arial"/>
                <w:i/>
                <w:color w:val="000000"/>
                <w:sz w:val="20"/>
              </w:rPr>
              <w:t xml:space="preserve">See </w:t>
            </w:r>
            <w:hyperlink r:id="rId912" w:history="1">
              <w:r>
                <w:rPr>
                  <w:rFonts w:ascii="Arial" w:eastAsia="Arial" w:hAnsi="Arial" w:cs="Arial"/>
                  <w:i/>
                  <w:color w:val="0077CC"/>
                  <w:sz w:val="20"/>
                  <w:u w:val="single"/>
                </w:rPr>
                <w:t>State v. Earp, 319 Md. 156, 163-64, 571 A.2d 1227, 1231 (1990).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913" w:history="1">
              <w:r>
                <w:rPr>
                  <w:rFonts w:ascii="Arial" w:eastAsia="Arial" w:hAnsi="Arial" w:cs="Arial"/>
                  <w:i/>
                  <w:color w:val="0077CC"/>
                  <w:sz w:val="20"/>
                  <w:u w:val="single"/>
                </w:rPr>
                <w:t>Smallwood v. State, 343 Md. 97, 680 A.2d 512 (1996),</w:t>
              </w:r>
            </w:hyperlink>
            <w:r>
              <w:rPr>
                <w:rFonts w:ascii="Arial" w:eastAsia="Arial" w:hAnsi="Arial" w:cs="Arial"/>
                <w:color w:val="000000"/>
                <w:sz w:val="20"/>
              </w:rPr>
              <w:t xml:space="preserve"> the Court of Appeals held that although the </w:t>
            </w:r>
            <w:r>
              <w:rPr>
                <w:rFonts w:ascii="Arial" w:eastAsia="Arial" w:hAnsi="Arial" w:cs="Arial"/>
                <w:color w:val="000000"/>
                <w:sz w:val="20"/>
              </w:rPr>
              <w:lastRenderedPageBreak/>
              <w:t xml:space="preserve">defendant knew he was HIV infected, his attempted rape without a condom was insufficient to establish the requisite intent for attempted second degree murder. On that evidence alone, it could not fairly be concluded that "death by AIDS was sufficiently probable to support an inference" that the defendant intended to kill. </w:t>
            </w:r>
            <w:hyperlink r:id="rId914" w:history="1">
              <w:r>
                <w:rPr>
                  <w:rFonts w:ascii="Arial" w:eastAsia="Arial" w:hAnsi="Arial" w:cs="Arial"/>
                  <w:i/>
                  <w:color w:val="0077CC"/>
                  <w:sz w:val="20"/>
                  <w:u w:val="single"/>
                </w:rPr>
                <w:t>Id. at 106, 680 A.2d at 516.</w:t>
              </w:r>
            </w:hyperlink>
            <w:r>
              <w:rPr>
                <w:rFonts w:ascii="Arial" w:eastAsia="Arial" w:hAnsi="Arial" w:cs="Arial"/>
                <w:color w:val="000000"/>
                <w:sz w:val="20"/>
              </w:rPr>
              <w:t xml:space="preserve"> In </w:t>
            </w:r>
            <w:r>
              <w:rPr>
                <w:rFonts w:ascii="Arial" w:eastAsia="Arial" w:hAnsi="Arial" w:cs="Arial"/>
                <w:i/>
                <w:color w:val="000000"/>
                <w:sz w:val="20"/>
              </w:rPr>
              <w:t>Thornton</w:t>
            </w:r>
            <w:r>
              <w:rPr>
                <w:rFonts w:ascii="Arial" w:eastAsia="Arial" w:hAnsi="Arial" w:cs="Arial"/>
                <w:color w:val="000000"/>
                <w:sz w:val="20"/>
              </w:rPr>
              <w:t xml:space="preserve">, the Court of Appeals held that Thornton's act of stabbing the victim in the thigh did not, by itself, demonstrate that Thornton "inten[ded] to inflict grievous bodily harm such that death would be the likely result." </w:t>
            </w:r>
            <w:hyperlink r:id="rId915" w:history="1">
              <w:r>
                <w:rPr>
                  <w:rFonts w:ascii="Arial" w:eastAsia="Arial" w:hAnsi="Arial" w:cs="Arial"/>
                  <w:i/>
                  <w:color w:val="0077CC"/>
                  <w:sz w:val="20"/>
                  <w:u w:val="single"/>
                </w:rPr>
                <w:t>397 Md. at 737, 919 A.2d at 697.</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 willful, deliberate, and premeditated killing can elevate second degree specific intent to kill murder to first degree murder. Although specific intent to kill is a concept closely related to willfulness, deliberation, and premeditation, the former does not, in and of itself, create the latter. </w:t>
            </w:r>
            <w:hyperlink r:id="rId916" w:history="1">
              <w:r>
                <w:rPr>
                  <w:rFonts w:ascii="Arial" w:eastAsia="Arial" w:hAnsi="Arial" w:cs="Arial"/>
                  <w:i/>
                  <w:color w:val="0077CC"/>
                  <w:sz w:val="20"/>
                  <w:u w:val="single"/>
                </w:rPr>
                <w:t>Ferrell v. State, 304 Md. 679, 687-88, 500 A.2d 1050, 1054 (1985);</w:t>
              </w:r>
            </w:hyperlink>
            <w:r>
              <w:rPr>
                <w:rFonts w:ascii="Arial" w:eastAsia="Arial" w:hAnsi="Arial" w:cs="Arial"/>
                <w:color w:val="000000"/>
                <w:sz w:val="20"/>
              </w:rPr>
              <w:t xml:space="preserve"> </w:t>
            </w:r>
            <w:hyperlink r:id="rId917" w:history="1">
              <w:r>
                <w:rPr>
                  <w:rFonts w:ascii="Arial" w:eastAsia="Arial" w:hAnsi="Arial" w:cs="Arial"/>
                  <w:i/>
                  <w:color w:val="0077CC"/>
                  <w:sz w:val="20"/>
                  <w:u w:val="single"/>
                </w:rPr>
                <w:t>Colvin v. State, 299 Md. 88, 472 A.2d 953,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469 U.S. 873 (1984).</w:t>
            </w:r>
            <w:r>
              <w:rPr>
                <w:rFonts w:ascii="Arial" w:eastAsia="Arial" w:hAnsi="Arial" w:cs="Arial"/>
                <w:color w:val="000000"/>
                <w:sz w:val="20"/>
              </w:rPr>
              <w:t xml:space="preserve"> Willfulness requires a specific purpose and design to kill, and premeditation requires that the design to kill precede the killing by an appreciable length of time, i.e., time enough to deliberate. </w:t>
            </w:r>
            <w:hyperlink r:id="rId918" w:history="1">
              <w:r>
                <w:rPr>
                  <w:rFonts w:ascii="Arial" w:eastAsia="Arial" w:hAnsi="Arial" w:cs="Arial"/>
                  <w:i/>
                  <w:color w:val="0077CC"/>
                  <w:sz w:val="20"/>
                  <w:u w:val="single"/>
                </w:rPr>
                <w:t>Ferrell, 304 Md. at 687 n.2, 500 A.2d at 1054 n.2</w:t>
              </w:r>
            </w:hyperlink>
            <w:r>
              <w:rPr>
                <w:rFonts w:ascii="Arial" w:eastAsia="Arial" w:hAnsi="Arial" w:cs="Arial"/>
                <w:color w:val="000000"/>
                <w:sz w:val="20"/>
              </w:rPr>
              <w:t xml:space="preserve"> (quoting </w:t>
            </w:r>
            <w:hyperlink r:id="rId919" w:history="1">
              <w:r>
                <w:rPr>
                  <w:rFonts w:ascii="Arial" w:eastAsia="Arial" w:hAnsi="Arial" w:cs="Arial"/>
                  <w:i/>
                  <w:color w:val="0077CC"/>
                  <w:sz w:val="20"/>
                  <w:u w:val="single"/>
                </w:rPr>
                <w:t>Chisley v. State, 202 Md. 87, 106, 95 A.2d 577, 585-86 (1953));</w:t>
              </w:r>
            </w:hyperlink>
            <w:r>
              <w:rPr>
                <w:rFonts w:ascii="Arial" w:eastAsia="Arial" w:hAnsi="Arial" w:cs="Arial"/>
                <w:color w:val="000000"/>
                <w:sz w:val="20"/>
              </w:rPr>
              <w:t xml:space="preserve"> </w:t>
            </w:r>
            <w:r>
              <w:rPr>
                <w:rFonts w:ascii="Arial" w:eastAsia="Arial" w:hAnsi="Arial" w:cs="Arial"/>
                <w:i/>
                <w:color w:val="000000"/>
                <w:sz w:val="20"/>
              </w:rPr>
              <w:t xml:space="preserve">see, e.g., </w:t>
            </w:r>
            <w:hyperlink r:id="rId920" w:history="1">
              <w:r>
                <w:rPr>
                  <w:rFonts w:ascii="Arial" w:eastAsia="Arial" w:hAnsi="Arial" w:cs="Arial"/>
                  <w:i/>
                  <w:color w:val="0077CC"/>
                  <w:sz w:val="20"/>
                  <w:u w:val="single"/>
                </w:rPr>
                <w:t>Whittlesey v. State, 340 Md. 30, 65, 665 A.2d 223, 240 (1995),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516 U.S. 1148 (1996);</w:t>
            </w:r>
            <w:r>
              <w:rPr>
                <w:rFonts w:ascii="Arial" w:eastAsia="Arial" w:hAnsi="Arial" w:cs="Arial"/>
                <w:color w:val="000000"/>
                <w:sz w:val="20"/>
              </w:rPr>
              <w:t xml:space="preserve"> </w:t>
            </w:r>
            <w:hyperlink r:id="rId921" w:history="1">
              <w:r>
                <w:rPr>
                  <w:rFonts w:ascii="Arial" w:eastAsia="Arial" w:hAnsi="Arial" w:cs="Arial"/>
                  <w:i/>
                  <w:color w:val="0077CC"/>
                  <w:sz w:val="20"/>
                  <w:u w:val="single"/>
                </w:rPr>
                <w:t>Doering v. State, 313 Md. 384, 404-06, 545 A.2d 1281, 1291-92 (1988).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Willfulness does not require any particular length of time but rather that "the killing result[] from a choice made as the result of thought, however short the struggle between the intention and the act." </w:t>
            </w:r>
            <w:hyperlink r:id="rId922" w:history="1">
              <w:r>
                <w:rPr>
                  <w:rFonts w:ascii="Arial" w:eastAsia="Arial" w:hAnsi="Arial" w:cs="Arial"/>
                  <w:i/>
                  <w:color w:val="0077CC"/>
                  <w:sz w:val="20"/>
                  <w:u w:val="single"/>
                </w:rPr>
                <w:t>Tichnell v. State, 287 Md. 695, 717-18, 415 A.2d 830, 842 (1980)</w:t>
              </w:r>
            </w:hyperlink>
            <w:r>
              <w:rPr>
                <w:rFonts w:ascii="Arial" w:eastAsia="Arial" w:hAnsi="Arial" w:cs="Arial"/>
                <w:color w:val="000000"/>
                <w:sz w:val="20"/>
              </w:rPr>
              <w:t xml:space="preserve"> (firing multiple shots); </w:t>
            </w:r>
            <w:hyperlink r:id="rId923" w:history="1">
              <w:r>
                <w:rPr>
                  <w:rFonts w:ascii="Arial" w:eastAsia="Arial" w:hAnsi="Arial" w:cs="Arial"/>
                  <w:i/>
                  <w:color w:val="0077CC"/>
                  <w:sz w:val="20"/>
                  <w:u w:val="single"/>
                </w:rPr>
                <w:t>Robinson v. State, 249 Md. 200, 238 A.2d 875</w:t>
              </w:r>
            </w:hyperlink>
            <w:r>
              <w:rPr>
                <w:rFonts w:ascii="Arial" w:eastAsia="Arial" w:hAnsi="Arial" w:cs="Arial"/>
                <w:color w:val="000000"/>
                <w:sz w:val="20"/>
              </w:rPr>
              <w:t xml:space="preserve"> (multiple stab wounds),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393 U.S. 928 (1968);</w:t>
            </w:r>
            <w:r>
              <w:rPr>
                <w:rFonts w:ascii="Arial" w:eastAsia="Arial" w:hAnsi="Arial" w:cs="Arial"/>
                <w:color w:val="000000"/>
                <w:sz w:val="20"/>
              </w:rPr>
              <w:t xml:space="preserve"> </w:t>
            </w:r>
            <w:hyperlink r:id="rId924" w:history="1">
              <w:r>
                <w:rPr>
                  <w:rFonts w:ascii="Arial" w:eastAsia="Arial" w:hAnsi="Arial" w:cs="Arial"/>
                  <w:i/>
                  <w:color w:val="0077CC"/>
                  <w:sz w:val="20"/>
                  <w:u w:val="single"/>
                </w:rPr>
                <w:t>Taylor v. State, 226 Md. 561, 174 A.2d 573 (1961)</w:t>
              </w:r>
            </w:hyperlink>
            <w:r>
              <w:rPr>
                <w:rFonts w:ascii="Arial" w:eastAsia="Arial" w:hAnsi="Arial" w:cs="Arial"/>
                <w:color w:val="000000"/>
                <w:sz w:val="20"/>
              </w:rPr>
              <w:t xml:space="preserve"> (the time to carry the weapon from one room to another); </w:t>
            </w:r>
            <w:hyperlink r:id="rId925" w:history="1">
              <w:r>
                <w:rPr>
                  <w:rFonts w:ascii="Arial" w:eastAsia="Arial" w:hAnsi="Arial" w:cs="Arial"/>
                  <w:i/>
                  <w:color w:val="0077CC"/>
                  <w:sz w:val="20"/>
                  <w:u w:val="single"/>
                </w:rPr>
                <w:t>Traverso v. State, 83 Md. App. 389, 394-96, 574 A.2d 923, 926</w:t>
              </w:r>
            </w:hyperlink>
            <w:r>
              <w:rPr>
                <w:rFonts w:ascii="Arial" w:eastAsia="Arial" w:hAnsi="Arial" w:cs="Arial"/>
                <w:color w:val="000000"/>
                <w:sz w:val="20"/>
              </w:rPr>
              <w:t xml:space="preserve"> (removing twine from pocket, placing it around the victim's neck, and applying enough force for a sufficient period to strangle to death),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320 Md. 801, 580 A.2d 219 (1990);</w:t>
            </w:r>
            <w:r>
              <w:rPr>
                <w:rFonts w:ascii="Arial" w:eastAsia="Arial" w:hAnsi="Arial" w:cs="Arial"/>
                <w:color w:val="000000"/>
                <w:sz w:val="20"/>
              </w:rPr>
              <w:t xml:space="preserve"> </w:t>
            </w:r>
            <w:hyperlink r:id="rId926" w:history="1">
              <w:r>
                <w:rPr>
                  <w:rFonts w:ascii="Arial" w:eastAsia="Arial" w:hAnsi="Arial" w:cs="Arial"/>
                  <w:i/>
                  <w:color w:val="0077CC"/>
                  <w:sz w:val="20"/>
                  <w:u w:val="single"/>
                </w:rPr>
                <w:t>Hounshell v. State, 61 Md. App. 364, 486 A.2d 789</w:t>
              </w:r>
            </w:hyperlink>
            <w:r>
              <w:rPr>
                <w:rFonts w:ascii="Arial" w:eastAsia="Arial" w:hAnsi="Arial" w:cs="Arial"/>
                <w:color w:val="000000"/>
                <w:sz w:val="20"/>
              </w:rPr>
              <w:t xml:space="preserve"> (the time to strangle a person),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303 Md. 42, 491 A.2d 1197 (1985);</w:t>
            </w:r>
            <w:r>
              <w:rPr>
                <w:rFonts w:ascii="Arial" w:eastAsia="Arial" w:hAnsi="Arial" w:cs="Arial"/>
                <w:color w:val="000000"/>
                <w:sz w:val="20"/>
              </w:rPr>
              <w:t xml:space="preserve"> </w:t>
            </w:r>
            <w:hyperlink r:id="rId927" w:history="1">
              <w:r>
                <w:rPr>
                  <w:rFonts w:ascii="Arial" w:eastAsia="Arial" w:hAnsi="Arial" w:cs="Arial"/>
                  <w:i/>
                  <w:color w:val="0077CC"/>
                  <w:sz w:val="20"/>
                  <w:u w:val="single"/>
                </w:rPr>
                <w:t>Bell v. State, 48 Md. App. 669, 429 A.2d 300</w:t>
              </w:r>
            </w:hyperlink>
            <w:r>
              <w:rPr>
                <w:rFonts w:ascii="Arial" w:eastAsia="Arial" w:hAnsi="Arial" w:cs="Arial"/>
                <w:color w:val="000000"/>
                <w:sz w:val="20"/>
              </w:rPr>
              <w:t xml:space="preserve"> (the time to conspire to murder), </w:t>
            </w:r>
            <w:r>
              <w:rPr>
                <w:rFonts w:ascii="Arial" w:eastAsia="Arial" w:hAnsi="Arial" w:cs="Arial"/>
                <w:i/>
                <w:color w:val="000000"/>
                <w:sz w:val="20"/>
              </w:rPr>
              <w:t>cert. denied</w:t>
            </w:r>
            <w:r>
              <w:rPr>
                <w:rFonts w:ascii="Arial" w:eastAsia="Arial" w:hAnsi="Arial" w:cs="Arial"/>
                <w:color w:val="000000"/>
                <w:sz w:val="20"/>
              </w:rPr>
              <w:t xml:space="preserve">, </w:t>
            </w:r>
            <w:hyperlink r:id="rId928" w:history="1">
              <w:r>
                <w:rPr>
                  <w:rFonts w:ascii="Arial" w:eastAsia="Arial" w:hAnsi="Arial" w:cs="Arial"/>
                  <w:i/>
                  <w:color w:val="0077CC"/>
                  <w:sz w:val="20"/>
                  <w:u w:val="single"/>
                </w:rPr>
                <w:t>291 Md. 771 (1981).</w:t>
              </w:r>
            </w:hyperlink>
            <w:r>
              <w:rPr>
                <w:rFonts w:ascii="Arial" w:eastAsia="Arial" w:hAnsi="Arial" w:cs="Arial"/>
                <w:color w:val="000000"/>
                <w:sz w:val="20"/>
              </w:rPr>
              <w:t xml:space="preserve"> The question remains open as to whether lying in wait can serve as an alternative aggravating factor sufficient to elevate second degree murder to first degree murder. </w:t>
            </w:r>
            <w:r>
              <w:rPr>
                <w:rFonts w:ascii="Arial" w:eastAsia="Arial" w:hAnsi="Arial" w:cs="Arial"/>
                <w:i/>
                <w:color w:val="000000"/>
                <w:sz w:val="20"/>
              </w:rPr>
              <w:t xml:space="preserve">See </w:t>
            </w:r>
            <w:hyperlink r:id="rId929" w:history="1">
              <w:r>
                <w:rPr>
                  <w:rFonts w:ascii="Arial" w:eastAsia="Arial" w:hAnsi="Arial" w:cs="Arial"/>
                  <w:i/>
                  <w:color w:val="0077CC"/>
                  <w:sz w:val="20"/>
                  <w:u w:val="single"/>
                </w:rPr>
                <w:t>State v. Selby, 319 Md. 174, 178, 571 A.2d 1236, 1238 (1990).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930" w:history="1">
              <w:r>
                <w:rPr>
                  <w:rFonts w:ascii="Arial" w:eastAsia="Arial" w:hAnsi="Arial" w:cs="Arial"/>
                  <w:i/>
                  <w:color w:val="0077CC"/>
                  <w:sz w:val="20"/>
                  <w:u w:val="single"/>
                </w:rPr>
                <w:t>Willey v. State, 328 Md. 126, 613 A.2d 956 (1992),</w:t>
              </w:r>
            </w:hyperlink>
            <w:r>
              <w:rPr>
                <w:rFonts w:ascii="Arial" w:eastAsia="Arial" w:hAnsi="Arial" w:cs="Arial"/>
                <w:color w:val="000000"/>
                <w:sz w:val="20"/>
              </w:rPr>
              <w:t xml:space="preserve"> the Court of Appeals rejected a challenge to MPJI-Cr. 4:17, as that instruction existed in the 1991 edition of this text. Nonetheless, the Court stated:</w:t>
            </w:r>
          </w:p>
          <w:p w:rsidR="004729FB" w:rsidRDefault="004729FB" w:rsidP="00713DA5">
            <w:pPr>
              <w:spacing w:before="200" w:line="260" w:lineRule="atLeast"/>
              <w:ind w:left="460" w:right="360"/>
              <w:jc w:val="both"/>
            </w:pPr>
            <w:r>
              <w:rPr>
                <w:rFonts w:ascii="Arial" w:eastAsia="Arial" w:hAnsi="Arial" w:cs="Arial"/>
                <w:color w:val="000000"/>
                <w:sz w:val="20"/>
              </w:rPr>
              <w:t xml:space="preserve">Although we hold that the instruction was not erroneous, it should be amplified. We acknowledge that some of our cases upon which this instruction may have been based have virtually obliterated the fine and often difficult distinction between first degree murder and the intent-to-kill variety of second degree murder. We believe that it would be preferable, especially where the distinction is clearly at issue, for the trial court to emphasize that in order </w:t>
            </w:r>
            <w:r>
              <w:rPr>
                <w:rFonts w:ascii="Arial" w:eastAsia="Arial" w:hAnsi="Arial" w:cs="Arial"/>
                <w:i/>
                <w:color w:val="000000"/>
                <w:sz w:val="20"/>
              </w:rPr>
              <w:t>for the jury to conclude that the defendant premeditated the killing it must find that the defendant had sufficient time to consider the decision whether or not to kill and weigh the reasons for or against such a choice</w:t>
            </w:r>
            <w:r>
              <w:rPr>
                <w:rFonts w:ascii="Arial" w:eastAsia="Arial" w:hAnsi="Arial" w:cs="Arial"/>
                <w:color w:val="000000"/>
                <w:sz w:val="20"/>
              </w:rPr>
              <w:t>. Movement in this direction would be consistent with the developing trend of courts and commentators to focus more attention upon, and more clearly define the distinct mental states involved in first versus second degree murder.</w:t>
            </w:r>
          </w:p>
          <w:p w:rsidR="004729FB" w:rsidRDefault="004729FB" w:rsidP="00713DA5">
            <w:pPr>
              <w:spacing w:before="240" w:line="260" w:lineRule="atLeast"/>
              <w:ind w:left="60" w:right="360"/>
              <w:jc w:val="both"/>
            </w:pPr>
            <w:hyperlink r:id="rId931" w:history="1">
              <w:r>
                <w:rPr>
                  <w:rFonts w:ascii="Arial" w:eastAsia="Arial" w:hAnsi="Arial" w:cs="Arial"/>
                  <w:i/>
                  <w:color w:val="0077CC"/>
                  <w:sz w:val="20"/>
                  <w:u w:val="single"/>
                </w:rPr>
                <w:t>Id. at 138, 613 A.2d at 961-62</w:t>
              </w:r>
            </w:hyperlink>
            <w:r>
              <w:rPr>
                <w:rFonts w:ascii="Arial" w:eastAsia="Arial" w:hAnsi="Arial" w:cs="Arial"/>
                <w:color w:val="000000"/>
                <w:sz w:val="20"/>
              </w:rPr>
              <w:t xml:space="preserve"> (emphasis added). The current version of MPJI-Cr. 4:17 reflects this statement of the Court. </w:t>
            </w:r>
            <w:hyperlink r:id="rId932" w:history="1">
              <w:r>
                <w:rPr>
                  <w:rFonts w:ascii="Arial" w:eastAsia="Arial" w:hAnsi="Arial" w:cs="Arial"/>
                  <w:i/>
                  <w:color w:val="0077CC"/>
                  <w:sz w:val="20"/>
                  <w:u w:val="single"/>
                </w:rPr>
                <w:t>State v. Wischhusen, 342 Md. 530, 534 n.4, 677 A.2d 595, 596 n.4 (1996).</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15" style="position:absolute;z-index:25183641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lastRenderedPageBreak/>
        <w:t>MPJI-Cr 4:14.1, MPJI-Cr 4:17.3, MPJI-Cr 4:17.4, MPJI-Cr 4:17.5, MPJI-Cr 4:17.6.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22" style="position:absolute;left:0;text-align:left;z-index:25184358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1" name="Picture 6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939" w:history="1">
        <w:r>
          <w:rPr>
            <w:rFonts w:ascii="Arial" w:eastAsia="Arial" w:hAnsi="Arial" w:cs="Arial"/>
            <w:b/>
            <w:bCs/>
            <w:i/>
            <w:color w:val="0077CC"/>
            <w:kern w:val="32"/>
            <w:sz w:val="28"/>
            <w:szCs w:val="32"/>
            <w:u w:val="single"/>
          </w:rPr>
          <w:t>MPJI-Cr 4:17.0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HOMICIDE--TRANSFERRED INTENT</w:t>
      </w:r>
    </w:p>
    <w:p w:rsidR="004729FB" w:rsidRDefault="004729FB" w:rsidP="004729FB">
      <w:pPr>
        <w:keepNext/>
        <w:spacing w:before="240" w:line="340" w:lineRule="atLeast"/>
      </w:pPr>
      <w:r>
        <w:br/>
      </w:r>
      <w:r>
        <w:rPr>
          <w:rFonts w:ascii="Arial" w:eastAsia="Arial" w:hAnsi="Arial" w:cs="Arial"/>
          <w:b/>
          <w:color w:val="000000"/>
          <w:sz w:val="28"/>
        </w:rPr>
        <w:t>4:17.0Homicide--Transferred Intent</w:t>
      </w:r>
    </w:p>
    <w:p w:rsidR="004729FB" w:rsidRDefault="004729FB" w:rsidP="004729FB">
      <w:pPr>
        <w:spacing w:line="60" w:lineRule="exact"/>
      </w:pPr>
      <w:r>
        <w:pict>
          <v:line id="_x0000_s1206" style="position:absolute;z-index:25182720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If someone [intends to kill] [</w:t>
      </w:r>
      <w:r>
        <w:rPr>
          <w:rFonts w:ascii="Arial" w:eastAsia="Arial" w:hAnsi="Arial" w:cs="Arial"/>
          <w:b/>
          <w:color w:val="000000"/>
          <w:sz w:val="20"/>
          <w:u w:val="single"/>
        </w:rPr>
        <w:t>insert other homicidal intent</w:t>
      </w:r>
      <w:r>
        <w:rPr>
          <w:rFonts w:ascii="Arial" w:eastAsia="Arial" w:hAnsi="Arial" w:cs="Arial"/>
          <w:b/>
          <w:color w:val="000000"/>
          <w:sz w:val="20"/>
        </w:rPr>
        <w:t>] one person, but by mistake or accident kills another person, the crime is the same as if the intended person had been killed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this case, the State has offered evidence that the defendant [intended to kill] [</w:t>
      </w:r>
      <w:r>
        <w:rPr>
          <w:rFonts w:ascii="Arial" w:eastAsia="Arial" w:hAnsi="Arial" w:cs="Arial"/>
          <w:b/>
          <w:color w:val="000000"/>
          <w:sz w:val="20"/>
          <w:u w:val="single"/>
        </w:rPr>
        <w:t>insert other homicidal intent</w:t>
      </w:r>
      <w:r>
        <w:rPr>
          <w:rFonts w:ascii="Arial" w:eastAsia="Arial" w:hAnsi="Arial" w:cs="Arial"/>
          <w:b/>
          <w:color w:val="000000"/>
          <w:sz w:val="20"/>
        </w:rPr>
        <w:t>] a particular person [</w:t>
      </w:r>
      <w:r>
        <w:rPr>
          <w:rFonts w:ascii="Arial" w:eastAsia="Arial" w:hAnsi="Arial" w:cs="Arial"/>
          <w:b/>
          <w:color w:val="000000"/>
          <w:sz w:val="20"/>
          <w:u w:val="single"/>
        </w:rPr>
        <w:t>insert name if known</w:t>
      </w:r>
      <w:r>
        <w:rPr>
          <w:rFonts w:ascii="Arial" w:eastAsia="Arial" w:hAnsi="Arial" w:cs="Arial"/>
          <w:b/>
          <w:color w:val="000000"/>
          <w:sz w:val="20"/>
        </w:rPr>
        <w:t>], but actually killed another person,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You may find that the defendant acted with [the intent to kill] [</w:t>
      </w:r>
      <w:r>
        <w:rPr>
          <w:rFonts w:ascii="Arial" w:eastAsia="Arial" w:hAnsi="Arial" w:cs="Arial"/>
          <w:b/>
          <w:color w:val="000000"/>
          <w:sz w:val="20"/>
          <w:u w:val="single"/>
        </w:rPr>
        <w:t>insert other homicidal intent</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if you find that the State has proven</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had [the intent to kill] [</w:t>
      </w:r>
      <w:r>
        <w:rPr>
          <w:rFonts w:ascii="Arial" w:eastAsia="Arial" w:hAnsi="Arial" w:cs="Arial"/>
          <w:b/>
          <w:color w:val="000000"/>
          <w:sz w:val="20"/>
          <w:u w:val="single"/>
        </w:rPr>
        <w:t>insert other homicidal intent</w:t>
      </w:r>
      <w:r>
        <w:rPr>
          <w:rFonts w:ascii="Arial" w:eastAsia="Arial" w:hAnsi="Arial" w:cs="Arial"/>
          <w:b/>
          <w:color w:val="000000"/>
          <w:sz w:val="20"/>
        </w:rPr>
        <w:t>] the intended person</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 was acting with that intent when (</w:t>
      </w:r>
      <w:r>
        <w:rPr>
          <w:rFonts w:ascii="Arial" w:eastAsia="Arial" w:hAnsi="Arial" w:cs="Arial"/>
          <w:b/>
          <w:color w:val="000000"/>
          <w:sz w:val="20"/>
          <w:u w:val="single"/>
        </w:rPr>
        <w:t>name</w:t>
      </w:r>
      <w:r>
        <w:rPr>
          <w:rFonts w:ascii="Arial" w:eastAsia="Arial" w:hAnsi="Arial" w:cs="Arial"/>
          <w:b/>
          <w:color w:val="000000"/>
          <w:sz w:val="20"/>
        </w:rPr>
        <w:t>) was killed; and</w:t>
      </w:r>
    </w:p>
    <w:p w:rsidR="004729FB" w:rsidRDefault="004729FB" w:rsidP="004729FB">
      <w:pPr>
        <w:spacing w:before="200" w:line="260" w:lineRule="atLeast"/>
        <w:ind w:left="800"/>
        <w:jc w:val="both"/>
      </w:pPr>
      <w:r>
        <w:rPr>
          <w:rFonts w:ascii="Arial" w:eastAsia="Arial" w:hAnsi="Arial" w:cs="Arial"/>
          <w:b/>
          <w:color w:val="000000"/>
          <w:sz w:val="20"/>
        </w:rPr>
        <w:t>(3) that the defendant actually killed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other words, if the actual result that the defendant intended is different from what [s]he contemplated only because another person was killed, you may find that the State has proven that the defendant [intended to kill] [</w:t>
      </w:r>
      <w:r>
        <w:rPr>
          <w:rFonts w:ascii="Arial" w:eastAsia="Arial" w:hAnsi="Arial" w:cs="Arial"/>
          <w:b/>
          <w:color w:val="000000"/>
          <w:sz w:val="20"/>
          <w:u w:val="single"/>
        </w:rPr>
        <w:t>insert other homicidal intent</w:t>
      </w:r>
      <w:r>
        <w:rPr>
          <w:rFonts w:ascii="Arial" w:eastAsia="Arial" w:hAnsi="Arial" w:cs="Arial"/>
          <w:b/>
          <w:color w:val="000000"/>
          <w:sz w:val="20"/>
        </w:rPr>
        <w:t>] that other person</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If there is an intent to kill one victim, but the assailant kills another victim instead, the intent to kill the intended victim may be transferred to the act committed against the actual victim. </w:t>
            </w:r>
            <w:hyperlink r:id="rId940" w:history="1">
              <w:r>
                <w:rPr>
                  <w:rFonts w:ascii="Arial" w:eastAsia="Arial" w:hAnsi="Arial" w:cs="Arial"/>
                  <w:i/>
                  <w:color w:val="0077CC"/>
                  <w:sz w:val="20"/>
                  <w:u w:val="single"/>
                </w:rPr>
                <w:t>Poe v. State, 341 Md. 523, 529, 671 A.2d 501, 503-04 (1996);</w:t>
              </w:r>
            </w:hyperlink>
            <w:r>
              <w:rPr>
                <w:rFonts w:ascii="Arial" w:eastAsia="Arial" w:hAnsi="Arial" w:cs="Arial"/>
                <w:color w:val="000000"/>
                <w:sz w:val="20"/>
              </w:rPr>
              <w:t xml:space="preserve"> </w:t>
            </w:r>
            <w:hyperlink r:id="rId941" w:history="1">
              <w:r>
                <w:rPr>
                  <w:rFonts w:ascii="Arial" w:eastAsia="Arial" w:hAnsi="Arial" w:cs="Arial"/>
                  <w:i/>
                  <w:color w:val="0077CC"/>
                  <w:sz w:val="20"/>
                  <w:u w:val="single"/>
                </w:rPr>
                <w:t>Gladden v. State, 273 Md. 383, 404, 330 A.2d 176, 188 (1974).</w:t>
              </w:r>
            </w:hyperlink>
            <w:r>
              <w:rPr>
                <w:rFonts w:ascii="Arial" w:eastAsia="Arial" w:hAnsi="Arial" w:cs="Arial"/>
                <w:color w:val="000000"/>
                <w:sz w:val="20"/>
              </w:rPr>
              <w:t xml:space="preserve"> The transferred intent doctrine only applies when the unintended victim is actually killed. Thus, it applies in homicide cases but does not apply in attempted homicide cases. </w:t>
            </w:r>
            <w:hyperlink r:id="rId942" w:history="1">
              <w:r>
                <w:rPr>
                  <w:rFonts w:ascii="Arial" w:eastAsia="Arial" w:hAnsi="Arial" w:cs="Arial"/>
                  <w:i/>
                  <w:color w:val="0077CC"/>
                  <w:sz w:val="20"/>
                  <w:u w:val="single"/>
                </w:rPr>
                <w:t>State v. Brady, 393 Md. 502, 522-23, 903 A.2d 870, 882-83 (2006).</w:t>
              </w:r>
            </w:hyperlink>
            <w:r>
              <w:rPr>
                <w:rFonts w:ascii="Arial" w:eastAsia="Arial" w:hAnsi="Arial" w:cs="Arial"/>
                <w:color w:val="000000"/>
                <w:sz w:val="20"/>
              </w:rPr>
              <w:t xml:space="preserve"> However, in </w:t>
            </w:r>
            <w:hyperlink r:id="rId943" w:history="1">
              <w:r>
                <w:rPr>
                  <w:rFonts w:ascii="Arial" w:eastAsia="Arial" w:hAnsi="Arial" w:cs="Arial"/>
                  <w:i/>
                  <w:color w:val="0077CC"/>
                  <w:sz w:val="20"/>
                  <w:u w:val="single"/>
                </w:rPr>
                <w:t>Harrison v. State, 382 Md. 477, 855 A.2d 1220 (2004),</w:t>
              </w:r>
            </w:hyperlink>
            <w:r>
              <w:rPr>
                <w:rFonts w:ascii="Arial" w:eastAsia="Arial" w:hAnsi="Arial" w:cs="Arial"/>
                <w:color w:val="000000"/>
                <w:sz w:val="20"/>
              </w:rPr>
              <w:t xml:space="preserve"> the Court of Appeals adopted the theory of "concurrent intent," which may apply to attempted homicides if the defendant intends to kill the target and, to ensure success, attempts to kill those in the immediate vicinity, i.e., the "kill zone."</w:t>
            </w:r>
          </w:p>
          <w:p w:rsidR="004729FB" w:rsidRDefault="004729FB" w:rsidP="00713DA5">
            <w:pPr>
              <w:spacing w:before="240" w:line="260" w:lineRule="atLeast"/>
              <w:ind w:left="60" w:right="360"/>
              <w:jc w:val="both"/>
            </w:pPr>
            <w:r>
              <w:rPr>
                <w:rFonts w:ascii="Arial" w:eastAsia="Arial" w:hAnsi="Arial" w:cs="Arial"/>
                <w:color w:val="000000"/>
                <w:sz w:val="20"/>
              </w:rPr>
              <w:t xml:space="preserve">It makes no difference whether the intended victim is: 1) missed, 2) hit but not killed, or 3) also killed. The fate of the intended victim is thus immaterial. </w:t>
            </w:r>
            <w:r>
              <w:rPr>
                <w:rFonts w:ascii="Arial" w:eastAsia="Arial" w:hAnsi="Arial" w:cs="Arial"/>
                <w:i/>
                <w:color w:val="000000"/>
                <w:sz w:val="20"/>
              </w:rPr>
              <w:t xml:space="preserve">See, e.g., </w:t>
            </w:r>
            <w:hyperlink r:id="rId944" w:history="1">
              <w:r>
                <w:rPr>
                  <w:rFonts w:ascii="Arial" w:eastAsia="Arial" w:hAnsi="Arial" w:cs="Arial"/>
                  <w:i/>
                  <w:color w:val="0077CC"/>
                  <w:sz w:val="20"/>
                  <w:u w:val="single"/>
                </w:rPr>
                <w:t>Henry v. State, 419 Md. 588, 600-01, 19 A.3d 944, 952 (2011)</w:t>
              </w:r>
            </w:hyperlink>
            <w:r>
              <w:rPr>
                <w:rFonts w:ascii="Arial" w:eastAsia="Arial" w:hAnsi="Arial" w:cs="Arial"/>
                <w:color w:val="000000"/>
                <w:sz w:val="20"/>
              </w:rPr>
              <w:t xml:space="preserve"> ("[T]he doctrine of transferred intent is fully applicable where both the intended victim and an </w:t>
            </w:r>
            <w:r>
              <w:rPr>
                <w:rFonts w:ascii="Arial" w:eastAsia="Arial" w:hAnsi="Arial" w:cs="Arial"/>
                <w:color w:val="000000"/>
                <w:sz w:val="20"/>
              </w:rPr>
              <w:lastRenderedPageBreak/>
              <w:t>unintended victim are killed.").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16" style="position:absolute;left:0;text-align:left;z-index:25183744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0" name="Picture 6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951" w:history="1">
        <w:r>
          <w:rPr>
            <w:rFonts w:ascii="Arial" w:eastAsia="Arial" w:hAnsi="Arial" w:cs="Arial"/>
            <w:b/>
            <w:bCs/>
            <w:i/>
            <w:color w:val="0077CC"/>
            <w:kern w:val="32"/>
            <w:sz w:val="28"/>
            <w:szCs w:val="32"/>
            <w:u w:val="single"/>
          </w:rPr>
          <w:t>MPJI-Cr 4:17.1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AND SECOND DEGREE SPECIFIC INTENT MURDER (VOLUNTARY INTOXICATION GENERATED AND SECOND DEGREE DEPRAVED HEART MURDER AND INVOLUNTARY MANSLAUGHTER INSTRUCTED), BUT NO JUSTIFICATION OR MITIGATION GENERATED</w:t>
      </w:r>
    </w:p>
    <w:p w:rsidR="004729FB" w:rsidRDefault="004729FB" w:rsidP="004729FB">
      <w:pPr>
        <w:keepNext/>
        <w:spacing w:before="240" w:line="340" w:lineRule="atLeast"/>
      </w:pPr>
      <w:r>
        <w:br/>
      </w:r>
      <w:r>
        <w:rPr>
          <w:rFonts w:ascii="Arial" w:eastAsia="Arial" w:hAnsi="Arial" w:cs="Arial"/>
          <w:b/>
          <w:color w:val="000000"/>
          <w:sz w:val="28"/>
        </w:rPr>
        <w:t>4:17.1Homicide--First Degree Premeditated Murder and Second Degree Specific Intent Murder (Voluntary Intoxication Generated and Second Degree Depraved Heart Murder and Involuntary Manslaughter Instructed), But No Justification or Mitigation Generated</w:t>
      </w:r>
    </w:p>
    <w:p w:rsidR="004729FB" w:rsidRDefault="004729FB" w:rsidP="004729FB">
      <w:pPr>
        <w:spacing w:line="60" w:lineRule="exact"/>
      </w:pPr>
      <w:r>
        <w:pict>
          <v:line id="_x0000_s1207" style="position:absolute;z-index:25182822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and second degree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Deliberate means that the defendant was conscious of the intent to kill</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lastRenderedPageBreak/>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VOLUNTARY INTOXICATION</w:t>
      </w:r>
    </w:p>
    <w:p w:rsidR="004729FB" w:rsidRDefault="004729FB" w:rsidP="004729FB">
      <w:pPr>
        <w:spacing w:before="200" w:line="260" w:lineRule="atLeast"/>
        <w:ind w:left="400"/>
        <w:jc w:val="both"/>
      </w:pPr>
      <w:r>
        <w:rPr>
          <w:rFonts w:ascii="Arial" w:eastAsia="Arial" w:hAnsi="Arial" w:cs="Arial"/>
          <w:b/>
          <w:color w:val="000000"/>
          <w:sz w:val="20"/>
        </w:rPr>
        <w:t>You have heard evidence that the defendant acted while intoxicated by [alcohol] [drugs]. You must now consider [his] [her] mental state at the time of the act that caused the death. Generally, voluntary intoxication is not a defense and does not excuse or justify criminal conduct. However, when charged with an offense requiring a specific intent, the defendant cannot be guilty if [he] [she] was so intoxicated at the time of the act that [he] [she] was unable to form the necessary specific intent. A specific intent is a state of mind in which the defendant intends that [his] [her] act will cause a specific result. In this case, the defendant is charged with [one] [two] [three] specific intent [variety] [varieties] of the murder of (</w:t>
      </w:r>
      <w:r>
        <w:rPr>
          <w:rFonts w:ascii="Arial" w:eastAsia="Arial" w:hAnsi="Arial" w:cs="Arial"/>
          <w:b/>
          <w:color w:val="000000"/>
          <w:sz w:val="20"/>
          <w:u w:val="single"/>
        </w:rPr>
        <w:t>name</w:t>
      </w:r>
      <w:r>
        <w:rPr>
          <w:rFonts w:ascii="Arial" w:eastAsia="Arial" w:hAnsi="Arial" w:cs="Arial"/>
          <w:b/>
          <w:color w:val="000000"/>
          <w:sz w:val="20"/>
        </w:rPr>
        <w:t>), as follows: [first degree premeditated specific intent to kill murder] [second degree non-premeditated specific intent to kill murder], and [second degree specific intent to inflict serious bodily harm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the defendant was so intoxicated, at the time of the act causing the death, that [he] [she] was unable to form the necessary specific intent, then you cannot find the defendant guilty of any specific intent variety of murder. In order to convict the defendant of a specific intent murder, the State must prove, beyond a reasonable doubt, that the degree of the intoxication did not prevent the defendant from forming the specific intent. A person can be [drinking alcoholic beverages] [taking drugs] and can even be intoxicated, but still have the necessary mental ability to form a specific intent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the State proved, beyond a reasonable doubt, that the defendant killed (</w:t>
      </w:r>
      <w:r>
        <w:rPr>
          <w:rFonts w:ascii="Arial" w:eastAsia="Arial" w:hAnsi="Arial" w:cs="Arial"/>
          <w:b/>
          <w:color w:val="000000"/>
          <w:sz w:val="20"/>
          <w:u w:val="single"/>
        </w:rPr>
        <w:t>name</w:t>
      </w:r>
      <w:r>
        <w:rPr>
          <w:rFonts w:ascii="Arial" w:eastAsia="Arial" w:hAnsi="Arial" w:cs="Arial"/>
          <w:b/>
          <w:color w:val="000000"/>
          <w:sz w:val="20"/>
        </w:rPr>
        <w:t>), and did so with the necessary specific intent, even though intoxicated, then you should find the defendant guilty of specific intent murder. If you find the defendant guilty of specific intent murder, do not address depraved heart murder or involuntary manslaughter. If, on the other hand, in light of the defendant's intoxication, the State did not prove, beyond a reasonable doubt, that the defendant had the necessary specific intent when [he] [she] did the act that caused the death, then you should go on to consider depraved heart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DEPRAVED HEART MURDER</w:t>
      </w:r>
    </w:p>
    <w:p w:rsidR="004729FB" w:rsidRDefault="004729FB" w:rsidP="004729FB">
      <w:pPr>
        <w:spacing w:before="200" w:line="260" w:lineRule="atLeast"/>
        <w:ind w:left="400"/>
        <w:jc w:val="both"/>
      </w:pPr>
      <w:r>
        <w:rPr>
          <w:rFonts w:ascii="Arial" w:eastAsia="Arial" w:hAnsi="Arial" w:cs="Arial"/>
          <w:b/>
          <w:color w:val="000000"/>
          <w:sz w:val="20"/>
        </w:rPr>
        <w:t>The defendant also is charged with second degree depraved heart murder. Second degree depraved heart murder is the killing of another person while acting with an extreme disregard for human life. Voluntary intoxication is not a defense to second degree depraved heart murder because that variety of murder does not require a specific intent. In order to convict the defendant of second degree depraved heart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defendant's conduct created a very high degree of risk to the life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800"/>
        <w:jc w:val="both"/>
      </w:pPr>
      <w:r>
        <w:rPr>
          <w:rFonts w:ascii="Arial" w:eastAsia="Arial" w:hAnsi="Arial" w:cs="Arial"/>
          <w:b/>
          <w:color w:val="000000"/>
          <w:sz w:val="20"/>
        </w:rPr>
        <w:t>(3) that the defendant, conscious of such risk, acted with extreme disregard of the life-endangering consequences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the State proved, beyond a reasonable doubt, that the defendant committed second degree depraved heart murder, do not consider involuntary manslaughter. If, on the other hand, the State did not prove, beyond a reasonable doubt, that the defendant committed second degree depraved heart murder, then you should go on to consider involuntary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E</w:t>
      </w:r>
    </w:p>
    <w:p w:rsidR="004729FB" w:rsidRDefault="004729FB" w:rsidP="004729FB">
      <w:pPr>
        <w:spacing w:before="200" w:line="260" w:lineRule="atLeast"/>
        <w:jc w:val="both"/>
      </w:pPr>
      <w:r>
        <w:rPr>
          <w:rFonts w:ascii="Arial" w:eastAsia="Arial" w:hAnsi="Arial" w:cs="Arial"/>
          <w:b/>
          <w:color w:val="000000"/>
          <w:sz w:val="20"/>
        </w:rPr>
        <w:t>INVOLUNTARY MANSLAUGHTER--GROSSLY NEGLIGENT ACT</w:t>
      </w:r>
    </w:p>
    <w:p w:rsidR="004729FB" w:rsidRDefault="004729FB" w:rsidP="004729FB">
      <w:pPr>
        <w:spacing w:before="200" w:line="260" w:lineRule="atLeast"/>
        <w:ind w:left="400"/>
        <w:jc w:val="both"/>
      </w:pPr>
      <w:r>
        <w:rPr>
          <w:rFonts w:ascii="Arial" w:eastAsia="Arial" w:hAnsi="Arial" w:cs="Arial"/>
          <w:b/>
          <w:color w:val="000000"/>
          <w:sz w:val="20"/>
        </w:rPr>
        <w:t>The defendant also is charged with the crime of involuntary manslaughter. Voluntary intoxication is not a defense to involuntary manslaughter because that crime does not require a specific intent. In order to convict the defendant of involuntary manslaughter,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acted in a grossly negligent manner; and</w:t>
      </w:r>
    </w:p>
    <w:p w:rsidR="004729FB" w:rsidRDefault="004729FB" w:rsidP="004729FB">
      <w:pPr>
        <w:spacing w:before="200" w:line="260" w:lineRule="atLeast"/>
        <w:ind w:left="800"/>
        <w:jc w:val="both"/>
      </w:pPr>
      <w:r>
        <w:rPr>
          <w:rFonts w:ascii="Arial" w:eastAsia="Arial" w:hAnsi="Arial" w:cs="Arial"/>
          <w:b/>
          <w:color w:val="000000"/>
          <w:sz w:val="20"/>
        </w:rPr>
        <w:t>(2) that this grossly negligent conduct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"Grossly negligent" means that the defendant, while aware of the risk, acted in a manner that created a high degree of risk to, and showed a reckless disregard for, human life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defendant was unaware of the risk due to self-induced intoxication, that unawareness is not a defense.]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5:08 (Voluntary Intoxication).</w:t>
            </w:r>
          </w:p>
          <w:p w:rsidR="004729FB" w:rsidRDefault="004729FB" w:rsidP="00713DA5">
            <w:pPr>
              <w:spacing w:before="240" w:line="260" w:lineRule="atLeast"/>
              <w:ind w:left="60" w:right="360"/>
              <w:jc w:val="both"/>
            </w:pPr>
            <w:r>
              <w:rPr>
                <w:rFonts w:ascii="Arial" w:eastAsia="Arial" w:hAnsi="Arial" w:cs="Arial"/>
                <w:color w:val="000000"/>
                <w:sz w:val="20"/>
              </w:rPr>
              <w:t xml:space="preserve">When a crime requires a specific intent, evidence of voluntary intoxication is relevant in determining whether the defendant possessed the requisite mental state to have criminal culpability for specific intent offenses. </w:t>
            </w:r>
            <w:hyperlink r:id="rId952" w:history="1">
              <w:r>
                <w:rPr>
                  <w:rFonts w:ascii="Arial" w:eastAsia="Arial" w:hAnsi="Arial" w:cs="Arial"/>
                  <w:i/>
                  <w:color w:val="0077CC"/>
                  <w:sz w:val="20"/>
                  <w:u w:val="single"/>
                </w:rPr>
                <w:t>Hook v. State, 315 Md. 25, 30, 553 A.2d 233, 235 (1989);</w:t>
              </w:r>
            </w:hyperlink>
            <w:r>
              <w:rPr>
                <w:rFonts w:ascii="Arial" w:eastAsia="Arial" w:hAnsi="Arial" w:cs="Arial"/>
                <w:color w:val="000000"/>
                <w:sz w:val="20"/>
              </w:rPr>
              <w:t xml:space="preserve"> </w:t>
            </w:r>
            <w:hyperlink r:id="rId953" w:history="1">
              <w:r>
                <w:rPr>
                  <w:rFonts w:ascii="Arial" w:eastAsia="Arial" w:hAnsi="Arial" w:cs="Arial"/>
                  <w:i/>
                  <w:color w:val="0077CC"/>
                  <w:sz w:val="20"/>
                  <w:u w:val="single"/>
                </w:rPr>
                <w:t>Shell v. State, 307 Md. 46, 58-68, 512 A.2d 358, 364-69 (1986),</w:t>
              </w:r>
            </w:hyperlink>
            <w:r>
              <w:rPr>
                <w:rFonts w:ascii="Arial" w:eastAsia="Arial" w:hAnsi="Arial" w:cs="Arial"/>
                <w:color w:val="000000"/>
                <w:sz w:val="20"/>
              </w:rPr>
              <w:t xml:space="preserve"> </w:t>
            </w:r>
            <w:r>
              <w:rPr>
                <w:rFonts w:ascii="Arial" w:eastAsia="Arial" w:hAnsi="Arial" w:cs="Arial"/>
                <w:i/>
                <w:color w:val="000000"/>
                <w:sz w:val="20"/>
              </w:rPr>
              <w:t xml:space="preserve">abrogated on other grounds by </w:t>
            </w:r>
            <w:hyperlink r:id="rId954" w:history="1">
              <w:r>
                <w:rPr>
                  <w:rFonts w:ascii="Arial" w:eastAsia="Arial" w:hAnsi="Arial" w:cs="Arial"/>
                  <w:i/>
                  <w:color w:val="0077CC"/>
                  <w:sz w:val="20"/>
                  <w:u w:val="single"/>
                </w:rPr>
                <w:t>Price v. State, 405 Md. 10, 949 A.2d 619 (2008);</w:t>
              </w:r>
            </w:hyperlink>
            <w:r>
              <w:rPr>
                <w:rFonts w:ascii="Arial" w:eastAsia="Arial" w:hAnsi="Arial" w:cs="Arial"/>
                <w:color w:val="000000"/>
                <w:sz w:val="20"/>
              </w:rPr>
              <w:t xml:space="preserve"> </w:t>
            </w:r>
            <w:hyperlink r:id="rId955" w:history="1">
              <w:r>
                <w:rPr>
                  <w:rFonts w:ascii="Arial" w:eastAsia="Arial" w:hAnsi="Arial" w:cs="Arial"/>
                  <w:i/>
                  <w:color w:val="0077CC"/>
                  <w:sz w:val="20"/>
                  <w:u w:val="single"/>
                </w:rPr>
                <w:t>State v. Gover, 267 Md. 602, 606-08, 298 A.2d 378, 381-82 (1973);</w:t>
              </w:r>
            </w:hyperlink>
            <w:r>
              <w:rPr>
                <w:rFonts w:ascii="Arial" w:eastAsia="Arial" w:hAnsi="Arial" w:cs="Arial"/>
                <w:color w:val="000000"/>
                <w:sz w:val="20"/>
              </w:rPr>
              <w:t xml:space="preserve"> </w:t>
            </w:r>
            <w:hyperlink r:id="rId956" w:history="1">
              <w:r>
                <w:rPr>
                  <w:rFonts w:ascii="Arial" w:eastAsia="Arial" w:hAnsi="Arial" w:cs="Arial"/>
                  <w:i/>
                  <w:color w:val="0077CC"/>
                  <w:sz w:val="20"/>
                  <w:u w:val="single"/>
                </w:rPr>
                <w:t>Cirincione v. State, 75 Md. App. 166, 170 n.1, 540 A.2d 1151, 1154 n.1,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957" w:history="1">
              <w:r>
                <w:rPr>
                  <w:rFonts w:ascii="Arial" w:eastAsia="Arial" w:hAnsi="Arial" w:cs="Arial"/>
                  <w:i/>
                  <w:color w:val="0077CC"/>
                  <w:sz w:val="20"/>
                  <w:u w:val="single"/>
                </w:rPr>
                <w:t>313 Md. 611, 547 A.2d 188 (1988).</w:t>
              </w:r>
            </w:hyperlink>
            <w:r>
              <w:rPr>
                <w:rFonts w:ascii="Arial" w:eastAsia="Arial" w:hAnsi="Arial" w:cs="Arial"/>
                <w:color w:val="000000"/>
                <w:sz w:val="20"/>
              </w:rPr>
              <w:t xml:space="preserve"> By contrast, voluntary intoxication is not a defense to a general intent crime, and thus evidence of voluntary intoxication is not relevant in determining criminal culpability for general intent offenses. </w:t>
            </w:r>
            <w:r>
              <w:rPr>
                <w:rFonts w:ascii="Arial" w:eastAsia="Arial" w:hAnsi="Arial" w:cs="Arial"/>
                <w:i/>
                <w:color w:val="000000"/>
                <w:sz w:val="20"/>
              </w:rPr>
              <w:t xml:space="preserve">E.g., </w:t>
            </w:r>
            <w:hyperlink r:id="rId958" w:history="1">
              <w:r>
                <w:rPr>
                  <w:rFonts w:ascii="Arial" w:eastAsia="Arial" w:hAnsi="Arial" w:cs="Arial"/>
                  <w:i/>
                  <w:color w:val="0077CC"/>
                  <w:sz w:val="20"/>
                  <w:u w:val="single"/>
                </w:rPr>
                <w:t>Shell, 307 Md. at 68-70, 512 A.2d at 369-70;</w:t>
              </w:r>
            </w:hyperlink>
            <w:r>
              <w:rPr>
                <w:rFonts w:ascii="Arial" w:eastAsia="Arial" w:hAnsi="Arial" w:cs="Arial"/>
                <w:color w:val="000000"/>
                <w:sz w:val="20"/>
              </w:rPr>
              <w:t xml:space="preserve"> </w:t>
            </w:r>
            <w:hyperlink r:id="rId959" w:history="1">
              <w:r>
                <w:rPr>
                  <w:rFonts w:ascii="Arial" w:eastAsia="Arial" w:hAnsi="Arial" w:cs="Arial"/>
                  <w:i/>
                  <w:color w:val="0077CC"/>
                  <w:sz w:val="20"/>
                  <w:u w:val="single"/>
                </w:rPr>
                <w:t>Bryant v. State, 83 Md. App. 237, 248, 574 A.2d 29, 34 (1990).</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Voluntary intoxication may negate the requisite mental state, and thus may negate criminal culpability, for any crime requiring a specific intent. Thus, when the crime is a specific intent murder, voluntary intoxication may negate guilt by negating the specific intent. This is true for first degree premeditated specific intent to kill murder, second degree non-premeditated specific intent to kill murder, and second degree specific intent to do serious bodily harm murder. In addition, voluntary intoxication may negate guilt for voluntary manslaughter, which consists of any of the three varieties of specific intent murder, when mitigated either by hot-blooded response to legally adequate provocation or by an imperfect necessity-based defense. The defense of voluntary intoxication requires the defendant to be so intoxicated that the defendant is incapable of forming the requisite specific intent. </w:t>
            </w:r>
            <w:hyperlink r:id="rId960" w:history="1">
              <w:r>
                <w:rPr>
                  <w:rFonts w:ascii="Arial" w:eastAsia="Arial" w:hAnsi="Arial" w:cs="Arial"/>
                  <w:i/>
                  <w:color w:val="0077CC"/>
                  <w:sz w:val="20"/>
                  <w:u w:val="single"/>
                </w:rPr>
                <w:t>Shell, 307 Md. at 61-65, 512 A.2d at 365-67;</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961" w:history="1">
              <w:r>
                <w:rPr>
                  <w:rFonts w:ascii="Arial" w:eastAsia="Arial" w:hAnsi="Arial" w:cs="Arial"/>
                  <w:i/>
                  <w:color w:val="0077CC"/>
                  <w:sz w:val="20"/>
                  <w:u w:val="single"/>
                </w:rPr>
                <w:t>Smith v. State, 69 Md. App. 115, 117-22, 516 A.2d 985, 987-89 (1986)</w:t>
              </w:r>
            </w:hyperlink>
            <w:r>
              <w:rPr>
                <w:rFonts w:ascii="Arial" w:eastAsia="Arial" w:hAnsi="Arial" w:cs="Arial"/>
                <w:color w:val="000000"/>
                <w:sz w:val="20"/>
              </w:rPr>
              <w:t xml:space="preserve"> (discussing the amount of intoxication needed to generate the issue). The quantity of the intoxicating substance that is consumed cannot, when standing alone, establish the defense of voluntary intoxication. There must be evidence that the defendant was so intoxicated that the defendant was incapable of forming the requisite specific intent. </w:t>
            </w:r>
            <w:hyperlink r:id="rId962" w:history="1">
              <w:r>
                <w:rPr>
                  <w:rFonts w:ascii="Arial" w:eastAsia="Arial" w:hAnsi="Arial" w:cs="Arial"/>
                  <w:i/>
                  <w:color w:val="0077CC"/>
                  <w:sz w:val="20"/>
                  <w:u w:val="single"/>
                </w:rPr>
                <w:t>Lewis v. State, 79 Md. App. 1, 12-13, 555 A.2d 509, 514-15,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316 Md. 549, 560 A.2d 1118 (1989).</w:t>
            </w:r>
            <w:r>
              <w:rPr>
                <w:rFonts w:ascii="Arial" w:eastAsia="Arial" w:hAnsi="Arial" w:cs="Arial"/>
                <w:color w:val="000000"/>
                <w:sz w:val="20"/>
              </w:rPr>
              <w:t xml:space="preserve"> Moreover, to succeed under the defense of voluntary intoxication, the defendant's impulse to commit the crime must have arisen subsequent to becoming voluntarily intoxicated. </w:t>
            </w:r>
            <w:r>
              <w:rPr>
                <w:rFonts w:ascii="Arial" w:eastAsia="Arial" w:hAnsi="Arial" w:cs="Arial"/>
                <w:i/>
                <w:color w:val="000000"/>
                <w:sz w:val="20"/>
              </w:rPr>
              <w:t xml:space="preserve">See </w:t>
            </w:r>
            <w:hyperlink r:id="rId963" w:history="1">
              <w:r>
                <w:rPr>
                  <w:rFonts w:ascii="Arial" w:eastAsia="Arial" w:hAnsi="Arial" w:cs="Arial"/>
                  <w:i/>
                  <w:color w:val="0077CC"/>
                  <w:sz w:val="20"/>
                  <w:u w:val="single"/>
                </w:rPr>
                <w:t>Gover, 267 Md. at 607, 298 A.2d at 381;</w:t>
              </w:r>
            </w:hyperlink>
            <w:r>
              <w:rPr>
                <w:rFonts w:ascii="Arial" w:eastAsia="Arial" w:hAnsi="Arial" w:cs="Arial"/>
                <w:color w:val="000000"/>
                <w:sz w:val="20"/>
              </w:rPr>
              <w:t xml:space="preserve"> </w:t>
            </w:r>
            <w:hyperlink r:id="rId964" w:history="1">
              <w:r>
                <w:rPr>
                  <w:rFonts w:ascii="Arial" w:eastAsia="Arial" w:hAnsi="Arial" w:cs="Arial"/>
                  <w:i/>
                  <w:color w:val="0077CC"/>
                  <w:sz w:val="20"/>
                  <w:u w:val="single"/>
                </w:rPr>
                <w:t>Myers v. State, 58 Md. App. 211, 218, 472 A.2d 1027, 1031-32,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300 Md. 484, 479 A.2d 373 (1984).</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ROLLIN M. PERKINS &amp; RONALD N. BOYCE, CRIMINAL LAW 1007-10 (3d ed. 1982).</w:t>
            </w:r>
          </w:p>
          <w:p w:rsidR="004729FB" w:rsidRDefault="004729FB" w:rsidP="00713DA5">
            <w:pPr>
              <w:spacing w:before="200" w:line="260" w:lineRule="atLeast"/>
              <w:ind w:left="60" w:right="360"/>
              <w:jc w:val="both"/>
            </w:pPr>
            <w:r>
              <w:rPr>
                <w:rFonts w:ascii="Arial" w:eastAsia="Arial" w:hAnsi="Arial" w:cs="Arial"/>
                <w:color w:val="000000"/>
                <w:sz w:val="20"/>
              </w:rPr>
              <w:lastRenderedPageBreak/>
              <w:t>Assuming that the defendant was sufficiently intoxicated to negate the capacity to form a specific intent to kill or a specific intent to do serious bodily harm, that fact does not necessarily preclude the defendant from being convicted of murder. An intoxicated defendant may be convicted of depraved heart murder or its lesser-included involuntary manslaughter.</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Cirincione</w:t>
            </w:r>
            <w:r>
              <w:rPr>
                <w:rFonts w:ascii="Arial" w:eastAsia="Arial" w:hAnsi="Arial" w:cs="Arial"/>
                <w:color w:val="000000"/>
                <w:sz w:val="20"/>
              </w:rPr>
              <w:t xml:space="preserve">, Judge Moylan, writing for the panel, explained the relationship between "specific intent murder" and "depraved heart murder" in the context of voluntary intoxication. </w:t>
            </w:r>
            <w:hyperlink r:id="rId965" w:history="1">
              <w:r>
                <w:rPr>
                  <w:rFonts w:ascii="Arial" w:eastAsia="Arial" w:hAnsi="Arial" w:cs="Arial"/>
                  <w:i/>
                  <w:color w:val="0077CC"/>
                  <w:sz w:val="20"/>
                  <w:u w:val="single"/>
                </w:rPr>
                <w:t>75 Md. App. 166, 540 A.2d 1151.</w:t>
              </w:r>
            </w:hyperlink>
            <w:r>
              <w:rPr>
                <w:rFonts w:ascii="Arial" w:eastAsia="Arial" w:hAnsi="Arial" w:cs="Arial"/>
                <w:color w:val="000000"/>
                <w:sz w:val="20"/>
              </w:rPr>
              <w:t xml:space="preserve"> He explained that voluntary intoxication may negate any specific intent offense, including specific intent to kill murder and specific intent to do serious bodily harm murder. </w:t>
            </w:r>
            <w:hyperlink r:id="rId966" w:history="1">
              <w:r>
                <w:rPr>
                  <w:rFonts w:ascii="Arial" w:eastAsia="Arial" w:hAnsi="Arial" w:cs="Arial"/>
                  <w:i/>
                  <w:color w:val="0077CC"/>
                  <w:sz w:val="20"/>
                  <w:u w:val="single"/>
                </w:rPr>
                <w:t>Id. at 170 n.1, 540 A.2d at 1153 n.1.</w:t>
              </w:r>
            </w:hyperlink>
            <w:r>
              <w:rPr>
                <w:rFonts w:ascii="Arial" w:eastAsia="Arial" w:hAnsi="Arial" w:cs="Arial"/>
                <w:color w:val="000000"/>
                <w:sz w:val="20"/>
              </w:rPr>
              <w:t xml:space="preserve"> Judge Moylan noted, however, that in the crime of murder, the State may establish a prima facie case of depraved heart murder with evidence of a homicidal act committed by a defendant who was voluntarily intoxicated. </w:t>
            </w:r>
            <w:r>
              <w:rPr>
                <w:rFonts w:ascii="Arial" w:eastAsia="Arial" w:hAnsi="Arial" w:cs="Arial"/>
                <w:i/>
                <w:color w:val="000000"/>
                <w:sz w:val="20"/>
              </w:rPr>
              <w:t>Id.</w:t>
            </w:r>
            <w:r>
              <w:rPr>
                <w:rFonts w:ascii="Arial" w:eastAsia="Arial" w:hAnsi="Arial" w:cs="Arial"/>
                <w:color w:val="000000"/>
                <w:sz w:val="20"/>
              </w:rPr>
              <w:t xml:space="preserve"> Such evidence may demonstrate the general intent needed for depraved heart murder, which is a conscious disregard of an extremely high risk of death. </w:t>
            </w:r>
            <w:r>
              <w:rPr>
                <w:rFonts w:ascii="Arial" w:eastAsia="Arial" w:hAnsi="Arial" w:cs="Arial"/>
                <w:i/>
                <w:color w:val="000000"/>
                <w:sz w:val="20"/>
              </w:rPr>
              <w:t>Id.</w:t>
            </w:r>
            <w:r>
              <w:rPr>
                <w:rFonts w:ascii="Arial" w:eastAsia="Arial" w:hAnsi="Arial" w:cs="Arial"/>
                <w:color w:val="000000"/>
                <w:sz w:val="20"/>
              </w:rPr>
              <w:t xml:space="preserve"> Judge Moylan explained that, analytically, the specific intent to kill does not take the defendant "down" from a higher degree to a lower degree of the same kind of murder, but rather takes the defendant "down and over" to a different kind of murder--depraved heart murder. </w:t>
            </w:r>
            <w:r>
              <w:rPr>
                <w:rFonts w:ascii="Arial" w:eastAsia="Arial" w:hAnsi="Arial" w:cs="Arial"/>
                <w:i/>
                <w:color w:val="000000"/>
                <w:sz w:val="20"/>
              </w:rPr>
              <w:t xml:space="preserve">Id.; accord </w:t>
            </w:r>
            <w:hyperlink r:id="rId967" w:history="1">
              <w:r>
                <w:rPr>
                  <w:rFonts w:ascii="Arial" w:eastAsia="Arial" w:hAnsi="Arial" w:cs="Arial"/>
                  <w:i/>
                  <w:color w:val="0077CC"/>
                  <w:sz w:val="20"/>
                  <w:u w:val="single"/>
                </w:rPr>
                <w:t>Hook, 315 Md. at 29, 553 A.2d at 235.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Although voluntary intoxication may negate specific intent, it is not a defense to voluntary manslaughter, and it cannot be used to negate the consciousness of risk that is required for involuntary manslaughter. </w:t>
            </w:r>
            <w:r>
              <w:rPr>
                <w:rFonts w:ascii="Arial" w:eastAsia="Arial" w:hAnsi="Arial" w:cs="Arial"/>
                <w:i/>
                <w:color w:val="000000"/>
                <w:sz w:val="20"/>
              </w:rPr>
              <w:t xml:space="preserve">See </w:t>
            </w:r>
            <w:hyperlink r:id="rId968" w:history="1">
              <w:r>
                <w:rPr>
                  <w:rFonts w:ascii="Arial" w:eastAsia="Arial" w:hAnsi="Arial" w:cs="Arial"/>
                  <w:i/>
                  <w:color w:val="0077CC"/>
                  <w:sz w:val="20"/>
                  <w:u w:val="single"/>
                </w:rPr>
                <w:t>Brown v. State, 90 Md. App. 220, 600 A.2d 1126,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969" w:history="1">
              <w:r>
                <w:rPr>
                  <w:rFonts w:ascii="Arial" w:eastAsia="Arial" w:hAnsi="Arial" w:cs="Arial"/>
                  <w:i/>
                  <w:color w:val="0077CC"/>
                  <w:sz w:val="20"/>
                  <w:u w:val="single"/>
                </w:rPr>
                <w:t>326 Md. 661, 607 A.2d 6 (1992).</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17" style="position:absolute;z-index:25183846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4:17.2, MPJI-Cr 4:17.3, MPJI-Cr 4:17.4, MPJI-Cr 4:17.5, MPJI-Cr 4:17.6, MPJI-Cr 5:08.</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23" style="position:absolute;left:0;text-align:left;z-index:2518446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9" name="Picture 5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976" w:history="1">
        <w:r>
          <w:rPr>
            <w:rFonts w:ascii="Arial" w:eastAsia="Arial" w:hAnsi="Arial" w:cs="Arial"/>
            <w:b/>
            <w:bCs/>
            <w:i/>
            <w:color w:val="0077CC"/>
            <w:kern w:val="32"/>
            <w:sz w:val="28"/>
            <w:szCs w:val="32"/>
            <w:u w:val="single"/>
          </w:rPr>
          <w:t>MPJI-Cr 4:17.2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SECOND DEGREE SPECIFIC INTENT MURDER AND VOLUNTARY MANSLAUGHTER (PERFECT/IMPERFECT SELF-DEFENSE AND PERFECT/IMPERFECT DEFENSE OF HABITATION)</w:t>
      </w:r>
    </w:p>
    <w:p w:rsidR="004729FB" w:rsidRDefault="004729FB" w:rsidP="004729FB">
      <w:pPr>
        <w:keepNext/>
        <w:spacing w:before="240" w:line="340" w:lineRule="atLeast"/>
      </w:pPr>
      <w:r>
        <w:br/>
      </w:r>
      <w:r>
        <w:rPr>
          <w:rFonts w:ascii="Arial" w:eastAsia="Arial" w:hAnsi="Arial" w:cs="Arial"/>
          <w:b/>
          <w:color w:val="000000"/>
          <w:sz w:val="28"/>
        </w:rPr>
        <w:t>4:17.2Homicide--First Degree Premeditated Murder, Second Degree Specific Intent Murder and Voluntary Manslaughter (Perfect/Imperfect Self-Defense and Perfect/Imperfect Defense of Habitation)</w:t>
      </w:r>
    </w:p>
    <w:p w:rsidR="004729FB" w:rsidRDefault="004729FB" w:rsidP="004729FB">
      <w:pPr>
        <w:spacing w:line="60" w:lineRule="exact"/>
      </w:pPr>
      <w:r>
        <w:pict>
          <v:line id="_x0000_s1208" style="position:absolute;z-index:25182924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second degree murder, and 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that the killing was not justified; and</w:t>
      </w:r>
    </w:p>
    <w:p w:rsidR="004729FB" w:rsidRDefault="004729FB" w:rsidP="004729FB">
      <w:pPr>
        <w:spacing w:before="200" w:line="260" w:lineRule="atLeast"/>
        <w:ind w:left="800"/>
        <w:jc w:val="both"/>
      </w:pPr>
      <w:r>
        <w:rPr>
          <w:rFonts w:ascii="Arial" w:eastAsia="Arial" w:hAnsi="Arial" w:cs="Arial"/>
          <w:b/>
          <w:color w:val="000000"/>
          <w:sz w:val="20"/>
        </w:rPr>
        <w:t>(4) that there were no mitigating circumstances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Deliberate means that the defendant was conscious of the intent to kill</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 xml:space="preserve">Second degree murder is the killing of another person with either the intent to kill or the intent to inflict such serious bodily harm that death would be the likely result. Second degree murder does not require </w:t>
      </w:r>
      <w:r>
        <w:rPr>
          <w:rFonts w:ascii="Arial" w:eastAsia="Arial" w:hAnsi="Arial" w:cs="Arial"/>
          <w:b/>
          <w:color w:val="000000"/>
          <w:sz w:val="20"/>
        </w:rPr>
        <w:lastRenderedPageBreak/>
        <w:t>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that the killing was not justified; and</w:t>
      </w:r>
    </w:p>
    <w:p w:rsidR="004729FB" w:rsidRDefault="004729FB" w:rsidP="004729FB">
      <w:pPr>
        <w:spacing w:before="200" w:line="260" w:lineRule="atLeast"/>
        <w:ind w:left="800"/>
        <w:jc w:val="both"/>
      </w:pPr>
      <w:r>
        <w:rPr>
          <w:rFonts w:ascii="Arial" w:eastAsia="Arial" w:hAnsi="Arial" w:cs="Arial"/>
          <w:b/>
          <w:color w:val="000000"/>
          <w:sz w:val="20"/>
        </w:rPr>
        <w:t>(4) that there were no mitigating circumstances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VOLUNTARY MANSLAUGHTER (PERFECT/IMPERFECT SELF-DEFENSE)</w:t>
      </w:r>
    </w:p>
    <w:p w:rsidR="004729FB" w:rsidRDefault="004729FB" w:rsidP="004729FB">
      <w:pPr>
        <w:spacing w:before="200" w:line="260" w:lineRule="atLeast"/>
        <w:ind w:left="400"/>
        <w:jc w:val="both"/>
      </w:pPr>
      <w:r>
        <w:rPr>
          <w:rFonts w:ascii="Arial" w:eastAsia="Arial" w:hAnsi="Arial" w:cs="Arial"/>
          <w:b/>
          <w:color w:val="000000"/>
          <w:sz w:val="20"/>
        </w:rPr>
        <w:t>Voluntary manslaughter is an intentional killing, which is not murder because the defendant acted in partial self-defense. Partial self-defense does not result in a verdict of not guilty, but rather reduces the level of guilt from murder to manslaughter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You have heard evidence that the defendant killed (</w:t>
      </w:r>
      <w:r>
        <w:rPr>
          <w:rFonts w:ascii="Arial" w:eastAsia="Arial" w:hAnsi="Arial" w:cs="Arial"/>
          <w:b/>
          <w:color w:val="000000"/>
          <w:sz w:val="20"/>
          <w:u w:val="single"/>
        </w:rPr>
        <w:t>name</w:t>
      </w:r>
      <w:r>
        <w:rPr>
          <w:rFonts w:ascii="Arial" w:eastAsia="Arial" w:hAnsi="Arial" w:cs="Arial"/>
          <w:b/>
          <w:color w:val="000000"/>
          <w:sz w:val="20"/>
        </w:rPr>
        <w:t>) in self-defense. You must decide whether this is a complete defense, a partial defense, or no defense in this case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either complete self-defense or partial self-defense. If the defendant did act in complete self-defense, your verdict must be not guilty. If the defendant did not act in complete self-defense, but did act in partial self-defense, your verdict must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Self-defense is a complete defense, and you are required to find the defendant not guilty, if all of the following four factors are present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the defendant was not the aggressor [[or, although the defendant was the initial aggressor, [he] [she] did not raise the fight to the deadly force level]]</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the defendant actually believed that [he] [she] was in immediate or imminent danger of death or serious bodily harm</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the defendant's belief was reasonable; and</w:t>
      </w:r>
    </w:p>
    <w:p w:rsidR="004729FB" w:rsidRDefault="004729FB" w:rsidP="004729FB">
      <w:pPr>
        <w:spacing w:before="200" w:line="260" w:lineRule="atLeast"/>
        <w:ind w:left="800"/>
        <w:jc w:val="both"/>
      </w:pPr>
      <w:r>
        <w:rPr>
          <w:rFonts w:ascii="Arial" w:eastAsia="Arial" w:hAnsi="Arial" w:cs="Arial"/>
          <w:b/>
          <w:color w:val="000000"/>
          <w:sz w:val="20"/>
        </w:rPr>
        <w:t>(4) the defendant used no more force than was reasonably necessary to defend [himself] [herself] in light of the threatened or actual force. [[This limit on the defendant's use of deadly force requires the defendant to make a reasonable effort to retreat. The defendant does not have to retreat if [the defendant was in his or her home] [retreat was unsafe] [the avenue of retreat was unknown to the defendant] [the defendant was being robbed] [the defendant was lawfully arresting the victim]]</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self-defense does not apply in this case. This means that you are required to find the defendant not guilty, unless the State has persuaded you, beyond a reasonable doubt, that at least one of the four factors of complete self-defense was absent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Even if you find that the defendant did not act in complete self-defense, the defendant may still have acted in partial self-defense. [If the defendant actually believed that [he] [she] was in immediate or imminent danger of death or serious bodily harm, even though a reasonable person would not have so believed, the defendant's actual, though unreasonable, belief is a partial self-defense and the verdict should be guilty of voluntary manslaughter rather than murder.] [If the defendant used greater force than a reasonable person would have used, but the defendant actually believed that the force used was </w:t>
      </w:r>
      <w:r>
        <w:rPr>
          <w:rFonts w:ascii="Arial" w:eastAsia="Arial" w:hAnsi="Arial" w:cs="Arial"/>
          <w:b/>
          <w:color w:val="000000"/>
          <w:sz w:val="20"/>
        </w:rPr>
        <w:lastRenderedPageBreak/>
        <w:t>necessary, the defendant's actual, though unreasonable, belief is a partial self-defense and the verdict should be guilty of voluntary manslaughter rather than murder.]</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complete self-defense or partial self-defense. If the defendant did act in complete self-defense, the verdict must be not guilty. If the defendant did not act in complete self-defense, but did act in partial self-defense, the verdict must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VOLUNTARY MANSLAUGHTER (PERFECT/IMPERFECT DEFENSE OF HABITATION)</w:t>
      </w:r>
    </w:p>
    <w:p w:rsidR="004729FB" w:rsidRDefault="004729FB" w:rsidP="004729FB">
      <w:pPr>
        <w:spacing w:before="200" w:line="260" w:lineRule="atLeast"/>
        <w:ind w:left="400"/>
        <w:jc w:val="both"/>
      </w:pPr>
      <w:r>
        <w:rPr>
          <w:rFonts w:ascii="Arial" w:eastAsia="Arial" w:hAnsi="Arial" w:cs="Arial"/>
          <w:b/>
          <w:color w:val="000000"/>
          <w:sz w:val="20"/>
        </w:rPr>
        <w:t>Voluntary manslaughter is an intentional killing that is not murder because the defendant acted in partial defense of [his] [her] home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You have heard evidence that the defendant killed (</w:t>
      </w:r>
      <w:r>
        <w:rPr>
          <w:rFonts w:ascii="Arial" w:eastAsia="Arial" w:hAnsi="Arial" w:cs="Arial"/>
          <w:b/>
          <w:color w:val="000000"/>
          <w:sz w:val="20"/>
          <w:u w:val="single"/>
        </w:rPr>
        <w:t>name</w:t>
      </w:r>
      <w:r>
        <w:rPr>
          <w:rFonts w:ascii="Arial" w:eastAsia="Arial" w:hAnsi="Arial" w:cs="Arial"/>
          <w:b/>
          <w:color w:val="000000"/>
          <w:sz w:val="20"/>
        </w:rPr>
        <w:t>) in defense of [his] [her] home. You must decide whether this is a complete defense, a partial defense, or no defense in this case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either complete defense of [his] [her] home or partial defense of [his] [her] home. If the defendant acted in complete defense of [his] [her] home, your verdict must be not guilty. If the defendant did not act in complete defense of [his] [her] home, but did act in partial defense of [his] [her] home, the verdict should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Defense of one's home is a complete defense, and you are required to find the defendant not guilty, if all of the following five factors are present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w:t>
      </w:r>
      <w:r>
        <w:rPr>
          <w:rFonts w:ascii="Arial" w:eastAsia="Arial" w:hAnsi="Arial" w:cs="Arial"/>
          <w:b/>
          <w:color w:val="000000"/>
          <w:sz w:val="20"/>
          <w:u w:val="single"/>
        </w:rPr>
        <w:t>name</w:t>
      </w:r>
      <w:r>
        <w:rPr>
          <w:rFonts w:ascii="Arial" w:eastAsia="Arial" w:hAnsi="Arial" w:cs="Arial"/>
          <w:b/>
          <w:color w:val="000000"/>
          <w:sz w:val="20"/>
        </w:rPr>
        <w:t>) entered [or attempted to enter] the defendant's home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the defendant actually believed that (</w:t>
      </w:r>
      <w:r>
        <w:rPr>
          <w:rFonts w:ascii="Arial" w:eastAsia="Arial" w:hAnsi="Arial" w:cs="Arial"/>
          <w:b/>
          <w:color w:val="000000"/>
          <w:sz w:val="20"/>
          <w:u w:val="single"/>
        </w:rPr>
        <w:t>name</w:t>
      </w:r>
      <w:r>
        <w:rPr>
          <w:rFonts w:ascii="Arial" w:eastAsia="Arial" w:hAnsi="Arial" w:cs="Arial"/>
          <w:b/>
          <w:color w:val="000000"/>
          <w:sz w:val="20"/>
        </w:rPr>
        <w:t>) intended to commit a crime that would involve an imminent threat of death or serious bodily harm</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the defendant reasonably believed that (</w:t>
      </w:r>
      <w:r>
        <w:rPr>
          <w:rFonts w:ascii="Arial" w:eastAsia="Arial" w:hAnsi="Arial" w:cs="Arial"/>
          <w:b/>
          <w:color w:val="000000"/>
          <w:sz w:val="20"/>
          <w:u w:val="single"/>
        </w:rPr>
        <w:t>name</w:t>
      </w:r>
      <w:r>
        <w:rPr>
          <w:rFonts w:ascii="Arial" w:eastAsia="Arial" w:hAnsi="Arial" w:cs="Arial"/>
          <w:b/>
          <w:color w:val="000000"/>
          <w:sz w:val="20"/>
        </w:rPr>
        <w:t>) intended to commit such a crime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4. the defendant believed that the force that [he] [she] used against (</w:t>
      </w:r>
      <w:r>
        <w:rPr>
          <w:rFonts w:ascii="Arial" w:eastAsia="Arial" w:hAnsi="Arial" w:cs="Arial"/>
          <w:b/>
          <w:color w:val="000000"/>
          <w:sz w:val="20"/>
          <w:u w:val="single"/>
        </w:rPr>
        <w:t>name</w:t>
      </w:r>
      <w:r>
        <w:rPr>
          <w:rFonts w:ascii="Arial" w:eastAsia="Arial" w:hAnsi="Arial" w:cs="Arial"/>
          <w:b/>
          <w:color w:val="000000"/>
          <w:sz w:val="20"/>
        </w:rPr>
        <w:t>) was necessary to prevent imminent death or serious bodily harm; and</w:t>
      </w:r>
    </w:p>
    <w:p w:rsidR="004729FB" w:rsidRDefault="004729FB" w:rsidP="004729FB">
      <w:pPr>
        <w:spacing w:before="200" w:line="260" w:lineRule="atLeast"/>
        <w:ind w:left="800"/>
        <w:jc w:val="both"/>
      </w:pPr>
      <w:r>
        <w:rPr>
          <w:rFonts w:ascii="Arial" w:eastAsia="Arial" w:hAnsi="Arial" w:cs="Arial"/>
          <w:b/>
          <w:color w:val="000000"/>
          <w:sz w:val="20"/>
        </w:rPr>
        <w:t>5. the defendant reasonably believed that such force was necessary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you find that the defendant actually believed that (</w:t>
      </w:r>
      <w:r>
        <w:rPr>
          <w:rFonts w:ascii="Arial" w:eastAsia="Arial" w:hAnsi="Arial" w:cs="Arial"/>
          <w:b/>
          <w:color w:val="000000"/>
          <w:sz w:val="20"/>
          <w:u w:val="single"/>
        </w:rPr>
        <w:t>name</w:t>
      </w:r>
      <w:r>
        <w:rPr>
          <w:rFonts w:ascii="Arial" w:eastAsia="Arial" w:hAnsi="Arial" w:cs="Arial"/>
          <w:b/>
          <w:color w:val="000000"/>
          <w:sz w:val="20"/>
        </w:rPr>
        <w:t>) posed an imminent threat of death or serious bodily harm, and that such belief was reasonable, you must find the defendant not guilty. If you find that the defendant actually believed that (</w:t>
      </w:r>
      <w:r>
        <w:rPr>
          <w:rFonts w:ascii="Arial" w:eastAsia="Arial" w:hAnsi="Arial" w:cs="Arial"/>
          <w:b/>
          <w:color w:val="000000"/>
          <w:sz w:val="20"/>
          <w:u w:val="single"/>
        </w:rPr>
        <w:t>name</w:t>
      </w:r>
      <w:r>
        <w:rPr>
          <w:rFonts w:ascii="Arial" w:eastAsia="Arial" w:hAnsi="Arial" w:cs="Arial"/>
          <w:b/>
          <w:color w:val="000000"/>
          <w:sz w:val="20"/>
        </w:rPr>
        <w:t>) posed an imminent threat of death or serious bodily harm, but that such belief was unreasonable, you should find the defendant not guilty of murder, but guilty of manslaughter. If you find that the State has persuaded you, beyond a reasonable doubt, that the defendant did not have an actual belief that (</w:t>
      </w:r>
      <w:r>
        <w:rPr>
          <w:rFonts w:ascii="Arial" w:eastAsia="Arial" w:hAnsi="Arial" w:cs="Arial"/>
          <w:b/>
          <w:color w:val="000000"/>
          <w:sz w:val="20"/>
          <w:u w:val="single"/>
        </w:rPr>
        <w:t>name</w:t>
      </w:r>
      <w:r>
        <w:rPr>
          <w:rFonts w:ascii="Arial" w:eastAsia="Arial" w:hAnsi="Arial" w:cs="Arial"/>
          <w:b/>
          <w:color w:val="000000"/>
          <w:sz w:val="20"/>
        </w:rPr>
        <w:t>) posed an imminent threat of death or serious bodily harm, you should find the defendant guilty of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5:02 (Defense of Habitation--Deadly Force); MPJI-Cr 5:07 (Self-Defense).</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Manslaughter is a common law felony with a statutory penalty. CRIM. LAW I § 2-207; </w:t>
            </w:r>
            <w:hyperlink r:id="rId977" w:history="1">
              <w:r>
                <w:rPr>
                  <w:rFonts w:ascii="Arial" w:eastAsia="Arial" w:hAnsi="Arial" w:cs="Arial"/>
                  <w:i/>
                  <w:color w:val="0077CC"/>
                  <w:sz w:val="20"/>
                  <w:u w:val="single"/>
                </w:rPr>
                <w:t>Connor v. State, 225 Md. 543, 171 A.2d 699,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368 U.S. 906 (1961).</w:t>
            </w:r>
            <w:r>
              <w:rPr>
                <w:rFonts w:ascii="Arial" w:eastAsia="Arial" w:hAnsi="Arial" w:cs="Arial"/>
                <w:color w:val="000000"/>
                <w:sz w:val="20"/>
              </w:rPr>
              <w:t xml:space="preserve"> Manslaughter is the felonious killing of one human being by another human being without malice.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10.10, at 693 (7th ed. 1967); WAYNE R. LAFAVE, CRIMINAL LAW § 15.1, at 818 (5th ed. 2010); ROLLIN M. PERKINS &amp; RONALD N. BOYCE, CRIMINAL LAW 82-84 (3d ed. 1982). Manslaughter is not a degree of murder, and murder and manslaughter are distinguished by the presence or absence of malice. </w:t>
            </w:r>
            <w:hyperlink r:id="rId978" w:history="1">
              <w:r>
                <w:rPr>
                  <w:rFonts w:ascii="Arial" w:eastAsia="Arial" w:hAnsi="Arial" w:cs="Arial"/>
                  <w:i/>
                  <w:color w:val="0077CC"/>
                  <w:sz w:val="20"/>
                  <w:u w:val="single"/>
                </w:rPr>
                <w:t>Selby v. State, 361 Md. 319, 331, 761 A.2d 335, 342 (2000);</w:t>
              </w:r>
            </w:hyperlink>
            <w:r>
              <w:rPr>
                <w:rFonts w:ascii="Arial" w:eastAsia="Arial" w:hAnsi="Arial" w:cs="Arial"/>
                <w:color w:val="000000"/>
                <w:sz w:val="20"/>
              </w:rPr>
              <w:t xml:space="preserve"> </w:t>
            </w:r>
            <w:hyperlink r:id="rId979" w:history="1">
              <w:r>
                <w:rPr>
                  <w:rFonts w:ascii="Arial" w:eastAsia="Arial" w:hAnsi="Arial" w:cs="Arial"/>
                  <w:i/>
                  <w:color w:val="0077CC"/>
                  <w:sz w:val="20"/>
                  <w:u w:val="single"/>
                </w:rPr>
                <w:t>State v. Ward, 284 Md. 189, 195, 396 A.2d 1041, 1045 (1978),</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980" w:history="1">
              <w:r>
                <w:rPr>
                  <w:rFonts w:ascii="Arial" w:eastAsia="Arial" w:hAnsi="Arial" w:cs="Arial"/>
                  <w:i/>
                  <w:color w:val="0077CC"/>
                  <w:sz w:val="20"/>
                  <w:u w:val="single"/>
                </w:rPr>
                <w:t>Lewis v. State, 285 Md. 705, 404 A.2d 1073 (1979);</w:t>
              </w:r>
            </w:hyperlink>
            <w:r>
              <w:rPr>
                <w:rFonts w:ascii="Arial" w:eastAsia="Arial" w:hAnsi="Arial" w:cs="Arial"/>
                <w:color w:val="000000"/>
                <w:sz w:val="20"/>
              </w:rPr>
              <w:t xml:space="preserve"> </w:t>
            </w:r>
            <w:hyperlink r:id="rId981" w:history="1">
              <w:r>
                <w:rPr>
                  <w:rFonts w:ascii="Arial" w:eastAsia="Arial" w:hAnsi="Arial" w:cs="Arial"/>
                  <w:i/>
                  <w:color w:val="0077CC"/>
                  <w:sz w:val="20"/>
                  <w:u w:val="single"/>
                </w:rPr>
                <w:t>Lindsay v. State, 8 Md. App. 100, 104, 258 A.2d 760, 763 (1969),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257 Md. 734 (1970).</w:t>
            </w:r>
            <w:r>
              <w:rPr>
                <w:rFonts w:ascii="Arial" w:eastAsia="Arial" w:hAnsi="Arial" w:cs="Arial"/>
                <w:color w:val="000000"/>
                <w:sz w:val="20"/>
              </w:rPr>
              <w:t xml:space="preserve"> Manslaughter may be voluntary or involuntary. </w:t>
            </w:r>
            <w:hyperlink r:id="rId982" w:history="1">
              <w:r>
                <w:rPr>
                  <w:rFonts w:ascii="Arial" w:eastAsia="Arial" w:hAnsi="Arial" w:cs="Arial"/>
                  <w:i/>
                  <w:color w:val="0077CC"/>
                  <w:sz w:val="20"/>
                  <w:u w:val="single"/>
                </w:rPr>
                <w:t>Rolfes v. State, 10 Md. App. 204, 206-07, 268 A.2d 795, 796 (1970).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Voluntary manslaughter is a killing that would be a specific intent murder were it not for the presence of mitigation. Evidence of a specific intent to kill or specific intent to inflict serious bodily harm creates a rebuttable presumption of malice, i.e., the intentional doing of a wrongful act without justification, excuse, or mitigation. The burden of production is placed upon the defendant to generate an issue of mitigation. </w:t>
            </w:r>
            <w:hyperlink r:id="rId983" w:history="1">
              <w:r>
                <w:rPr>
                  <w:rFonts w:ascii="Arial" w:eastAsia="Arial" w:hAnsi="Arial" w:cs="Arial"/>
                  <w:i/>
                  <w:color w:val="0077CC"/>
                  <w:sz w:val="20"/>
                  <w:u w:val="single"/>
                </w:rPr>
                <w:t>Sims v. State, 319 Md. 540, 553, 573 A.2d 1317, 1324 (1990)</w:t>
              </w:r>
            </w:hyperlink>
            <w:r>
              <w:rPr>
                <w:rFonts w:ascii="Arial" w:eastAsia="Arial" w:hAnsi="Arial" w:cs="Arial"/>
                <w:color w:val="000000"/>
                <w:sz w:val="20"/>
              </w:rPr>
              <w:t xml:space="preserve"> (finding that the burden of production was not met where the defendant maintained that he was not the perpetrator). If both the defendant's evidence and the State's evidence fail to rebut the presumption, then the absence of justification, excuse, and mitigation becomes conclusively presumed. If, on the other hand, mitigation is generated by the evidence, then there is an issue of voluntary manslaughter for the jury. </w:t>
            </w:r>
            <w:hyperlink r:id="rId984" w:history="1">
              <w:r>
                <w:rPr>
                  <w:rFonts w:ascii="Arial" w:eastAsia="Arial" w:hAnsi="Arial" w:cs="Arial"/>
                  <w:i/>
                  <w:color w:val="0077CC"/>
                  <w:sz w:val="20"/>
                  <w:u w:val="single"/>
                </w:rPr>
                <w:t>Evans v. State, 28 Md. App. 640, 349 A.2d 300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985"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There are two types of mitigation that establish voluntary manslaughter. One of the two types of mitigation is an imperfect defense. The Committee used the term "partial" defense, distinguishing it from "complete" defense, rather than the terms perfect and imperfect defense, believing that they accurately characterize the distinction and are more understandable to jurors.</w:t>
            </w:r>
          </w:p>
          <w:p w:rsidR="004729FB" w:rsidRDefault="004729FB" w:rsidP="00713DA5">
            <w:pPr>
              <w:spacing w:before="240" w:line="260" w:lineRule="atLeast"/>
              <w:ind w:left="60" w:right="360"/>
              <w:jc w:val="both"/>
            </w:pPr>
            <w:r>
              <w:rPr>
                <w:rFonts w:ascii="Arial" w:eastAsia="Arial" w:hAnsi="Arial" w:cs="Arial"/>
                <w:color w:val="000000"/>
                <w:sz w:val="20"/>
              </w:rPr>
              <w:t xml:space="preserve">A perfect self-defense is a complete defense to both murder and manslaughter. It requires that the defendant be a nonaggressor, who honestly and reasonably believed himself or herself to be in imminent danger of death or serious bodily harm, and who used no more force than reasonably necessary. </w:t>
            </w:r>
            <w:hyperlink r:id="rId986" w:history="1">
              <w:r>
                <w:rPr>
                  <w:rFonts w:ascii="Arial" w:eastAsia="Arial" w:hAnsi="Arial" w:cs="Arial"/>
                  <w:i/>
                  <w:color w:val="0077CC"/>
                  <w:sz w:val="20"/>
                  <w:u w:val="single"/>
                </w:rPr>
                <w:t>State v. Marr, 362 Md. 467, 473, 765 A.2d 645, 647-48 (2001);</w:t>
              </w:r>
            </w:hyperlink>
            <w:r>
              <w:rPr>
                <w:rFonts w:ascii="Arial" w:eastAsia="Arial" w:hAnsi="Arial" w:cs="Arial"/>
                <w:color w:val="000000"/>
                <w:sz w:val="20"/>
              </w:rPr>
              <w:t xml:space="preserve"> </w:t>
            </w:r>
            <w:hyperlink r:id="rId987" w:history="1">
              <w:r>
                <w:rPr>
                  <w:rFonts w:ascii="Arial" w:eastAsia="Arial" w:hAnsi="Arial" w:cs="Arial"/>
                  <w:i/>
                  <w:color w:val="0077CC"/>
                  <w:sz w:val="20"/>
                  <w:u w:val="single"/>
                </w:rPr>
                <w:t>Dykes v. State, 319 Md. 206, 211, 571 A.2d 1251, 1254 (1990);</w:t>
              </w:r>
            </w:hyperlink>
            <w:r>
              <w:rPr>
                <w:rFonts w:ascii="Arial" w:eastAsia="Arial" w:hAnsi="Arial" w:cs="Arial"/>
                <w:color w:val="000000"/>
                <w:sz w:val="20"/>
              </w:rPr>
              <w:t xml:space="preserve"> </w:t>
            </w:r>
            <w:hyperlink r:id="rId988" w:history="1">
              <w:r>
                <w:rPr>
                  <w:rFonts w:ascii="Arial" w:eastAsia="Arial" w:hAnsi="Arial" w:cs="Arial"/>
                  <w:i/>
                  <w:color w:val="0077CC"/>
                  <w:sz w:val="20"/>
                  <w:u w:val="single"/>
                </w:rPr>
                <w:t>State v. Faulkner, 301 Md. 482, 485-86, 483 A.2d 759, 761 (1984);</w:t>
              </w:r>
            </w:hyperlink>
            <w:r>
              <w:rPr>
                <w:rFonts w:ascii="Arial" w:eastAsia="Arial" w:hAnsi="Arial" w:cs="Arial"/>
                <w:color w:val="000000"/>
                <w:sz w:val="20"/>
              </w:rPr>
              <w:t xml:space="preserve"> </w:t>
            </w:r>
            <w:hyperlink r:id="rId989" w:history="1">
              <w:r>
                <w:rPr>
                  <w:rFonts w:ascii="Arial" w:eastAsia="Arial" w:hAnsi="Arial" w:cs="Arial"/>
                  <w:i/>
                  <w:color w:val="0077CC"/>
                  <w:sz w:val="20"/>
                  <w:u w:val="single"/>
                </w:rPr>
                <w:t>Gainer v. State, 40 Md. App. 382, 391 A.2d 856,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990" w:history="1">
              <w:r>
                <w:rPr>
                  <w:rFonts w:ascii="Arial" w:eastAsia="Arial" w:hAnsi="Arial" w:cs="Arial"/>
                  <w:i/>
                  <w:color w:val="0077CC"/>
                  <w:sz w:val="20"/>
                  <w:u w:val="single"/>
                </w:rPr>
                <w:t>284 Md. 743 (1978).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Imperfect self-defense, on the other hand, is not a complete defense. However, it can negate the element of malice and thus mitigate murder to voluntary manslaughter. RICHARD P. GILBERT &amp; CHARLES E. MOYLAN, JR., MARYLAND CRIMINAL LAW: PRACTICE &amp; PROCEDURE §§ 1.3-2.0, at 1-9 (Supp. 1990); LAFAVE, </w:t>
            </w:r>
            <w:r>
              <w:rPr>
                <w:rFonts w:ascii="Arial" w:eastAsia="Arial" w:hAnsi="Arial" w:cs="Arial"/>
                <w:i/>
                <w:color w:val="000000"/>
                <w:sz w:val="20"/>
              </w:rPr>
              <w:t>supra</w:t>
            </w:r>
            <w:r>
              <w:rPr>
                <w:rFonts w:ascii="Arial" w:eastAsia="Arial" w:hAnsi="Arial" w:cs="Arial"/>
                <w:color w:val="000000"/>
                <w:sz w:val="20"/>
              </w:rPr>
              <w:t xml:space="preserve">, § 15.3(b), at 834-35; PERKINS &amp; BOYCE, </w:t>
            </w:r>
            <w:r>
              <w:rPr>
                <w:rFonts w:ascii="Arial" w:eastAsia="Arial" w:hAnsi="Arial" w:cs="Arial"/>
                <w:i/>
                <w:color w:val="000000"/>
                <w:sz w:val="20"/>
              </w:rPr>
              <w:t>supra</w:t>
            </w:r>
            <w:r>
              <w:rPr>
                <w:rFonts w:ascii="Arial" w:eastAsia="Arial" w:hAnsi="Arial" w:cs="Arial"/>
                <w:color w:val="000000"/>
                <w:sz w:val="20"/>
              </w:rPr>
              <w:t xml:space="preserve">, at 1137-43. Following an extensive review of the historical development of imperfect defenses, as well as its history in Maryland since 1975, the Court of Appeals adopted the "honest but unreasonable belief" standard for imperfect defenses. </w:t>
            </w:r>
            <w:hyperlink r:id="rId991" w:history="1">
              <w:r>
                <w:rPr>
                  <w:rFonts w:ascii="Arial" w:eastAsia="Arial" w:hAnsi="Arial" w:cs="Arial"/>
                  <w:i/>
                  <w:color w:val="0077CC"/>
                  <w:sz w:val="20"/>
                  <w:u w:val="single"/>
                </w:rPr>
                <w:t>Faulkner, 301 Md. at 486-501, 483 A.2d at 762-69.</w:t>
              </w:r>
            </w:hyperlink>
            <w:r>
              <w:rPr>
                <w:rFonts w:ascii="Arial" w:eastAsia="Arial" w:hAnsi="Arial" w:cs="Arial"/>
                <w:color w:val="000000"/>
                <w:sz w:val="20"/>
              </w:rPr>
              <w:t xml:space="preserve"> Thus, if a defendant's self-defense fails because he honestly, but unreasonably, believed himself to be in imminent danger of death or serious bodily harm and/or because he honestly, but unreasonably, believed that the force used was necessary, the defendant has generated an issue of imperfect self-defense and is entitled to a voluntary manslaughter instruction based upon imperfect self-defense. </w:t>
            </w:r>
            <w:hyperlink r:id="rId992" w:history="1">
              <w:r>
                <w:rPr>
                  <w:rFonts w:ascii="Arial" w:eastAsia="Arial" w:hAnsi="Arial" w:cs="Arial"/>
                  <w:i/>
                  <w:color w:val="0077CC"/>
                  <w:sz w:val="20"/>
                  <w:u w:val="single"/>
                </w:rPr>
                <w:t>State v. Smullen, 380 Md. 233, 252-53</w:t>
              </w:r>
            </w:hyperlink>
            <w:r>
              <w:rPr>
                <w:rFonts w:ascii="Arial" w:eastAsia="Arial" w:hAnsi="Arial" w:cs="Arial"/>
                <w:color w:val="000000"/>
                <w:sz w:val="20"/>
              </w:rPr>
              <w:t xml:space="preserve"> at A.2d 429, 439-40 (2004); </w:t>
            </w:r>
            <w:hyperlink r:id="rId993" w:history="1">
              <w:r>
                <w:rPr>
                  <w:rFonts w:ascii="Arial" w:eastAsia="Arial" w:hAnsi="Arial" w:cs="Arial"/>
                  <w:i/>
                  <w:color w:val="0077CC"/>
                  <w:sz w:val="20"/>
                  <w:u w:val="single"/>
                </w:rPr>
                <w:t>Sims, 319 Md. at 542, 573 A.2d at 1323-24;</w:t>
              </w:r>
            </w:hyperlink>
            <w:r>
              <w:rPr>
                <w:rFonts w:ascii="Arial" w:eastAsia="Arial" w:hAnsi="Arial" w:cs="Arial"/>
                <w:color w:val="000000"/>
                <w:sz w:val="20"/>
              </w:rPr>
              <w:t xml:space="preserve"> </w:t>
            </w:r>
            <w:hyperlink r:id="rId994" w:history="1">
              <w:r>
                <w:rPr>
                  <w:rFonts w:ascii="Arial" w:eastAsia="Arial" w:hAnsi="Arial" w:cs="Arial"/>
                  <w:i/>
                  <w:color w:val="0077CC"/>
                  <w:sz w:val="20"/>
                  <w:u w:val="single"/>
                </w:rPr>
                <w:t>Watkins v. State, 79 Md. App. 136, 138, 555 A.2d 1087, 1088 (1989).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Evidence that is sufficient to generate an issue of perfect self-defense necessarily generates an issue of imperfect self-defense. </w:t>
            </w:r>
            <w:hyperlink r:id="rId995" w:history="1">
              <w:r>
                <w:rPr>
                  <w:rFonts w:ascii="Arial" w:eastAsia="Arial" w:hAnsi="Arial" w:cs="Arial"/>
                  <w:i/>
                  <w:color w:val="0077CC"/>
                  <w:sz w:val="20"/>
                  <w:u w:val="single"/>
                </w:rPr>
                <w:t>Faulkner, 301 Md. at 502-03, 483 A.2d at 770;</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996" w:history="1">
              <w:r>
                <w:rPr>
                  <w:rFonts w:ascii="Arial" w:eastAsia="Arial" w:hAnsi="Arial" w:cs="Arial"/>
                  <w:i/>
                  <w:color w:val="0077CC"/>
                  <w:sz w:val="20"/>
                  <w:u w:val="single"/>
                </w:rPr>
                <w:t>Dykes, 319 Md. at 215-17, 571 A.2d at 1256-57</w:t>
              </w:r>
            </w:hyperlink>
            <w:r>
              <w:rPr>
                <w:rFonts w:ascii="Arial" w:eastAsia="Arial" w:hAnsi="Arial" w:cs="Arial"/>
                <w:color w:val="000000"/>
                <w:sz w:val="20"/>
              </w:rPr>
              <w:t xml:space="preserve"> (holding that the defendant must produce "some evidence," less than a preponderance, from whatever source, and regardless of the extent of contrary evidence, to shift the burden of persuasion to the State); </w:t>
            </w:r>
            <w:hyperlink r:id="rId997" w:history="1">
              <w:r>
                <w:rPr>
                  <w:rFonts w:ascii="Arial" w:eastAsia="Arial" w:hAnsi="Arial" w:cs="Arial"/>
                  <w:i/>
                  <w:color w:val="0077CC"/>
                  <w:sz w:val="20"/>
                  <w:u w:val="single"/>
                </w:rPr>
                <w:t>Simmons v. State, 313 Md. 33, 542 A.2d 1258 (1988)</w:t>
              </w:r>
            </w:hyperlink>
            <w:r>
              <w:rPr>
                <w:rFonts w:ascii="Arial" w:eastAsia="Arial" w:hAnsi="Arial" w:cs="Arial"/>
                <w:color w:val="000000"/>
                <w:sz w:val="20"/>
              </w:rPr>
              <w:t xml:space="preserve"> (finding the defendant entitled to introduce expert testimony on his psychological profile in support of his subjective belief that force was necessary to </w:t>
            </w:r>
            <w:r>
              <w:rPr>
                <w:rFonts w:ascii="Arial" w:eastAsia="Arial" w:hAnsi="Arial" w:cs="Arial"/>
                <w:color w:val="000000"/>
                <w:sz w:val="20"/>
              </w:rPr>
              <w:lastRenderedPageBreak/>
              <w:t>prevent serious bodily harm).</w:t>
            </w:r>
          </w:p>
          <w:p w:rsidR="004729FB" w:rsidRDefault="004729FB" w:rsidP="00713DA5">
            <w:pPr>
              <w:spacing w:before="200" w:line="260" w:lineRule="atLeast"/>
              <w:ind w:left="60" w:right="360"/>
              <w:jc w:val="both"/>
            </w:pPr>
            <w:r>
              <w:rPr>
                <w:rFonts w:ascii="Arial" w:eastAsia="Arial" w:hAnsi="Arial" w:cs="Arial"/>
                <w:color w:val="000000"/>
                <w:sz w:val="20"/>
              </w:rPr>
              <w:t xml:space="preserve">However, if the defendant fails to generate at least a prima facie case of imperfect self-defense, the defendant is not entitled to a voluntary manslaughter instruction. </w:t>
            </w:r>
            <w:r>
              <w:rPr>
                <w:rFonts w:ascii="Arial" w:eastAsia="Arial" w:hAnsi="Arial" w:cs="Arial"/>
                <w:i/>
                <w:color w:val="000000"/>
                <w:sz w:val="20"/>
              </w:rPr>
              <w:t xml:space="preserve">E.g., </w:t>
            </w:r>
            <w:hyperlink r:id="rId998" w:history="1">
              <w:r>
                <w:rPr>
                  <w:rFonts w:ascii="Arial" w:eastAsia="Arial" w:hAnsi="Arial" w:cs="Arial"/>
                  <w:i/>
                  <w:color w:val="0077CC"/>
                  <w:sz w:val="20"/>
                  <w:u w:val="single"/>
                </w:rPr>
                <w:t>State v. Martin, 329 Md. 351, 619 A.2d 992</w:t>
              </w:r>
            </w:hyperlink>
            <w:r>
              <w:rPr>
                <w:rFonts w:ascii="Arial" w:eastAsia="Arial" w:hAnsi="Arial" w:cs="Arial"/>
                <w:color w:val="000000"/>
                <w:sz w:val="20"/>
              </w:rPr>
              <w:t xml:space="preserve"> (finding that imperfect self-defense was not generated when the defendant remembered nothing of the deadly encounter and the only evidence of state of mind was from the prior encounter),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510 U.S. 855 (1993),</w:t>
            </w:r>
            <w:r>
              <w:rPr>
                <w:rFonts w:ascii="Arial" w:eastAsia="Arial" w:hAnsi="Arial" w:cs="Arial"/>
                <w:color w:val="000000"/>
                <w:sz w:val="20"/>
              </w:rPr>
              <w:t xml:space="preserve"> </w:t>
            </w:r>
            <w:r>
              <w:rPr>
                <w:rFonts w:ascii="Arial" w:eastAsia="Arial" w:hAnsi="Arial" w:cs="Arial"/>
                <w:i/>
                <w:color w:val="000000"/>
                <w:sz w:val="20"/>
              </w:rPr>
              <w:t>reh'g denied</w:t>
            </w:r>
            <w:r>
              <w:rPr>
                <w:rFonts w:ascii="Arial" w:eastAsia="Arial" w:hAnsi="Arial" w:cs="Arial"/>
                <w:color w:val="000000"/>
                <w:sz w:val="20"/>
              </w:rPr>
              <w:t xml:space="preserve">, </w:t>
            </w:r>
            <w:r>
              <w:rPr>
                <w:rFonts w:ascii="Arial" w:eastAsia="Arial" w:hAnsi="Arial" w:cs="Arial"/>
                <w:i/>
                <w:color w:val="000000"/>
                <w:sz w:val="20"/>
              </w:rPr>
              <w:t>510 U.S. 1065 (1994);</w:t>
            </w:r>
            <w:r>
              <w:rPr>
                <w:rFonts w:ascii="Arial" w:eastAsia="Arial" w:hAnsi="Arial" w:cs="Arial"/>
                <w:color w:val="000000"/>
                <w:sz w:val="20"/>
              </w:rPr>
              <w:t xml:space="preserve"> </w:t>
            </w:r>
            <w:hyperlink r:id="rId999" w:history="1">
              <w:r>
                <w:rPr>
                  <w:rFonts w:ascii="Arial" w:eastAsia="Arial" w:hAnsi="Arial" w:cs="Arial"/>
                  <w:i/>
                  <w:color w:val="0077CC"/>
                  <w:sz w:val="20"/>
                  <w:u w:val="single"/>
                </w:rPr>
                <w:t>Lambert v. State, 70 Md. App. 83, 96-99, 519 A.2d 1340, 1346-48</w:t>
              </w:r>
            </w:hyperlink>
            <w:r>
              <w:rPr>
                <w:rFonts w:ascii="Arial" w:eastAsia="Arial" w:hAnsi="Arial" w:cs="Arial"/>
                <w:color w:val="000000"/>
                <w:sz w:val="20"/>
              </w:rPr>
              <w:t xml:space="preserve"> (finding no evidence of a subjective belief of the need for deadly force when the mind of the defendant was "blank" during an "even" fight and he became fearful afterward), </w:t>
            </w:r>
            <w:r>
              <w:rPr>
                <w:rFonts w:ascii="Arial" w:eastAsia="Arial" w:hAnsi="Arial" w:cs="Arial"/>
                <w:i/>
                <w:color w:val="000000"/>
                <w:sz w:val="20"/>
              </w:rPr>
              <w:t>cert. denied</w:t>
            </w:r>
            <w:r>
              <w:rPr>
                <w:rFonts w:ascii="Arial" w:eastAsia="Arial" w:hAnsi="Arial" w:cs="Arial"/>
                <w:color w:val="000000"/>
                <w:sz w:val="20"/>
              </w:rPr>
              <w:t xml:space="preserve">, </w:t>
            </w:r>
            <w:hyperlink r:id="rId1000" w:history="1">
              <w:r>
                <w:rPr>
                  <w:rFonts w:ascii="Arial" w:eastAsia="Arial" w:hAnsi="Arial" w:cs="Arial"/>
                  <w:i/>
                  <w:color w:val="0077CC"/>
                  <w:sz w:val="20"/>
                  <w:u w:val="single"/>
                </w:rPr>
                <w:t>309 Md. 605, 525 A.2d 1075 (1987);</w:t>
              </w:r>
            </w:hyperlink>
            <w:r>
              <w:rPr>
                <w:rFonts w:ascii="Arial" w:eastAsia="Arial" w:hAnsi="Arial" w:cs="Arial"/>
                <w:color w:val="000000"/>
                <w:sz w:val="20"/>
              </w:rPr>
              <w:t xml:space="preserve"> </w:t>
            </w:r>
            <w:hyperlink r:id="rId1001" w:history="1">
              <w:r>
                <w:rPr>
                  <w:rFonts w:ascii="Arial" w:eastAsia="Arial" w:hAnsi="Arial" w:cs="Arial"/>
                  <w:i/>
                  <w:color w:val="0077CC"/>
                  <w:sz w:val="20"/>
                  <w:u w:val="single"/>
                </w:rPr>
                <w:t>Cunningham v. State, 58 Md. App. 249, 252-58, 473 A.2d 40, 41-44</w:t>
              </w:r>
            </w:hyperlink>
            <w:r>
              <w:rPr>
                <w:rFonts w:ascii="Arial" w:eastAsia="Arial" w:hAnsi="Arial" w:cs="Arial"/>
                <w:color w:val="000000"/>
                <w:sz w:val="20"/>
              </w:rPr>
              <w:t xml:space="preserve"> (finding no evidence that the defendant was the nonaggressor),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300 Md. 316, 477 A.2d 1195 (1984).</w:t>
            </w:r>
            <w:r>
              <w:rPr>
                <w:rFonts w:ascii="Arial" w:eastAsia="Arial" w:hAnsi="Arial" w:cs="Arial"/>
                <w:color w:val="000000"/>
                <w:sz w:val="20"/>
              </w:rPr>
              <w:t xml:space="preserve"> Moreover, in each case in which the court has held that the evidence was insufficient to generate a perfect self-defense, it also has held that the evidence was insufficient to generate an imperfect self-defense. </w:t>
            </w:r>
            <w:r>
              <w:rPr>
                <w:rFonts w:ascii="Arial" w:eastAsia="Arial" w:hAnsi="Arial" w:cs="Arial"/>
                <w:i/>
                <w:color w:val="000000"/>
                <w:sz w:val="20"/>
              </w:rPr>
              <w:t xml:space="preserve">See </w:t>
            </w:r>
            <w:hyperlink r:id="rId1002" w:history="1">
              <w:r>
                <w:rPr>
                  <w:rFonts w:ascii="Arial" w:eastAsia="Arial" w:hAnsi="Arial" w:cs="Arial"/>
                  <w:i/>
                  <w:color w:val="0077CC"/>
                  <w:sz w:val="20"/>
                  <w:u w:val="single"/>
                </w:rPr>
                <w:t>Peterson v. State, 101 Md. App. 153, 643 A.2d 520</w:t>
              </w:r>
            </w:hyperlink>
            <w:r>
              <w:rPr>
                <w:rFonts w:ascii="Arial" w:eastAsia="Arial" w:hAnsi="Arial" w:cs="Arial"/>
                <w:color w:val="000000"/>
                <w:sz w:val="20"/>
              </w:rPr>
              <w:t xml:space="preserve"> (finding that self-defense was not generated where the defense conceded that a reasonable person would not have believed the need to kill, but that the defendant so believed because of insanity),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336 Md. 559, 649 A.2d 602 (1994).</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003" w:history="1">
              <w:r>
                <w:rPr>
                  <w:rFonts w:ascii="Arial" w:eastAsia="Arial" w:hAnsi="Arial" w:cs="Arial"/>
                  <w:i/>
                  <w:color w:val="0077CC"/>
                  <w:sz w:val="20"/>
                  <w:u w:val="single"/>
                </w:rPr>
                <w:t>Bryant v. State, 83 Md. App. 237, 574 A.2d 29 (1990),</w:t>
              </w:r>
            </w:hyperlink>
            <w:r>
              <w:rPr>
                <w:rFonts w:ascii="Arial" w:eastAsia="Arial" w:hAnsi="Arial" w:cs="Arial"/>
                <w:color w:val="000000"/>
                <w:sz w:val="20"/>
              </w:rPr>
              <w:t xml:space="preserve"> the Court of Special Appeals stated:</w:t>
            </w:r>
          </w:p>
          <w:p w:rsidR="004729FB" w:rsidRDefault="004729FB" w:rsidP="00713DA5">
            <w:pPr>
              <w:spacing w:before="60" w:line="260" w:lineRule="atLeast"/>
              <w:ind w:left="460" w:right="360"/>
              <w:jc w:val="both"/>
            </w:pPr>
            <w:r>
              <w:rPr>
                <w:rFonts w:ascii="Arial" w:eastAsia="Arial" w:hAnsi="Arial" w:cs="Arial"/>
                <w:color w:val="000000"/>
                <w:sz w:val="20"/>
              </w:rPr>
              <w:t>Imperfect self-defense is an aspect of homicide law [including attempts and assault with intent to murder] and nothing more. Outside of homicide law, the concept doesn't exist… With respect to all other crimes, the defendant is either guilty or not guilty. He either acted in self-defense or he did not. There is no "in between."</w:t>
            </w:r>
          </w:p>
          <w:p w:rsidR="004729FB" w:rsidRDefault="004729FB" w:rsidP="00713DA5">
            <w:pPr>
              <w:spacing w:before="240" w:line="260" w:lineRule="atLeast"/>
              <w:ind w:left="60" w:right="360"/>
              <w:jc w:val="both"/>
            </w:pPr>
            <w:hyperlink r:id="rId1004" w:history="1">
              <w:r>
                <w:rPr>
                  <w:rFonts w:ascii="Arial" w:eastAsia="Arial" w:hAnsi="Arial" w:cs="Arial"/>
                  <w:i/>
                  <w:color w:val="0077CC"/>
                  <w:sz w:val="20"/>
                  <w:u w:val="single"/>
                </w:rPr>
                <w:t>Id. at 245, 574 A.2d at 32-33</w:t>
              </w:r>
            </w:hyperlink>
            <w:r>
              <w:rPr>
                <w:rFonts w:ascii="Arial" w:eastAsia="Arial" w:hAnsi="Arial" w:cs="Arial"/>
                <w:color w:val="000000"/>
                <w:sz w:val="20"/>
              </w:rPr>
              <w:t xml:space="preserve"> (holding imperfect self-defense inapplicable to statutory maiming, assault with intent to disable, and assault and battery). </w:t>
            </w:r>
            <w:r>
              <w:rPr>
                <w:rFonts w:ascii="Arial" w:eastAsia="Arial" w:hAnsi="Arial" w:cs="Arial"/>
                <w:i/>
                <w:color w:val="000000"/>
                <w:sz w:val="20"/>
              </w:rPr>
              <w:t xml:space="preserve">But see </w:t>
            </w:r>
            <w:hyperlink r:id="rId1005" w:history="1">
              <w:r>
                <w:rPr>
                  <w:rFonts w:ascii="Arial" w:eastAsia="Arial" w:hAnsi="Arial" w:cs="Arial"/>
                  <w:i/>
                  <w:color w:val="0077CC"/>
                  <w:sz w:val="20"/>
                  <w:u w:val="single"/>
                </w:rPr>
                <w:t>Christian v. State, 405 Md. 306, 333, 951 A.2d 832, 848 (2008)</w:t>
              </w:r>
            </w:hyperlink>
            <w:r>
              <w:rPr>
                <w:rFonts w:ascii="Arial" w:eastAsia="Arial" w:hAnsi="Arial" w:cs="Arial"/>
                <w:color w:val="000000"/>
                <w:sz w:val="20"/>
              </w:rPr>
              <w:t xml:space="preserve"> (holding that "the mitigation defenses of hot-blooded response to adequate provocation and imperfect self-defense could apply to mitigate first degree assault where those assaults could now supply the malice necessary for felony-murder if the victim dies").</w:t>
            </w:r>
          </w:p>
          <w:p w:rsidR="004729FB" w:rsidRDefault="004729FB" w:rsidP="00713DA5">
            <w:pPr>
              <w:spacing w:before="240" w:line="260" w:lineRule="atLeast"/>
              <w:ind w:left="60" w:right="360"/>
              <w:jc w:val="both"/>
            </w:pPr>
            <w:r>
              <w:rPr>
                <w:rFonts w:ascii="Arial" w:eastAsia="Arial" w:hAnsi="Arial" w:cs="Arial"/>
                <w:color w:val="000000"/>
                <w:sz w:val="20"/>
              </w:rPr>
              <w:t xml:space="preserve">Defense of habitation also can be a perfect or imperfect defense to murder. The Court of Appeals first addressed the defense of habitation in </w:t>
            </w:r>
            <w:hyperlink r:id="rId1006" w:history="1">
              <w:r>
                <w:rPr>
                  <w:rFonts w:ascii="Arial" w:eastAsia="Arial" w:hAnsi="Arial" w:cs="Arial"/>
                  <w:i/>
                  <w:color w:val="0077CC"/>
                  <w:sz w:val="20"/>
                  <w:u w:val="single"/>
                </w:rPr>
                <w:t>Crawford v. State, 231 Md. 354, 190 A.2d 538 (1963):</w:t>
              </w:r>
            </w:hyperlink>
          </w:p>
          <w:p w:rsidR="004729FB" w:rsidRDefault="004729FB" w:rsidP="00713DA5">
            <w:pPr>
              <w:spacing w:before="200" w:line="260" w:lineRule="atLeast"/>
              <w:ind w:left="460" w:right="360"/>
              <w:jc w:val="both"/>
            </w:pPr>
            <w:r>
              <w:rPr>
                <w:rFonts w:ascii="Arial" w:eastAsia="Arial" w:hAnsi="Arial" w:cs="Arial"/>
                <w:color w:val="000000"/>
                <w:sz w:val="20"/>
              </w:rPr>
              <w:t xml:space="preserve">[I]f an assault on a dwelling and an attempted forcible entry are made under circumstances which would create a reasonable apprehension that it is the design of the assailant </w:t>
            </w:r>
            <w:r>
              <w:rPr>
                <w:rFonts w:ascii="Arial" w:eastAsia="Arial" w:hAnsi="Arial" w:cs="Arial"/>
                <w:i/>
                <w:color w:val="000000"/>
                <w:sz w:val="20"/>
              </w:rPr>
              <w:t>to commit a felony</w:t>
            </w:r>
            <w:r>
              <w:rPr>
                <w:rFonts w:ascii="Arial" w:eastAsia="Arial" w:hAnsi="Arial" w:cs="Arial"/>
                <w:color w:val="000000"/>
                <w:sz w:val="20"/>
              </w:rPr>
              <w:t xml:space="preserve"> or to inflict on the inhabitants injury which may result in loss of life or great bodily harm, and that the danger that the design will be carried into effect is imminent, a lawful occupant of the dwelling may prevent the entry even by the taking of the intruder's life.</w:t>
            </w:r>
          </w:p>
          <w:p w:rsidR="004729FB" w:rsidRDefault="004729FB" w:rsidP="00713DA5">
            <w:pPr>
              <w:spacing w:before="200" w:line="260" w:lineRule="atLeast"/>
              <w:ind w:left="60" w:right="360"/>
              <w:jc w:val="both"/>
            </w:pPr>
            <w:hyperlink r:id="rId1007" w:history="1">
              <w:r>
                <w:rPr>
                  <w:rFonts w:ascii="Arial" w:eastAsia="Arial" w:hAnsi="Arial" w:cs="Arial"/>
                  <w:i/>
                  <w:color w:val="0077CC"/>
                  <w:sz w:val="20"/>
                  <w:u w:val="single"/>
                </w:rPr>
                <w:t>Id. at 360, 190 A.2d at 541</w:t>
              </w:r>
            </w:hyperlink>
            <w:r>
              <w:rPr>
                <w:rFonts w:ascii="Arial" w:eastAsia="Arial" w:hAnsi="Arial" w:cs="Arial"/>
                <w:color w:val="000000"/>
                <w:sz w:val="20"/>
              </w:rPr>
              <w:t xml:space="preserve"> (emphasis in original). The Court recognized that the defense of habitation is closely related to the castle doctrine exception to the duty to retreat rule in self-defense. </w:t>
            </w:r>
            <w:hyperlink r:id="rId1008" w:history="1">
              <w:r>
                <w:rPr>
                  <w:rFonts w:ascii="Arial" w:eastAsia="Arial" w:hAnsi="Arial" w:cs="Arial"/>
                  <w:i/>
                  <w:color w:val="0077CC"/>
                  <w:sz w:val="20"/>
                  <w:u w:val="single"/>
                </w:rPr>
                <w:t>Id. at 361-62, 190 A.2d at 541-42.</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CLARK &amp; MARSHALL, </w:t>
            </w:r>
            <w:r>
              <w:rPr>
                <w:rFonts w:ascii="Arial" w:eastAsia="Arial" w:hAnsi="Arial" w:cs="Arial"/>
                <w:i/>
                <w:color w:val="000000"/>
                <w:sz w:val="20"/>
              </w:rPr>
              <w:t>supra</w:t>
            </w:r>
            <w:r>
              <w:rPr>
                <w:rFonts w:ascii="Arial" w:eastAsia="Arial" w:hAnsi="Arial" w:cs="Arial"/>
                <w:color w:val="000000"/>
                <w:sz w:val="20"/>
              </w:rPr>
              <w:t xml:space="preserve">, at § 7.03, at 493-95; LAFAVE, </w:t>
            </w:r>
            <w:r>
              <w:rPr>
                <w:rFonts w:ascii="Arial" w:eastAsia="Arial" w:hAnsi="Arial" w:cs="Arial"/>
                <w:i/>
                <w:color w:val="000000"/>
                <w:sz w:val="20"/>
              </w:rPr>
              <w:t>supra</w:t>
            </w:r>
            <w:r>
              <w:rPr>
                <w:rFonts w:ascii="Arial" w:eastAsia="Arial" w:hAnsi="Arial" w:cs="Arial"/>
                <w:color w:val="000000"/>
                <w:sz w:val="20"/>
              </w:rPr>
              <w:t xml:space="preserve">, § 10.6, at 585-90; PERKINS &amp; BOYCE, </w:t>
            </w:r>
            <w:r>
              <w:rPr>
                <w:rFonts w:ascii="Arial" w:eastAsia="Arial" w:hAnsi="Arial" w:cs="Arial"/>
                <w:i/>
                <w:color w:val="000000"/>
                <w:sz w:val="20"/>
              </w:rPr>
              <w:t>supra</w:t>
            </w:r>
            <w:r>
              <w:rPr>
                <w:rFonts w:ascii="Arial" w:eastAsia="Arial" w:hAnsi="Arial" w:cs="Arial"/>
                <w:color w:val="000000"/>
                <w:sz w:val="20"/>
              </w:rPr>
              <w:t>, at 1148-52.</w:t>
            </w:r>
          </w:p>
          <w:p w:rsidR="004729FB" w:rsidRDefault="004729FB" w:rsidP="00713DA5">
            <w:pPr>
              <w:spacing w:before="200" w:line="260" w:lineRule="atLeast"/>
              <w:ind w:left="60" w:right="360"/>
              <w:jc w:val="both"/>
            </w:pPr>
            <w:r>
              <w:rPr>
                <w:rFonts w:ascii="Arial" w:eastAsia="Arial" w:hAnsi="Arial" w:cs="Arial"/>
                <w:color w:val="000000"/>
                <w:sz w:val="20"/>
              </w:rPr>
              <w:t xml:space="preserve">The right to use deadly force comes from an honest and reasonable belief of imminent death or serious bodily harm and/or an honest and reasonable belief of an imminent felony. If an imminent felony, it must be one "committed by forcible means, violence, and surprise, such as murder, robbery, burglary, rape, or arson… [and thus the] killing is necessary to prevent the commission of the felony in question." </w:t>
            </w:r>
            <w:hyperlink r:id="rId1009" w:history="1">
              <w:r>
                <w:rPr>
                  <w:rFonts w:ascii="Arial" w:eastAsia="Arial" w:hAnsi="Arial" w:cs="Arial"/>
                  <w:i/>
                  <w:color w:val="0077CC"/>
                  <w:sz w:val="20"/>
                  <w:u w:val="single"/>
                </w:rPr>
                <w:t>Crawford, 231 Md. at 362-63, 190 A.2d at 542-43</w:t>
              </w:r>
            </w:hyperlink>
            <w:r>
              <w:rPr>
                <w:rFonts w:ascii="Arial" w:eastAsia="Arial" w:hAnsi="Arial" w:cs="Arial"/>
                <w:color w:val="000000"/>
                <w:sz w:val="20"/>
              </w:rPr>
              <w:t xml:space="preserve"> (quoting 1 FRANCIS WHARTON, CRIMINAL LAW &amp; PROCEDURE § 206, at 453-55 (Ronald Aberdeen Anderson ed., 1957)); </w:t>
            </w:r>
            <w:hyperlink r:id="rId1010" w:history="1">
              <w:r>
                <w:rPr>
                  <w:rFonts w:ascii="Arial" w:eastAsia="Arial" w:hAnsi="Arial" w:cs="Arial"/>
                  <w:i/>
                  <w:color w:val="0077CC"/>
                  <w:sz w:val="20"/>
                  <w:u w:val="single"/>
                </w:rPr>
                <w:t>Braboy v. State, 130 Md. App. 220, 226 n.9, 745 A.2d 471, 474 n.10</w:t>
              </w:r>
            </w:hyperlink>
            <w:r>
              <w:rPr>
                <w:rFonts w:ascii="Arial" w:eastAsia="Arial" w:hAnsi="Arial" w:cs="Arial"/>
                <w:color w:val="000000"/>
                <w:sz w:val="20"/>
              </w:rPr>
              <w:t xml:space="preserve"> ("The habitation defense applies when a defendant has used deadly force in response to a reasonable belief that the victim intended to commit a felony in the home or to inflict serious bodily harm or death on the inhabitants of the home." (citing </w:t>
            </w:r>
            <w:hyperlink r:id="rId1011" w:history="1">
              <w:r>
                <w:rPr>
                  <w:rFonts w:ascii="Arial" w:eastAsia="Arial" w:hAnsi="Arial" w:cs="Arial"/>
                  <w:i/>
                  <w:color w:val="0077CC"/>
                  <w:sz w:val="20"/>
                  <w:u w:val="single"/>
                </w:rPr>
                <w:t>Crawford, 231 Md. at 361-62, 190 A.2d at 541-42)),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358 Md. 609, 751 A.2d 470 (2000);</w:t>
            </w:r>
            <w:r>
              <w:rPr>
                <w:rFonts w:ascii="Arial" w:eastAsia="Arial" w:hAnsi="Arial" w:cs="Arial"/>
                <w:color w:val="000000"/>
                <w:sz w:val="20"/>
              </w:rPr>
              <w:t xml:space="preserve"> </w:t>
            </w:r>
            <w:r>
              <w:rPr>
                <w:rFonts w:ascii="Arial" w:eastAsia="Arial" w:hAnsi="Arial" w:cs="Arial"/>
                <w:i/>
                <w:color w:val="000000"/>
                <w:sz w:val="20"/>
              </w:rPr>
              <w:t xml:space="preserve">see </w:t>
            </w:r>
            <w:hyperlink r:id="rId1012" w:history="1">
              <w:r>
                <w:rPr>
                  <w:rFonts w:ascii="Arial" w:eastAsia="Arial" w:hAnsi="Arial" w:cs="Arial"/>
                  <w:i/>
                  <w:color w:val="0077CC"/>
                  <w:sz w:val="20"/>
                  <w:u w:val="single"/>
                </w:rPr>
                <w:t>Law v. State, 21 Md. App. 13, 27-28, 318 A.2d 859, 867-68 (1974)</w:t>
              </w:r>
            </w:hyperlink>
            <w:r>
              <w:rPr>
                <w:rFonts w:ascii="Arial" w:eastAsia="Arial" w:hAnsi="Arial" w:cs="Arial"/>
                <w:color w:val="000000"/>
                <w:sz w:val="20"/>
              </w:rPr>
              <w:t xml:space="preserve"> (emphasizing that the "real or apparent necessity" limitation precludes the taking of life unless </w:t>
            </w:r>
            <w:r>
              <w:rPr>
                <w:rFonts w:ascii="Arial" w:eastAsia="Arial" w:hAnsi="Arial" w:cs="Arial"/>
                <w:color w:val="000000"/>
                <w:sz w:val="20"/>
              </w:rPr>
              <w:lastRenderedPageBreak/>
              <w:t xml:space="preserve">unavoidable). </w:t>
            </w:r>
            <w:r>
              <w:rPr>
                <w:rFonts w:ascii="Arial" w:eastAsia="Arial" w:hAnsi="Arial" w:cs="Arial"/>
                <w:i/>
                <w:color w:val="000000"/>
                <w:sz w:val="20"/>
              </w:rPr>
              <w:t>See generally</w:t>
            </w:r>
            <w:r>
              <w:rPr>
                <w:rFonts w:ascii="Arial" w:eastAsia="Arial" w:hAnsi="Arial" w:cs="Arial"/>
                <w:color w:val="000000"/>
                <w:sz w:val="20"/>
              </w:rPr>
              <w:t xml:space="preserve"> CLARK &amp; MARSHALL, </w:t>
            </w:r>
            <w:r>
              <w:rPr>
                <w:rFonts w:ascii="Arial" w:eastAsia="Arial" w:hAnsi="Arial" w:cs="Arial"/>
                <w:i/>
                <w:color w:val="000000"/>
                <w:sz w:val="20"/>
              </w:rPr>
              <w:t>supra</w:t>
            </w:r>
            <w:r>
              <w:rPr>
                <w:rFonts w:ascii="Arial" w:eastAsia="Arial" w:hAnsi="Arial" w:cs="Arial"/>
                <w:color w:val="000000"/>
                <w:sz w:val="20"/>
              </w:rPr>
              <w:t xml:space="preserve">, § 7.05. Thus, a valid defense of habitation at the deadly force level also is a valid self-defense or defense of others at the deadly force level or crime prevention against an inherently dangerous felony. </w:t>
            </w:r>
            <w:r>
              <w:rPr>
                <w:rFonts w:ascii="Arial" w:eastAsia="Arial" w:hAnsi="Arial" w:cs="Arial"/>
                <w:i/>
                <w:color w:val="000000"/>
                <w:sz w:val="20"/>
              </w:rPr>
              <w:t xml:space="preserve">See </w:t>
            </w:r>
            <w:hyperlink r:id="rId1013" w:history="1">
              <w:r>
                <w:rPr>
                  <w:rFonts w:ascii="Arial" w:eastAsia="Arial" w:hAnsi="Arial" w:cs="Arial"/>
                  <w:i/>
                  <w:color w:val="0077CC"/>
                  <w:sz w:val="20"/>
                  <w:u w:val="single"/>
                </w:rPr>
                <w:t>People v. Hubbard, 220 P. 315 (Cal. Dist. Ct. App. 1923);</w:t>
              </w:r>
            </w:hyperlink>
            <w:r>
              <w:rPr>
                <w:rFonts w:ascii="Arial" w:eastAsia="Arial" w:hAnsi="Arial" w:cs="Arial"/>
                <w:color w:val="000000"/>
                <w:sz w:val="20"/>
              </w:rPr>
              <w:t xml:space="preserve"> </w:t>
            </w:r>
            <w:hyperlink r:id="rId1014" w:history="1">
              <w:r>
                <w:rPr>
                  <w:rFonts w:ascii="Arial" w:eastAsia="Arial" w:hAnsi="Arial" w:cs="Arial"/>
                  <w:i/>
                  <w:color w:val="0077CC"/>
                  <w:sz w:val="20"/>
                  <w:u w:val="single"/>
                </w:rPr>
                <w:t>Brown v. State, 441 S.W.2d 485 (Tenn. Crim. App. 1969);</w:t>
              </w:r>
            </w:hyperlink>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10.6, at 585-86; PERKINS &amp; BOYCE, </w:t>
            </w:r>
            <w:r>
              <w:rPr>
                <w:rFonts w:ascii="Arial" w:eastAsia="Arial" w:hAnsi="Arial" w:cs="Arial"/>
                <w:i/>
                <w:color w:val="000000"/>
                <w:sz w:val="20"/>
              </w:rPr>
              <w:t>supra</w:t>
            </w:r>
            <w:r>
              <w:rPr>
                <w:rFonts w:ascii="Arial" w:eastAsia="Arial" w:hAnsi="Arial" w:cs="Arial"/>
                <w:color w:val="000000"/>
                <w:sz w:val="20"/>
              </w:rPr>
              <w:t>, at 1154-55, 1158-60.</w:t>
            </w:r>
          </w:p>
          <w:p w:rsidR="004729FB" w:rsidRDefault="004729FB" w:rsidP="00713DA5">
            <w:pPr>
              <w:spacing w:before="200" w:line="260" w:lineRule="atLeast"/>
              <w:ind w:left="60" w:right="360"/>
              <w:jc w:val="both"/>
            </w:pPr>
            <w:r>
              <w:rPr>
                <w:rFonts w:ascii="Arial" w:eastAsia="Arial" w:hAnsi="Arial" w:cs="Arial"/>
                <w:color w:val="000000"/>
                <w:sz w:val="20"/>
              </w:rPr>
              <w:t xml:space="preserve">In defending habitation, the defender must not use excessive force and "all other means of preventing the crime must first be exhausted." </w:t>
            </w:r>
            <w:hyperlink r:id="rId1015" w:history="1">
              <w:r>
                <w:rPr>
                  <w:rFonts w:ascii="Arial" w:eastAsia="Arial" w:hAnsi="Arial" w:cs="Arial"/>
                  <w:i/>
                  <w:color w:val="0077CC"/>
                  <w:sz w:val="20"/>
                  <w:u w:val="single"/>
                </w:rPr>
                <w:t>Law, 21 Md. App. at 31, 318 A.2d at 869</w:t>
              </w:r>
            </w:hyperlink>
            <w:r>
              <w:rPr>
                <w:rFonts w:ascii="Arial" w:eastAsia="Arial" w:hAnsi="Arial" w:cs="Arial"/>
                <w:color w:val="000000"/>
                <w:sz w:val="20"/>
              </w:rPr>
              <w:t xml:space="preserve"> (quoting WHARTON, </w:t>
            </w:r>
            <w:r>
              <w:rPr>
                <w:rFonts w:ascii="Arial" w:eastAsia="Arial" w:hAnsi="Arial" w:cs="Arial"/>
                <w:i/>
                <w:color w:val="000000"/>
                <w:sz w:val="20"/>
              </w:rPr>
              <w:t>supra</w:t>
            </w:r>
            <w:r>
              <w:rPr>
                <w:rFonts w:ascii="Arial" w:eastAsia="Arial" w:hAnsi="Arial" w:cs="Arial"/>
                <w:color w:val="000000"/>
                <w:sz w:val="20"/>
              </w:rPr>
              <w:t xml:space="preserve">, at 454-55). Defense of habitation includes maintaining possession of the premises, </w:t>
            </w:r>
            <w:hyperlink r:id="rId1016" w:history="1">
              <w:r>
                <w:rPr>
                  <w:rFonts w:ascii="Arial" w:eastAsia="Arial" w:hAnsi="Arial" w:cs="Arial"/>
                  <w:i/>
                  <w:color w:val="0077CC"/>
                  <w:sz w:val="20"/>
                  <w:u w:val="single"/>
                </w:rPr>
                <w:t>Hubbard, 220 P. 315,</w:t>
              </w:r>
            </w:hyperlink>
            <w:r>
              <w:rPr>
                <w:rFonts w:ascii="Arial" w:eastAsia="Arial" w:hAnsi="Arial" w:cs="Arial"/>
                <w:color w:val="000000"/>
                <w:sz w:val="20"/>
              </w:rPr>
              <w:t xml:space="preserve"> which includes preventing or terminating an unlawful attack upon the dwelling, KAN. STAT. ANN. § 21-5223 (2012). To this end, the defendant, if necessary, "may even pursue the assailant until he finds himself or his property out of danger… ." </w:t>
            </w:r>
            <w:hyperlink r:id="rId1017" w:history="1">
              <w:r>
                <w:rPr>
                  <w:rFonts w:ascii="Arial" w:eastAsia="Arial" w:hAnsi="Arial" w:cs="Arial"/>
                  <w:i/>
                  <w:color w:val="0077CC"/>
                  <w:sz w:val="20"/>
                  <w:u w:val="single"/>
                </w:rPr>
                <w:t>Law, 21 Md. App. at 28, 318 A.2d at 867</w:t>
              </w:r>
            </w:hyperlink>
            <w:r>
              <w:rPr>
                <w:rFonts w:ascii="Arial" w:eastAsia="Arial" w:hAnsi="Arial" w:cs="Arial"/>
                <w:color w:val="000000"/>
                <w:sz w:val="20"/>
              </w:rPr>
              <w:t xml:space="preserve"> (quoting SEYMOUR FREDERICK HARRIS, PRINCIPLES OF CRIMINAL LAW 127 (M.F. Force ed., 1880)). Although Maryland has not addressed the workplace, there is some authority for extending the defense of habitation to the workplace. PERKINS &amp; BOYCE, </w:t>
            </w:r>
            <w:r>
              <w:rPr>
                <w:rFonts w:ascii="Arial" w:eastAsia="Arial" w:hAnsi="Arial" w:cs="Arial"/>
                <w:i/>
                <w:color w:val="000000"/>
                <w:sz w:val="20"/>
              </w:rPr>
              <w:t>supra</w:t>
            </w:r>
            <w:r>
              <w:rPr>
                <w:rFonts w:ascii="Arial" w:eastAsia="Arial" w:hAnsi="Arial" w:cs="Arial"/>
                <w:color w:val="000000"/>
                <w:sz w:val="20"/>
              </w:rPr>
              <w:t>, § 10.6, at 1151.</w:t>
            </w:r>
          </w:p>
          <w:p w:rsidR="004729FB" w:rsidRDefault="004729FB" w:rsidP="00713DA5">
            <w:pPr>
              <w:spacing w:before="240" w:line="260" w:lineRule="atLeast"/>
              <w:ind w:left="60" w:right="360"/>
              <w:jc w:val="both"/>
            </w:pPr>
            <w:r>
              <w:rPr>
                <w:rFonts w:ascii="Arial" w:eastAsia="Arial" w:hAnsi="Arial" w:cs="Arial"/>
                <w:color w:val="000000"/>
                <w:sz w:val="20"/>
              </w:rPr>
              <w:t xml:space="preserve">As in self-defense and defense of others, there may be an imperfect defense of habitation. </w:t>
            </w:r>
            <w:r>
              <w:rPr>
                <w:rFonts w:ascii="Arial" w:eastAsia="Arial" w:hAnsi="Arial" w:cs="Arial"/>
                <w:i/>
                <w:color w:val="000000"/>
                <w:sz w:val="20"/>
              </w:rPr>
              <w:t xml:space="preserve">See </w:t>
            </w:r>
            <w:hyperlink r:id="rId1018" w:history="1">
              <w:r>
                <w:rPr>
                  <w:rFonts w:ascii="Arial" w:eastAsia="Arial" w:hAnsi="Arial" w:cs="Arial"/>
                  <w:i/>
                  <w:color w:val="0077CC"/>
                  <w:sz w:val="20"/>
                  <w:u w:val="single"/>
                </w:rPr>
                <w:t>Law v. State, 29 Md. App. 457, 349 A.2d 295 (1975);</w:t>
              </w:r>
            </w:hyperlink>
            <w:r>
              <w:rPr>
                <w:rFonts w:ascii="Arial" w:eastAsia="Arial" w:hAnsi="Arial" w:cs="Arial"/>
                <w:color w:val="000000"/>
                <w:sz w:val="20"/>
              </w:rPr>
              <w:t xml:space="preserve"> </w:t>
            </w:r>
            <w:r>
              <w:rPr>
                <w:rFonts w:ascii="Arial" w:eastAsia="Arial" w:hAnsi="Arial" w:cs="Arial"/>
                <w:i/>
                <w:color w:val="000000"/>
                <w:sz w:val="20"/>
              </w:rPr>
              <w:t xml:space="preserve">cf. </w:t>
            </w:r>
            <w:hyperlink r:id="rId1019" w:history="1">
              <w:r>
                <w:rPr>
                  <w:rFonts w:ascii="Arial" w:eastAsia="Arial" w:hAnsi="Arial" w:cs="Arial"/>
                  <w:i/>
                  <w:color w:val="0077CC"/>
                  <w:sz w:val="20"/>
                  <w:u w:val="single"/>
                </w:rPr>
                <w:t>Christian, 405 Md. 306, 951 A.2d 832</w:t>
              </w:r>
            </w:hyperlink>
            <w:r>
              <w:rPr>
                <w:rFonts w:ascii="Arial" w:eastAsia="Arial" w:hAnsi="Arial" w:cs="Arial"/>
                <w:color w:val="000000"/>
                <w:sz w:val="20"/>
              </w:rPr>
              <w:t xml:space="preserve"> (holding that imperfect self-defense can mitigate first degree assault to second degree assault).</w:t>
            </w:r>
          </w:p>
          <w:p w:rsidR="004729FB" w:rsidRDefault="004729FB" w:rsidP="00713DA5">
            <w:pPr>
              <w:spacing w:before="240" w:line="260" w:lineRule="atLeast"/>
              <w:ind w:left="60" w:right="360"/>
              <w:jc w:val="both"/>
            </w:pPr>
            <w:r>
              <w:rPr>
                <w:rFonts w:ascii="Arial" w:eastAsia="Arial" w:hAnsi="Arial" w:cs="Arial"/>
                <w:color w:val="000000"/>
                <w:sz w:val="20"/>
              </w:rPr>
              <w:t xml:space="preserve">This instruction was updated in June 2018 to comply with the specific direction of the Court of Appeals. </w:t>
            </w:r>
            <w:r>
              <w:rPr>
                <w:rFonts w:ascii="Arial" w:eastAsia="Arial" w:hAnsi="Arial" w:cs="Arial"/>
                <w:i/>
                <w:color w:val="000000"/>
                <w:sz w:val="20"/>
              </w:rPr>
              <w:t xml:space="preserve">See </w:t>
            </w:r>
            <w:hyperlink r:id="rId1020" w:history="1">
              <w:r>
                <w:rPr>
                  <w:rFonts w:ascii="Arial" w:eastAsia="Arial" w:hAnsi="Arial" w:cs="Arial"/>
                  <w:i/>
                  <w:color w:val="0077CC"/>
                  <w:sz w:val="20"/>
                  <w:u w:val="single"/>
                </w:rPr>
                <w:t>Porter v. State, 455 Md. 220, 245 n.6, 166 A.3d 1044, 1059 n.6 (2017)</w:t>
              </w:r>
            </w:hyperlink>
            <w:r>
              <w:rPr>
                <w:rFonts w:ascii="Arial" w:eastAsia="Arial" w:hAnsi="Arial" w:cs="Arial"/>
                <w:color w:val="000000"/>
                <w:sz w:val="20"/>
              </w:rPr>
              <w:t xml:space="preserve"> (noting MPJI-Cr should use the phrase "imminent or immediate" instead of "imminent and immediate" in self-defense instructions).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18" style="position:absolute;z-index:25183948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4:17.1, MPJI-Cr 4:17.3, MPJI-Cr 4:17.4, MPJI-Cr 4:17.5, MPJI-Cr 4:17.6, MPJI-Cr 5:07.</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24" style="position:absolute;left:0;text-align:left;z-index:2518456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8" name="Picture 5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027" w:history="1">
        <w:r>
          <w:rPr>
            <w:rFonts w:ascii="Arial" w:eastAsia="Arial" w:hAnsi="Arial" w:cs="Arial"/>
            <w:b/>
            <w:bCs/>
            <w:i/>
            <w:color w:val="0077CC"/>
            <w:kern w:val="32"/>
            <w:sz w:val="28"/>
            <w:szCs w:val="32"/>
            <w:u w:val="single"/>
          </w:rPr>
          <w:t>MPJI-Cr 4:17.3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SECOND DEGREE SPECIFIC INTENT MURDER AND VOLUNTARY MANSLAUGHTER (PERFECT/IMPERFECT DEFENSE OF OTHERS)</w:t>
      </w:r>
    </w:p>
    <w:p w:rsidR="004729FB" w:rsidRDefault="004729FB" w:rsidP="004729FB">
      <w:pPr>
        <w:keepNext/>
        <w:spacing w:before="240" w:line="340" w:lineRule="atLeast"/>
      </w:pPr>
      <w:r>
        <w:br/>
      </w:r>
      <w:r>
        <w:rPr>
          <w:rFonts w:ascii="Arial" w:eastAsia="Arial" w:hAnsi="Arial" w:cs="Arial"/>
          <w:b/>
          <w:color w:val="000000"/>
          <w:sz w:val="28"/>
        </w:rPr>
        <w:t>4:17.3Homicide--First Degree Premeditated Murder, Second Degree Specific Intent Murder and Voluntary Manslaughter (Perfect/Imperfect Defense of Others)</w:t>
      </w:r>
    </w:p>
    <w:p w:rsidR="004729FB" w:rsidRDefault="004729FB" w:rsidP="004729FB">
      <w:pPr>
        <w:spacing w:line="60" w:lineRule="exact"/>
      </w:pPr>
      <w:r>
        <w:pict>
          <v:line id="_x0000_s1209" style="position:absolute;z-index:25183027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second degree murder, and 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 and</w:t>
      </w:r>
    </w:p>
    <w:p w:rsidR="004729FB" w:rsidRDefault="004729FB" w:rsidP="004729FB">
      <w:pPr>
        <w:spacing w:before="200" w:line="260" w:lineRule="atLeast"/>
        <w:ind w:left="800"/>
        <w:jc w:val="both"/>
      </w:pPr>
      <w:r>
        <w:rPr>
          <w:rFonts w:ascii="Arial" w:eastAsia="Arial" w:hAnsi="Arial" w:cs="Arial"/>
          <w:b/>
          <w:color w:val="000000"/>
          <w:sz w:val="20"/>
        </w:rPr>
        <w:t>(3) that the killing was not in defense of another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 and</w:t>
      </w:r>
    </w:p>
    <w:p w:rsidR="004729FB" w:rsidRDefault="004729FB" w:rsidP="004729FB">
      <w:pPr>
        <w:spacing w:before="200" w:line="260" w:lineRule="atLeast"/>
        <w:ind w:left="800"/>
        <w:jc w:val="both"/>
      </w:pPr>
      <w:r>
        <w:rPr>
          <w:rFonts w:ascii="Arial" w:eastAsia="Arial" w:hAnsi="Arial" w:cs="Arial"/>
          <w:b/>
          <w:color w:val="000000"/>
          <w:sz w:val="20"/>
        </w:rPr>
        <w:lastRenderedPageBreak/>
        <w:t>(3) that the killing was not in defense of another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VOLUNTARY MANSLAUGHTER (PERFECT/IMPERFECT DEFENSE OF OTHERS)</w:t>
      </w:r>
    </w:p>
    <w:p w:rsidR="004729FB" w:rsidRDefault="004729FB" w:rsidP="004729FB">
      <w:pPr>
        <w:spacing w:before="200" w:line="260" w:lineRule="atLeast"/>
        <w:ind w:left="400"/>
        <w:jc w:val="both"/>
      </w:pPr>
      <w:r>
        <w:rPr>
          <w:rFonts w:ascii="Arial" w:eastAsia="Arial" w:hAnsi="Arial" w:cs="Arial"/>
          <w:b/>
          <w:color w:val="000000"/>
          <w:sz w:val="20"/>
        </w:rPr>
        <w:t>Voluntary manslaughter is an intentional killing which is not murder because the defendant acted in partial defense of another person. Partial defense of another person does not result in a verdict of not guilty, but rather reduces the level of guilt from murder to manslaughter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You have heard evidence that the defendant killed (</w:t>
      </w:r>
      <w:r>
        <w:rPr>
          <w:rFonts w:ascii="Arial" w:eastAsia="Arial" w:hAnsi="Arial" w:cs="Arial"/>
          <w:b/>
          <w:color w:val="000000"/>
          <w:sz w:val="20"/>
          <w:u w:val="single"/>
        </w:rPr>
        <w:t>name</w:t>
      </w:r>
      <w:r>
        <w:rPr>
          <w:rFonts w:ascii="Arial" w:eastAsia="Arial" w:hAnsi="Arial" w:cs="Arial"/>
          <w:b/>
          <w:color w:val="000000"/>
          <w:sz w:val="20"/>
        </w:rPr>
        <w:t>) in defense of another person. You must decide whether this is a complete defense, a partial defense, or no defense in this case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either complete defense of another person or partial defense of another person. If the defendant did act in complete defense of another person, the verdict must be not guilty. If the defendant did not act in complete defense of another person, but did act in partial defense of another person, the verdict should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Defense of another person is a complete defense, and you are required to find the defendant not guilty, if all of the following four factors are present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the defendant actually believed that the person [he] [she] was defending was in immediate or imminent danger of death or serious bodily harm</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the defendant's belief was reasonable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the defendant used no more force than was reasonably necessary in light of the threatened or actual force; and</w:t>
      </w:r>
    </w:p>
    <w:p w:rsidR="004729FB" w:rsidRDefault="004729FB" w:rsidP="004729FB">
      <w:pPr>
        <w:spacing w:before="200" w:line="260" w:lineRule="atLeast"/>
        <w:ind w:left="800"/>
        <w:jc w:val="both"/>
      </w:pPr>
      <w:r>
        <w:rPr>
          <w:rFonts w:ascii="Arial" w:eastAsia="Arial" w:hAnsi="Arial" w:cs="Arial"/>
          <w:b/>
          <w:color w:val="000000"/>
          <w:sz w:val="20"/>
        </w:rPr>
        <w:t>(4) the defendant's purpose in using force was to aid the person [he] [she] was defending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defense of another person does not apply in this case. This means that you are required to find the defendant not guilty, unless the State has persuaded you, beyond a reasonable doubt, that at least one of the four factors of complete defense of another person was absent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Even if you find that the defendant did not act in complete defense of another person, the defendant may still have acted in partial defense of another person. [If the defendant actually believed that the person defended was in immediate or imminent danger of death or serious bodily harm, even though a reasonable person would not have so believed, the defendant's actual, though unreasonable, belief is a partial defense of another person and results in a verdict of voluntary manslaughter rather than murder.] [If the defendant used greater force than a reasonable person would have used, but the defendant actually believed that the force used was necessary, the defendant's actual, though unreasonable, belief is a partial defense of another person and the verdict should be guilty of voluntary manslaughter rather than murder.]</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complete or partial defense of another person. If the defendant did act in complete defense of another person, the verdict must be not guilty. If the defendant did not act in complete defense of another person, but did act in partial defense of that person, the verdict should be guilty of voluntary manslaughter and not guilty of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lastRenderedPageBreak/>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(Imperfect Self-Defense)); MPJI-Cr 5:01 (Defense of Others).</w:t>
            </w:r>
          </w:p>
          <w:p w:rsidR="004729FB" w:rsidRDefault="004729FB" w:rsidP="00713DA5">
            <w:pPr>
              <w:spacing w:before="200" w:line="260" w:lineRule="atLeast"/>
              <w:ind w:left="60" w:right="360"/>
              <w:jc w:val="both"/>
            </w:pPr>
            <w:r>
              <w:rPr>
                <w:rFonts w:ascii="Arial" w:eastAsia="Arial" w:hAnsi="Arial" w:cs="Arial"/>
                <w:color w:val="000000"/>
                <w:sz w:val="20"/>
              </w:rPr>
              <w:t xml:space="preserve">A perfect defense of others is a complete defense to both murder and manslaughter. It requires that the defendant honestly and reasonably believe that another person is in imminent danger of death or serious bodily harm, that the defendant use no more force than reasonably necessary, and that the defendant use that force for the purpose of aiding the person defended. </w:t>
            </w:r>
            <w:r>
              <w:rPr>
                <w:rFonts w:ascii="Arial" w:eastAsia="Arial" w:hAnsi="Arial" w:cs="Arial"/>
                <w:i/>
                <w:color w:val="000000"/>
                <w:sz w:val="20"/>
              </w:rPr>
              <w:t xml:space="preserve">See </w:t>
            </w:r>
            <w:hyperlink r:id="rId1028" w:history="1">
              <w:r>
                <w:rPr>
                  <w:rFonts w:ascii="Arial" w:eastAsia="Arial" w:hAnsi="Arial" w:cs="Arial"/>
                  <w:i/>
                  <w:color w:val="0077CC"/>
                  <w:sz w:val="20"/>
                  <w:u w:val="single"/>
                </w:rPr>
                <w:t>Alexander v. State, 52 Md. App. 171, 176-78, 447 A.2d 880, 883-84,</w:t>
              </w:r>
            </w:hyperlink>
            <w:r>
              <w:rPr>
                <w:rFonts w:ascii="Arial" w:eastAsia="Arial" w:hAnsi="Arial" w:cs="Arial"/>
                <w:color w:val="000000"/>
                <w:sz w:val="20"/>
              </w:rPr>
              <w:t xml:space="preserve"> </w:t>
            </w:r>
            <w:r>
              <w:rPr>
                <w:rFonts w:ascii="Arial" w:eastAsia="Arial" w:hAnsi="Arial" w:cs="Arial"/>
                <w:i/>
                <w:color w:val="000000"/>
                <w:sz w:val="20"/>
              </w:rPr>
              <w:t>aff'd per curiam</w:t>
            </w:r>
            <w:r>
              <w:rPr>
                <w:rFonts w:ascii="Arial" w:eastAsia="Arial" w:hAnsi="Arial" w:cs="Arial"/>
                <w:color w:val="000000"/>
                <w:sz w:val="20"/>
              </w:rPr>
              <w:t xml:space="preserve">, </w:t>
            </w:r>
            <w:hyperlink r:id="rId1029" w:history="1">
              <w:r>
                <w:rPr>
                  <w:rFonts w:ascii="Arial" w:eastAsia="Arial" w:hAnsi="Arial" w:cs="Arial"/>
                  <w:i/>
                  <w:color w:val="0077CC"/>
                  <w:sz w:val="20"/>
                  <w:u w:val="single"/>
                </w:rPr>
                <w:t>294 Md. 600, 451 A.2d 664 (1982);</w:t>
              </w:r>
            </w:hyperlink>
            <w:r>
              <w:rPr>
                <w:rFonts w:ascii="Arial" w:eastAsia="Arial" w:hAnsi="Arial" w:cs="Arial"/>
                <w:color w:val="000000"/>
                <w:sz w:val="20"/>
              </w:rPr>
              <w:t xml:space="preserve"> WAYNE R. LAFAVE, CRIMINAL LAW § 10.5, at 582-84 (5th ed. 2010). The defendant has an imperfect defense of others and is entitled to an instruction on voluntary manslaughter based upon an imperfect defense of others, if he or she honestly, but unreasonably, believed that the person defended was in imminent danger of death or serious bodily harm and/or he or she honestly, but unreasonably, believed that the force used was necessary. </w:t>
            </w:r>
            <w:r>
              <w:rPr>
                <w:rFonts w:ascii="Arial" w:eastAsia="Arial" w:hAnsi="Arial" w:cs="Arial"/>
                <w:i/>
                <w:color w:val="000000"/>
                <w:sz w:val="20"/>
              </w:rPr>
              <w:t xml:space="preserve">See </w:t>
            </w:r>
            <w:hyperlink r:id="rId1030" w:history="1">
              <w:r>
                <w:rPr>
                  <w:rFonts w:ascii="Arial" w:eastAsia="Arial" w:hAnsi="Arial" w:cs="Arial"/>
                  <w:i/>
                  <w:color w:val="0077CC"/>
                  <w:sz w:val="20"/>
                  <w:u w:val="single"/>
                </w:rPr>
                <w:t>Faulkner v. State, 301 Md. 482, 486-501, 483 A.2d 759, 762-69 (1984);</w:t>
              </w:r>
            </w:hyperlink>
            <w:r>
              <w:rPr>
                <w:rFonts w:ascii="Arial" w:eastAsia="Arial" w:hAnsi="Arial" w:cs="Arial"/>
                <w:color w:val="000000"/>
                <w:sz w:val="20"/>
              </w:rPr>
              <w:t xml:space="preserve"> </w:t>
            </w:r>
            <w:hyperlink r:id="rId1031" w:history="1">
              <w:r>
                <w:rPr>
                  <w:rFonts w:ascii="Arial" w:eastAsia="Arial" w:hAnsi="Arial" w:cs="Arial"/>
                  <w:i/>
                  <w:color w:val="0077CC"/>
                  <w:sz w:val="20"/>
                  <w:u w:val="single"/>
                </w:rPr>
                <w:t>Shuck v. State, 29 Md. App. 33, 40-44, 349 A.2d 378, 382-84 (1975),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733 (1976);</w:t>
            </w:r>
            <w:r>
              <w:rPr>
                <w:rFonts w:ascii="Arial" w:eastAsia="Arial" w:hAnsi="Arial" w:cs="Arial"/>
                <w:color w:val="000000"/>
                <w:sz w:val="20"/>
              </w:rPr>
              <w:t xml:space="preserve"> </w:t>
            </w:r>
            <w:r>
              <w:rPr>
                <w:rFonts w:ascii="Arial" w:eastAsia="Arial" w:hAnsi="Arial" w:cs="Arial"/>
                <w:i/>
                <w:color w:val="000000"/>
                <w:sz w:val="20"/>
              </w:rPr>
              <w:t xml:space="preserve">see also </w:t>
            </w:r>
            <w:hyperlink r:id="rId1032" w:history="1">
              <w:r>
                <w:rPr>
                  <w:rFonts w:ascii="Arial" w:eastAsia="Arial" w:hAnsi="Arial" w:cs="Arial"/>
                  <w:i/>
                  <w:color w:val="0077CC"/>
                  <w:sz w:val="20"/>
                  <w:u w:val="single"/>
                </w:rPr>
                <w:t>Lee v. State, 193 Md. App. 45, 55-66, 996 A.2d 425, 430-37</w:t>
              </w:r>
            </w:hyperlink>
            <w:r>
              <w:rPr>
                <w:rFonts w:ascii="Arial" w:eastAsia="Arial" w:hAnsi="Arial" w:cs="Arial"/>
                <w:color w:val="000000"/>
                <w:sz w:val="20"/>
              </w:rPr>
              <w:t xml:space="preserve"> (reviewing cases and holding that "[t]he defense of defense of others may not serve to justify or mitigate the use of deadly force when the person ostensibly being defended is not being attacked and is not even the target of a threatened attack"),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415 Md. 339, 1 A.3d 468 (2010).</w:t>
            </w:r>
          </w:p>
          <w:p w:rsidR="004729FB" w:rsidRDefault="004729FB" w:rsidP="00713DA5">
            <w:pPr>
              <w:spacing w:before="240" w:line="260" w:lineRule="atLeast"/>
              <w:ind w:left="60" w:right="360"/>
              <w:jc w:val="both"/>
            </w:pPr>
            <w:r>
              <w:rPr>
                <w:rFonts w:ascii="Arial" w:eastAsia="Arial" w:hAnsi="Arial" w:cs="Arial"/>
                <w:color w:val="000000"/>
                <w:sz w:val="20"/>
              </w:rPr>
              <w:t xml:space="preserve">This instruction was updated in June 2018 to comply with the specific direction of the Court of Appeals. </w:t>
            </w:r>
            <w:r>
              <w:rPr>
                <w:rFonts w:ascii="Arial" w:eastAsia="Arial" w:hAnsi="Arial" w:cs="Arial"/>
                <w:i/>
                <w:color w:val="000000"/>
                <w:sz w:val="20"/>
              </w:rPr>
              <w:t xml:space="preserve">See </w:t>
            </w:r>
            <w:hyperlink r:id="rId1033" w:history="1">
              <w:r>
                <w:rPr>
                  <w:rFonts w:ascii="Arial" w:eastAsia="Arial" w:hAnsi="Arial" w:cs="Arial"/>
                  <w:i/>
                  <w:color w:val="0077CC"/>
                  <w:sz w:val="20"/>
                  <w:u w:val="single"/>
                </w:rPr>
                <w:t>Porter v. State, 455 Md. 220, 245 n.6, 166 A.3d 1044, 1059 n.6 (2017)</w:t>
              </w:r>
            </w:hyperlink>
            <w:r>
              <w:rPr>
                <w:rFonts w:ascii="Arial" w:eastAsia="Arial" w:hAnsi="Arial" w:cs="Arial"/>
                <w:color w:val="000000"/>
                <w:sz w:val="20"/>
              </w:rPr>
              <w:t xml:space="preserve"> (noting MPJI-Cr should use the phrase "imminent or immediate" instead of "imminent and immediate" in self-defense instructions).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19" style="position:absolute;z-index:25184051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4:17.1, MPJI-Cr 4:17.2, MPJI-Cr 4:17.4, MPJI-Cr 4:17.5, MPJI-Cr 4:17.6, MPJI-Cr 5:01.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25" style="position:absolute;left:0;text-align:left;z-index:2518466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7" name="Picture 5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040" w:history="1">
        <w:r>
          <w:rPr>
            <w:rFonts w:ascii="Arial" w:eastAsia="Arial" w:hAnsi="Arial" w:cs="Arial"/>
            <w:b/>
            <w:bCs/>
            <w:i/>
            <w:color w:val="0077CC"/>
            <w:kern w:val="32"/>
            <w:sz w:val="28"/>
            <w:szCs w:val="32"/>
            <w:u w:val="single"/>
          </w:rPr>
          <w:t>MPJI-Cr 4:17.4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SECOND DEGREE SPECIFIC INTENT MURDER, AND VOLUNTARY MANSLAUGHTER (HOT BLOODED RESPONSE TO LEGALLY ADEQUATE PROVOCATION)</w:t>
      </w:r>
    </w:p>
    <w:p w:rsidR="004729FB" w:rsidRDefault="004729FB" w:rsidP="004729FB">
      <w:pPr>
        <w:keepNext/>
        <w:spacing w:before="240" w:line="340" w:lineRule="atLeast"/>
      </w:pPr>
      <w:r>
        <w:br/>
      </w:r>
      <w:r>
        <w:rPr>
          <w:rFonts w:ascii="Arial" w:eastAsia="Arial" w:hAnsi="Arial" w:cs="Arial"/>
          <w:b/>
          <w:color w:val="000000"/>
          <w:sz w:val="28"/>
        </w:rPr>
        <w:t>4:17.4Homicide--First Degree Premeditated Murder, Second Degree Specific Intent Murder, and Voluntary Manslaughter (Hot Blooded Response to Legally Adequate Provocation)</w:t>
      </w:r>
    </w:p>
    <w:p w:rsidR="004729FB" w:rsidRDefault="004729FB" w:rsidP="004729FB">
      <w:pPr>
        <w:spacing w:line="60" w:lineRule="exact"/>
      </w:pPr>
      <w:r>
        <w:pict>
          <v:line id="_x0000_s1210" style="position:absolute;z-index:25183129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second degree murder, and 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 and</w:t>
      </w:r>
    </w:p>
    <w:p w:rsidR="004729FB" w:rsidRDefault="004729FB" w:rsidP="004729FB">
      <w:pPr>
        <w:spacing w:before="200" w:line="260" w:lineRule="atLeast"/>
        <w:ind w:left="800"/>
        <w:jc w:val="both"/>
      </w:pPr>
      <w:r>
        <w:rPr>
          <w:rFonts w:ascii="Arial" w:eastAsia="Arial" w:hAnsi="Arial" w:cs="Arial"/>
          <w:b/>
          <w:color w:val="000000"/>
          <w:sz w:val="20"/>
        </w:rPr>
        <w:t>(3) that there were no mitigating circumstances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lastRenderedPageBreak/>
        <w:t>(2) that the defendant engaged in the deadly conduct either with the intent to kill or with the intent to inflict such serious bodily harm that death would be the likely result; and</w:t>
      </w:r>
    </w:p>
    <w:p w:rsidR="004729FB" w:rsidRDefault="004729FB" w:rsidP="004729FB">
      <w:pPr>
        <w:spacing w:before="200" w:line="260" w:lineRule="atLeast"/>
        <w:ind w:left="800"/>
        <w:jc w:val="both"/>
      </w:pPr>
      <w:r>
        <w:rPr>
          <w:rFonts w:ascii="Arial" w:eastAsia="Arial" w:hAnsi="Arial" w:cs="Arial"/>
          <w:b/>
          <w:color w:val="000000"/>
          <w:sz w:val="20"/>
        </w:rPr>
        <w:t>(3) that there were no mitigating circumstances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VOLUNTARY MANSLAUGHTER (HOT BLOODED RESPONSE TO LEGALLY ADEQUATE PROVOCATION)</w:t>
      </w:r>
    </w:p>
    <w:p w:rsidR="004729FB" w:rsidRDefault="004729FB" w:rsidP="004729FB">
      <w:pPr>
        <w:spacing w:before="200" w:line="260" w:lineRule="atLeast"/>
        <w:ind w:left="400"/>
        <w:jc w:val="both"/>
      </w:pPr>
      <w:r>
        <w:rPr>
          <w:rFonts w:ascii="Arial" w:eastAsia="Arial" w:hAnsi="Arial" w:cs="Arial"/>
          <w:b/>
          <w:color w:val="000000"/>
          <w:sz w:val="20"/>
        </w:rPr>
        <w:t>Voluntary manslaughter is an intentional killing, which would be murder, but is not murder because the defendant acted in hot blooded response to legally adequate provocation. This does not result in a verdict of not guilty, but rather reduces the level of guilt from murder to manslaughter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You have heard evidence that the defendant killed (</w:t>
      </w:r>
      <w:r>
        <w:rPr>
          <w:rFonts w:ascii="Arial" w:eastAsia="Arial" w:hAnsi="Arial" w:cs="Arial"/>
          <w:b/>
          <w:color w:val="000000"/>
          <w:sz w:val="20"/>
          <w:u w:val="single"/>
        </w:rPr>
        <w:t>name</w:t>
      </w:r>
      <w:r>
        <w:rPr>
          <w:rFonts w:ascii="Arial" w:eastAsia="Arial" w:hAnsi="Arial" w:cs="Arial"/>
          <w:b/>
          <w:color w:val="000000"/>
          <w:sz w:val="20"/>
        </w:rPr>
        <w:t>) in hot blooded response to legally adequate provocation. In order to convict the defendant of murder, the State must prove that the defendant did not act in hot blooded response to legally adequate provocation. If the defendant did act in hot blooded response to legally adequate provocation, the verdict should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Killing in hot blooded response to legally adequate provocation is a mitigating circumstance. In order for this mitigating circumstance to exist in this case, the following five factors must be present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the defendant reacted to something in a hot blooded rage, that is, the defendant actually became enraged</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the rage was caused by something the law recognizes as legally adequate provocation, that is, something that would cause a reasonable person to become enraged enough to kill or inflict serious bodily harm. The only act that you can find to be adequate provocation under the evidence in this case is [a battery by the victim upon the defendant] [a fight between the victim and the defendant] [an unlawful warrantless arrest of the defendant by the victim, which the defendant knew or reasonably believed was unlawful]</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the defendant was still enraged when [he] [she] killed the victim, that is, the defendant's rage had not cooled by the time of the killing</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(4) there was not enough time between the provocation and the killing for a reasonable person's rage to cool; and</w:t>
      </w:r>
    </w:p>
    <w:p w:rsidR="004729FB" w:rsidRDefault="004729FB" w:rsidP="004729FB">
      <w:pPr>
        <w:spacing w:before="200" w:line="260" w:lineRule="atLeast"/>
        <w:ind w:left="800"/>
        <w:jc w:val="both"/>
      </w:pPr>
      <w:r>
        <w:rPr>
          <w:rFonts w:ascii="Arial" w:eastAsia="Arial" w:hAnsi="Arial" w:cs="Arial"/>
          <w:b/>
          <w:color w:val="000000"/>
          <w:sz w:val="20"/>
        </w:rPr>
        <w:t>(5) the victim was the person who provoked the rage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mitigating circumstance of hot blooded provocation was not present in this case. This means that the State must persuade you, beyond a reasonable doubt, that at least one of the five factors was absent. If the State has failed to persuade you that at least one of the five factors was absent, you cannot find the defendant guilty of murder, but may find the defendant guilty of voluntary manslaughter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in hot blooded response to legally adequate provocation. If the defendant did act in hot blooded response to legally adequate provocation, the verdict should be guilty of voluntary manslaughter and not guilty of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lastRenderedPageBreak/>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(Perfect/Imperfect Self-Defense and Perfect/Imperfect Defense of Habitation)).</w:t>
            </w:r>
          </w:p>
          <w:p w:rsidR="004729FB" w:rsidRDefault="004729FB" w:rsidP="00713DA5">
            <w:pPr>
              <w:spacing w:before="200" w:line="260" w:lineRule="atLeast"/>
              <w:ind w:left="60" w:right="360"/>
              <w:jc w:val="both"/>
            </w:pPr>
            <w:r>
              <w:rPr>
                <w:rFonts w:ascii="Arial" w:eastAsia="Arial" w:hAnsi="Arial" w:cs="Arial"/>
                <w:color w:val="000000"/>
                <w:sz w:val="20"/>
              </w:rPr>
              <w:t xml:space="preserve">One of the two types of mitigation to establish voluntary manslaughter is hot-blooded, heat of passion response to legally adequate provocation. </w:t>
            </w:r>
            <w:r>
              <w:rPr>
                <w:rFonts w:ascii="Arial" w:eastAsia="Arial" w:hAnsi="Arial" w:cs="Arial"/>
                <w:i/>
                <w:color w:val="000000"/>
                <w:sz w:val="20"/>
              </w:rPr>
              <w:t>See generally</w:t>
            </w:r>
            <w:r>
              <w:rPr>
                <w:rFonts w:ascii="Arial" w:eastAsia="Arial" w:hAnsi="Arial" w:cs="Arial"/>
                <w:color w:val="000000"/>
                <w:sz w:val="20"/>
              </w:rPr>
              <w:t xml:space="preserve"> WAYNE R. LAFAVE, CRIMINAL LAW § 15.2, at 818-33 (5th ed. 2010); ROLLIN M. PERKINS &amp; RONALD N. BOYCE, CRIMINAL LAW 84-102 (3d ed. 1982). The rule of provocation requires the following:</w:t>
            </w:r>
          </w:p>
          <w:p w:rsidR="004729FB" w:rsidRDefault="004729FB" w:rsidP="00713DA5">
            <w:pPr>
              <w:spacing w:before="60" w:line="260" w:lineRule="atLeast"/>
              <w:ind w:left="460" w:right="360"/>
              <w:jc w:val="both"/>
            </w:pPr>
            <w:r>
              <w:rPr>
                <w:rFonts w:ascii="Arial" w:eastAsia="Arial" w:hAnsi="Arial" w:cs="Arial"/>
                <w:color w:val="000000"/>
                <w:sz w:val="20"/>
              </w:rPr>
              <w:t>(1) There must have been adequate provocation;</w:t>
            </w:r>
          </w:p>
          <w:p w:rsidR="004729FB" w:rsidRDefault="004729FB" w:rsidP="00713DA5">
            <w:pPr>
              <w:spacing w:before="60" w:line="260" w:lineRule="atLeast"/>
              <w:ind w:left="460" w:right="360"/>
              <w:jc w:val="both"/>
            </w:pPr>
            <w:r>
              <w:rPr>
                <w:rFonts w:ascii="Arial" w:eastAsia="Arial" w:hAnsi="Arial" w:cs="Arial"/>
                <w:color w:val="000000"/>
                <w:sz w:val="20"/>
              </w:rPr>
              <w:t>(2) The killing must have been in the heat of passion;</w:t>
            </w:r>
          </w:p>
          <w:p w:rsidR="004729FB" w:rsidRDefault="004729FB" w:rsidP="00713DA5">
            <w:pPr>
              <w:spacing w:before="60" w:line="260" w:lineRule="atLeast"/>
              <w:ind w:left="460" w:right="360"/>
              <w:jc w:val="both"/>
            </w:pPr>
            <w:r>
              <w:rPr>
                <w:rFonts w:ascii="Arial" w:eastAsia="Arial" w:hAnsi="Arial" w:cs="Arial"/>
                <w:color w:val="000000"/>
                <w:sz w:val="20"/>
              </w:rPr>
              <w:t>(3) It must have been a sudden heat of passion--that is, the killing must have followed the provocation before there had been a reasonable opportunity for the passion to cool; and</w:t>
            </w:r>
          </w:p>
          <w:p w:rsidR="004729FB" w:rsidRDefault="004729FB" w:rsidP="00713DA5">
            <w:pPr>
              <w:spacing w:before="60" w:line="260" w:lineRule="atLeast"/>
              <w:ind w:left="460" w:right="360"/>
              <w:jc w:val="both"/>
            </w:pPr>
            <w:r>
              <w:rPr>
                <w:rFonts w:ascii="Arial" w:eastAsia="Arial" w:hAnsi="Arial" w:cs="Arial"/>
                <w:color w:val="000000"/>
                <w:sz w:val="20"/>
              </w:rPr>
              <w:t>(4) There must have been a causal connection between the provocation, the passion, and the fatal act.</w:t>
            </w:r>
          </w:p>
          <w:p w:rsidR="004729FB" w:rsidRDefault="004729FB" w:rsidP="00713DA5">
            <w:pPr>
              <w:spacing w:before="240" w:line="260" w:lineRule="atLeast"/>
              <w:ind w:left="60" w:right="360"/>
              <w:jc w:val="both"/>
            </w:pPr>
            <w:hyperlink r:id="rId1041" w:history="1">
              <w:r>
                <w:rPr>
                  <w:rFonts w:ascii="Arial" w:eastAsia="Arial" w:hAnsi="Arial" w:cs="Arial"/>
                  <w:i/>
                  <w:color w:val="0077CC"/>
                  <w:sz w:val="20"/>
                  <w:u w:val="single"/>
                </w:rPr>
                <w:t>Selby v. State, 361 Md. 319, 332 n.14, 761 A.2d 335, 342 n.14 (2000);</w:t>
              </w:r>
            </w:hyperlink>
            <w:r>
              <w:rPr>
                <w:rFonts w:ascii="Arial" w:eastAsia="Arial" w:hAnsi="Arial" w:cs="Arial"/>
                <w:color w:val="000000"/>
                <w:sz w:val="20"/>
              </w:rPr>
              <w:t xml:space="preserve"> </w:t>
            </w:r>
            <w:hyperlink r:id="rId1042" w:history="1">
              <w:r>
                <w:rPr>
                  <w:rFonts w:ascii="Arial" w:eastAsia="Arial" w:hAnsi="Arial" w:cs="Arial"/>
                  <w:i/>
                  <w:color w:val="0077CC"/>
                  <w:sz w:val="20"/>
                  <w:u w:val="single"/>
                </w:rPr>
                <w:t>Sims v. State, 319 Md. 540, 551, 573 A.2d 1317, 1322 (1990);</w:t>
              </w:r>
            </w:hyperlink>
            <w:r>
              <w:rPr>
                <w:rFonts w:ascii="Arial" w:eastAsia="Arial" w:hAnsi="Arial" w:cs="Arial"/>
                <w:color w:val="000000"/>
                <w:sz w:val="20"/>
              </w:rPr>
              <w:t xml:space="preserve"> </w:t>
            </w:r>
            <w:hyperlink r:id="rId1043" w:history="1">
              <w:r>
                <w:rPr>
                  <w:rFonts w:ascii="Arial" w:eastAsia="Arial" w:hAnsi="Arial" w:cs="Arial"/>
                  <w:i/>
                  <w:color w:val="0077CC"/>
                  <w:sz w:val="20"/>
                  <w:u w:val="single"/>
                </w:rPr>
                <w:t>Tripp v. State, 36 Md. App. 459, 466, 374 A.2d 384, 389 (1977)</w:t>
              </w:r>
            </w:hyperlink>
            <w:r>
              <w:rPr>
                <w:rFonts w:ascii="Arial" w:eastAsia="Arial" w:hAnsi="Arial" w:cs="Arial"/>
                <w:color w:val="000000"/>
                <w:sz w:val="20"/>
              </w:rPr>
              <w:t xml:space="preserve"> (quoting </w:t>
            </w:r>
            <w:hyperlink r:id="rId1044" w:history="1">
              <w:r>
                <w:rPr>
                  <w:rFonts w:ascii="Arial" w:eastAsia="Arial" w:hAnsi="Arial" w:cs="Arial"/>
                  <w:i/>
                  <w:color w:val="0077CC"/>
                  <w:sz w:val="20"/>
                  <w:u w:val="single"/>
                </w:rPr>
                <w:t>Whitehead v. State, 9 Md. App. 7, 10-11, 262 A.2d 316, 319 (1970)),</w:t>
              </w:r>
            </w:hyperlink>
            <w:r>
              <w:rPr>
                <w:rFonts w:ascii="Arial" w:eastAsia="Arial" w:hAnsi="Arial" w:cs="Arial"/>
                <w:color w:val="000000"/>
                <w:sz w:val="20"/>
              </w:rPr>
              <w:t xml:space="preserve"> </w:t>
            </w:r>
            <w:r>
              <w:rPr>
                <w:rFonts w:ascii="Arial" w:eastAsia="Arial" w:hAnsi="Arial" w:cs="Arial"/>
                <w:i/>
                <w:color w:val="000000"/>
                <w:sz w:val="20"/>
              </w:rPr>
              <w:t xml:space="preserve">superseded by statute on other grounds as stated in </w:t>
            </w:r>
            <w:hyperlink r:id="rId1045" w:history="1">
              <w:r>
                <w:rPr>
                  <w:rFonts w:ascii="Arial" w:eastAsia="Arial" w:hAnsi="Arial" w:cs="Arial"/>
                  <w:i/>
                  <w:color w:val="0077CC"/>
                  <w:sz w:val="20"/>
                  <w:u w:val="single"/>
                </w:rPr>
                <w:t>Erdman v. State, 315 Md. 46, 553 A.2d 244 (1989).</w:t>
              </w:r>
            </w:hyperlink>
            <w:r>
              <w:rPr>
                <w:rFonts w:ascii="Arial" w:eastAsia="Arial" w:hAnsi="Arial" w:cs="Arial"/>
                <w:color w:val="000000"/>
                <w:sz w:val="20"/>
              </w:rPr>
              <w:t xml:space="preserve"> The burden of production is upon the defendant to generate a genuine jury issue as to all four elements of hot-blooded response to legally adequate provocation. Without all four, the defendant is not entitled to a heat of passion voluntary manslaughter instruction. </w:t>
            </w:r>
            <w:hyperlink r:id="rId1046" w:history="1">
              <w:r>
                <w:rPr>
                  <w:rFonts w:ascii="Arial" w:eastAsia="Arial" w:hAnsi="Arial" w:cs="Arial"/>
                  <w:i/>
                  <w:color w:val="0077CC"/>
                  <w:sz w:val="20"/>
                  <w:u w:val="single"/>
                </w:rPr>
                <w:t>Dykes v. State, 319 Md. 206, 215-17, 571 A.2d 1251, 1256-57 (1990);</w:t>
              </w:r>
            </w:hyperlink>
            <w:r>
              <w:rPr>
                <w:rFonts w:ascii="Arial" w:eastAsia="Arial" w:hAnsi="Arial" w:cs="Arial"/>
                <w:color w:val="000000"/>
                <w:sz w:val="20"/>
              </w:rPr>
              <w:t xml:space="preserve"> </w:t>
            </w:r>
            <w:hyperlink r:id="rId1047" w:history="1">
              <w:r>
                <w:rPr>
                  <w:rFonts w:ascii="Arial" w:eastAsia="Arial" w:hAnsi="Arial" w:cs="Arial"/>
                  <w:i/>
                  <w:color w:val="0077CC"/>
                  <w:sz w:val="20"/>
                  <w:u w:val="single"/>
                </w:rPr>
                <w:t>Tripp, 36 Md. App. at 477-78, 374 A.2d at 394-95;</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048" w:history="1">
              <w:r>
                <w:rPr>
                  <w:rFonts w:ascii="Arial" w:eastAsia="Arial" w:hAnsi="Arial" w:cs="Arial"/>
                  <w:i/>
                  <w:color w:val="0077CC"/>
                  <w:sz w:val="20"/>
                  <w:u w:val="single"/>
                </w:rPr>
                <w:t>Evans v. State, 28 Md. App. 640, 349 A.2d 300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049"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To generate an issue, there need only be "some evidence" of heat of passion, meaning "any" evidence, which if believed, would support the mitigation. </w:t>
            </w:r>
            <w:hyperlink r:id="rId1050" w:history="1">
              <w:r>
                <w:rPr>
                  <w:rFonts w:ascii="Arial" w:eastAsia="Arial" w:hAnsi="Arial" w:cs="Arial"/>
                  <w:i/>
                  <w:color w:val="0077CC"/>
                  <w:sz w:val="20"/>
                  <w:u w:val="single"/>
                </w:rPr>
                <w:t>McKay v. State, 90 Md. App. 204, 213-14, 600 A.2d 904, 909-10 (1992).</w:t>
              </w:r>
            </w:hyperlink>
            <w:r>
              <w:rPr>
                <w:rFonts w:ascii="Arial" w:eastAsia="Arial" w:hAnsi="Arial" w:cs="Arial"/>
                <w:color w:val="000000"/>
                <w:sz w:val="20"/>
              </w:rPr>
              <w:t xml:space="preserve"> In </w:t>
            </w:r>
            <w:r>
              <w:rPr>
                <w:rFonts w:ascii="Arial" w:eastAsia="Arial" w:hAnsi="Arial" w:cs="Arial"/>
                <w:i/>
                <w:color w:val="000000"/>
                <w:sz w:val="20"/>
              </w:rPr>
              <w:t>McKay</w:t>
            </w:r>
            <w:r>
              <w:rPr>
                <w:rFonts w:ascii="Arial" w:eastAsia="Arial" w:hAnsi="Arial" w:cs="Arial"/>
                <w:color w:val="000000"/>
                <w:sz w:val="20"/>
              </w:rPr>
              <w:t xml:space="preserve">, even though the defendant's defense theory focused on perfect and imperfect self-defense, the Court of Special Appeals held that he was entitled to a heat of passion instruction because there was other evidence supporting that theory. </w:t>
            </w:r>
            <w:hyperlink r:id="rId1051" w:history="1">
              <w:r>
                <w:rPr>
                  <w:rFonts w:ascii="Arial" w:eastAsia="Arial" w:hAnsi="Arial" w:cs="Arial"/>
                  <w:i/>
                  <w:color w:val="0077CC"/>
                  <w:sz w:val="20"/>
                  <w:u w:val="single"/>
                </w:rPr>
                <w:t>Id. at 217-18, 600 A.2d at 911-12.</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Legally adequate provocation requires provocation "calculated to inflame the passion of a reasonable man and tend to cause him to act for the moment from passion rather than reason." </w:t>
            </w:r>
            <w:hyperlink r:id="rId1052" w:history="1">
              <w:r>
                <w:rPr>
                  <w:rFonts w:ascii="Arial" w:eastAsia="Arial" w:hAnsi="Arial" w:cs="Arial"/>
                  <w:i/>
                  <w:color w:val="0077CC"/>
                  <w:sz w:val="20"/>
                  <w:u w:val="single"/>
                </w:rPr>
                <w:t>Girouard v. State, 321 Md. 532, 539, 583 A.2d 718, 722 (1991)</w:t>
              </w:r>
            </w:hyperlink>
            <w:r>
              <w:rPr>
                <w:rFonts w:ascii="Arial" w:eastAsia="Arial" w:hAnsi="Arial" w:cs="Arial"/>
                <w:color w:val="000000"/>
                <w:sz w:val="20"/>
              </w:rPr>
              <w:t xml:space="preserve"> (quoting </w:t>
            </w:r>
            <w:hyperlink r:id="rId1053" w:history="1">
              <w:r>
                <w:rPr>
                  <w:rFonts w:ascii="Arial" w:eastAsia="Arial" w:hAnsi="Arial" w:cs="Arial"/>
                  <w:i/>
                  <w:color w:val="0077CC"/>
                  <w:sz w:val="20"/>
                  <w:u w:val="single"/>
                </w:rPr>
                <w:t>Carter v. State, 66 Md. App. 567, 572, 505 A.2d 545, 548 (1986)).</w:t>
              </w:r>
            </w:hyperlink>
            <w:r>
              <w:rPr>
                <w:rFonts w:ascii="Arial" w:eastAsia="Arial" w:hAnsi="Arial" w:cs="Arial"/>
                <w:color w:val="000000"/>
                <w:sz w:val="20"/>
              </w:rPr>
              <w:t xml:space="preserve"> There are three categories that the law recognizes as sufficient provocation to cause a reasonable person to kill. These are (1) mutual combat, (2) substantial battery, and (3) unlawful arrest. WILLIAM LAWRENCE CLARK &amp; WILLIAM LAWRENCE MARSHALL, A TREATISE ON THE LAW OF CRIMES § 10.11, at 693-708 (7th ed. 1967). In </w:t>
            </w:r>
            <w:r>
              <w:rPr>
                <w:rFonts w:ascii="Arial" w:eastAsia="Arial" w:hAnsi="Arial" w:cs="Arial"/>
                <w:i/>
                <w:color w:val="000000"/>
                <w:sz w:val="20"/>
              </w:rPr>
              <w:t>Girouard</w:t>
            </w:r>
            <w:r>
              <w:rPr>
                <w:rFonts w:ascii="Arial" w:eastAsia="Arial" w:hAnsi="Arial" w:cs="Arial"/>
                <w:color w:val="000000"/>
                <w:sz w:val="20"/>
              </w:rPr>
              <w:t xml:space="preserve">, the Court of Appeals left open the issue of an expansion of the categories of adequate provocation to mitigate murder to manslaughter. </w:t>
            </w:r>
            <w:hyperlink r:id="rId1054" w:history="1">
              <w:r>
                <w:rPr>
                  <w:rFonts w:ascii="Arial" w:eastAsia="Arial" w:hAnsi="Arial" w:cs="Arial"/>
                  <w:i/>
                  <w:color w:val="0077CC"/>
                  <w:sz w:val="20"/>
                  <w:u w:val="single"/>
                </w:rPr>
                <w:t>321 Md. at 542, 583 A.2d at 723.</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055" w:history="1">
              <w:r>
                <w:rPr>
                  <w:rFonts w:ascii="Arial" w:eastAsia="Arial" w:hAnsi="Arial" w:cs="Arial"/>
                  <w:i/>
                  <w:color w:val="0077CC"/>
                  <w:sz w:val="20"/>
                  <w:u w:val="single"/>
                </w:rPr>
                <w:t>State v. Rich, 415 Md. 567, 582, 3 A.3d 1210, 1219 (2010)</w:t>
              </w:r>
            </w:hyperlink>
            <w:r>
              <w:rPr>
                <w:rFonts w:ascii="Arial" w:eastAsia="Arial" w:hAnsi="Arial" w:cs="Arial"/>
                <w:color w:val="000000"/>
                <w:sz w:val="20"/>
              </w:rPr>
              <w:t xml:space="preserve"> (stating, in dicta, "We have recognized that the defense may be raised in cases involving mutual affray, assault and battery, … and anything the natural tendency of which is to produce passion in ordinary men and women.")</w:t>
            </w:r>
          </w:p>
          <w:p w:rsidR="004729FB" w:rsidRDefault="004729FB" w:rsidP="00713DA5">
            <w:pPr>
              <w:spacing w:before="200" w:line="260" w:lineRule="atLeast"/>
              <w:ind w:left="60" w:right="360"/>
              <w:jc w:val="both"/>
            </w:pPr>
            <w:r>
              <w:rPr>
                <w:rFonts w:ascii="Arial" w:eastAsia="Arial" w:hAnsi="Arial" w:cs="Arial"/>
                <w:color w:val="000000"/>
                <w:sz w:val="20"/>
              </w:rPr>
              <w:t>Under the common law, the sudden discovery by one spouse of the other spouse engaging in sexual intercourse may provide legally adequate provocation. Effective October 1, 1997, the Maryland General Assembly abolished adultery as a form of legally adequate provocation, stating as follows: "The discovery of one's spouse engaged in sexual intercourse with another person does not constitute legally adequate provocation for the purpose of mitigating a killing from the crime of murder to voluntary manslaughter when the killing was provoked by that discovery." CRIM. LAW I § 2-207(b).</w:t>
            </w:r>
          </w:p>
          <w:p w:rsidR="004729FB" w:rsidRDefault="004729FB" w:rsidP="00713DA5">
            <w:pPr>
              <w:spacing w:before="200" w:line="260" w:lineRule="atLeast"/>
              <w:ind w:left="60" w:right="360"/>
              <w:jc w:val="both"/>
            </w:pPr>
            <w:r>
              <w:rPr>
                <w:rFonts w:ascii="Arial" w:eastAsia="Arial" w:hAnsi="Arial" w:cs="Arial"/>
                <w:color w:val="000000"/>
                <w:sz w:val="20"/>
              </w:rPr>
              <w:t xml:space="preserve">Mutual combat requires a mutual intent to fight; deciding which party actually struck the first blow is not controlling. </w:t>
            </w:r>
            <w:hyperlink r:id="rId1056" w:history="1">
              <w:r>
                <w:rPr>
                  <w:rFonts w:ascii="Arial" w:eastAsia="Arial" w:hAnsi="Arial" w:cs="Arial"/>
                  <w:i/>
                  <w:color w:val="0077CC"/>
                  <w:sz w:val="20"/>
                  <w:u w:val="single"/>
                </w:rPr>
                <w:t>Carter, 66 Md. App. at 572, 505 A.2d at 548;</w:t>
              </w:r>
            </w:hyperlink>
            <w:r>
              <w:rPr>
                <w:rFonts w:ascii="Arial" w:eastAsia="Arial" w:hAnsi="Arial" w:cs="Arial"/>
                <w:color w:val="000000"/>
                <w:sz w:val="20"/>
              </w:rPr>
              <w:t xml:space="preserve"> </w:t>
            </w:r>
            <w:hyperlink r:id="rId1057" w:history="1">
              <w:r>
                <w:rPr>
                  <w:rFonts w:ascii="Arial" w:eastAsia="Arial" w:hAnsi="Arial" w:cs="Arial"/>
                  <w:i/>
                  <w:color w:val="0077CC"/>
                  <w:sz w:val="20"/>
                  <w:u w:val="single"/>
                </w:rPr>
                <w:t>Shuck v. State, 29 Md. App. 33, 38-40, 349 A.2d 378, 381-82 (1975),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733 (1976);</w:t>
            </w:r>
            <w:r>
              <w:rPr>
                <w:rFonts w:ascii="Arial" w:eastAsia="Arial" w:hAnsi="Arial" w:cs="Arial"/>
                <w:color w:val="000000"/>
                <w:sz w:val="20"/>
              </w:rPr>
              <w:t xml:space="preserve"> </w:t>
            </w:r>
            <w:hyperlink r:id="rId1058" w:history="1">
              <w:r>
                <w:rPr>
                  <w:rFonts w:ascii="Arial" w:eastAsia="Arial" w:hAnsi="Arial" w:cs="Arial"/>
                  <w:i/>
                  <w:color w:val="0077CC"/>
                  <w:sz w:val="20"/>
                  <w:u w:val="single"/>
                </w:rPr>
                <w:t>Whitehead, 9 Md. App. at 12, 262 A.2d at 320</w:t>
              </w:r>
            </w:hyperlink>
            <w:r>
              <w:rPr>
                <w:rFonts w:ascii="Arial" w:eastAsia="Arial" w:hAnsi="Arial" w:cs="Arial"/>
                <w:color w:val="000000"/>
                <w:sz w:val="20"/>
              </w:rPr>
              <w:t xml:space="preserve"> (holding that the statement "[i]f we are going to fight, let's go outside," followed by a fight, was mutual </w:t>
            </w:r>
            <w:r>
              <w:rPr>
                <w:rFonts w:ascii="Arial" w:eastAsia="Arial" w:hAnsi="Arial" w:cs="Arial"/>
                <w:color w:val="000000"/>
                <w:sz w:val="20"/>
              </w:rPr>
              <w:lastRenderedPageBreak/>
              <w:t xml:space="preserve">combat). However, insulting words, gestures, racial slurs, etc., "no matter how opprobrious, do not amount to an affray… ." </w:t>
            </w:r>
            <w:hyperlink r:id="rId1059" w:history="1">
              <w:r>
                <w:rPr>
                  <w:rFonts w:ascii="Arial" w:eastAsia="Arial" w:hAnsi="Arial" w:cs="Arial"/>
                  <w:i/>
                  <w:color w:val="0077CC"/>
                  <w:sz w:val="20"/>
                  <w:u w:val="single"/>
                </w:rPr>
                <w:t>Sims, 319 Md. at 552, 573 A.2d at 1322-23;</w:t>
              </w:r>
            </w:hyperlink>
            <w:r>
              <w:rPr>
                <w:rFonts w:ascii="Arial" w:eastAsia="Arial" w:hAnsi="Arial" w:cs="Arial"/>
                <w:color w:val="000000"/>
                <w:sz w:val="20"/>
              </w:rPr>
              <w:t xml:space="preserve"> </w:t>
            </w:r>
            <w:hyperlink r:id="rId1060" w:history="1">
              <w:r>
                <w:rPr>
                  <w:rFonts w:ascii="Arial" w:eastAsia="Arial" w:hAnsi="Arial" w:cs="Arial"/>
                  <w:i/>
                  <w:color w:val="0077CC"/>
                  <w:sz w:val="20"/>
                  <w:u w:val="single"/>
                </w:rPr>
                <w:t>Lang v. State, 6 Md. App. 128, 131-32, 250 A.2d 276, 277-78</w:t>
              </w:r>
            </w:hyperlink>
            <w:r>
              <w:rPr>
                <w:rFonts w:ascii="Arial" w:eastAsia="Arial" w:hAnsi="Arial" w:cs="Arial"/>
                <w:color w:val="000000"/>
                <w:sz w:val="20"/>
              </w:rPr>
              <w:t xml:space="preserve"> (per curiam) (holding that words and gestures without present intent to cause bodily harm are insufficient),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396 U.S. 971 (1969).</w:t>
            </w:r>
            <w:r>
              <w:rPr>
                <w:rFonts w:ascii="Arial" w:eastAsia="Arial" w:hAnsi="Arial" w:cs="Arial"/>
                <w:color w:val="000000"/>
                <w:sz w:val="20"/>
              </w:rPr>
              <w:t xml:space="preserve"> "[E]ven words generally regarded as 'fighting words' in the community have no recognition as adequate provocation in the eyes of the law." </w:t>
            </w:r>
            <w:hyperlink r:id="rId1061" w:history="1">
              <w:r>
                <w:rPr>
                  <w:rFonts w:ascii="Arial" w:eastAsia="Arial" w:hAnsi="Arial" w:cs="Arial"/>
                  <w:i/>
                  <w:color w:val="0077CC"/>
                  <w:sz w:val="20"/>
                  <w:u w:val="single"/>
                </w:rPr>
                <w:t>Girouard, 321 Md. at 541, 583 A.2d at 723</w:t>
              </w:r>
            </w:hyperlink>
            <w:r>
              <w:rPr>
                <w:rFonts w:ascii="Arial" w:eastAsia="Arial" w:hAnsi="Arial" w:cs="Arial"/>
                <w:color w:val="000000"/>
                <w:sz w:val="20"/>
              </w:rPr>
              <w:t xml:space="preserve"> (quoting PERKINS &amp; BOYCE, </w:t>
            </w:r>
            <w:r>
              <w:rPr>
                <w:rFonts w:ascii="Arial" w:eastAsia="Arial" w:hAnsi="Arial" w:cs="Arial"/>
                <w:i/>
                <w:color w:val="000000"/>
                <w:sz w:val="20"/>
              </w:rPr>
              <w:t>supra</w:t>
            </w:r>
            <w:r>
              <w:rPr>
                <w:rFonts w:ascii="Arial" w:eastAsia="Arial" w:hAnsi="Arial" w:cs="Arial"/>
                <w:color w:val="000000"/>
                <w:sz w:val="20"/>
              </w:rPr>
              <w:t>, at 62).</w:t>
            </w:r>
          </w:p>
          <w:p w:rsidR="004729FB" w:rsidRDefault="004729FB" w:rsidP="00713DA5">
            <w:pPr>
              <w:spacing w:before="200" w:line="260" w:lineRule="atLeast"/>
              <w:ind w:left="60" w:right="360"/>
              <w:jc w:val="both"/>
            </w:pPr>
            <w:r>
              <w:rPr>
                <w:rFonts w:ascii="Arial" w:eastAsia="Arial" w:hAnsi="Arial" w:cs="Arial"/>
                <w:color w:val="000000"/>
                <w:sz w:val="20"/>
              </w:rPr>
              <w:t xml:space="preserve">A substantial battery upon the defendant, close relatives, or friends may constitute legally adequate provocation, even if insufficient to cause the fear of imminent death or serious bodily harm needed for a valid self-defense. </w:t>
            </w:r>
            <w:r>
              <w:rPr>
                <w:rFonts w:ascii="Arial" w:eastAsia="Arial" w:hAnsi="Arial" w:cs="Arial"/>
                <w:i/>
                <w:color w:val="000000"/>
                <w:sz w:val="20"/>
              </w:rPr>
              <w:t xml:space="preserve">See </w:t>
            </w:r>
            <w:hyperlink r:id="rId1062" w:history="1">
              <w:r>
                <w:rPr>
                  <w:rFonts w:ascii="Arial" w:eastAsia="Arial" w:hAnsi="Arial" w:cs="Arial"/>
                  <w:i/>
                  <w:color w:val="0077CC"/>
                  <w:sz w:val="20"/>
                  <w:u w:val="single"/>
                </w:rPr>
                <w:t>Girouard, 321 Md. at 538, 583 A.2d at 721;</w:t>
              </w:r>
            </w:hyperlink>
            <w:r>
              <w:rPr>
                <w:rFonts w:ascii="Arial" w:eastAsia="Arial" w:hAnsi="Arial" w:cs="Arial"/>
                <w:color w:val="000000"/>
                <w:sz w:val="20"/>
              </w:rPr>
              <w:t xml:space="preserve"> </w:t>
            </w:r>
            <w:hyperlink r:id="rId1063" w:history="1">
              <w:r>
                <w:rPr>
                  <w:rFonts w:ascii="Arial" w:eastAsia="Arial" w:hAnsi="Arial" w:cs="Arial"/>
                  <w:i/>
                  <w:color w:val="0077CC"/>
                  <w:sz w:val="20"/>
                  <w:u w:val="single"/>
                </w:rPr>
                <w:t>Dorsey v. State, 29 Md. App. 97, 103-05, 349 A.2d 414, 418-19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064" w:history="1">
              <w:r>
                <w:rPr>
                  <w:rFonts w:ascii="Arial" w:eastAsia="Arial" w:hAnsi="Arial" w:cs="Arial"/>
                  <w:i/>
                  <w:color w:val="0077CC"/>
                  <w:sz w:val="20"/>
                  <w:u w:val="single"/>
                </w:rPr>
                <w:t>278 Md. 221, 362 A.2d 642 (1976),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429 U.S. 1102 (1977).</w:t>
            </w:r>
          </w:p>
          <w:p w:rsidR="004729FB" w:rsidRDefault="004729FB" w:rsidP="00713DA5">
            <w:pPr>
              <w:spacing w:before="200" w:line="260" w:lineRule="atLeast"/>
              <w:ind w:left="60" w:right="360"/>
              <w:jc w:val="both"/>
            </w:pPr>
            <w:r>
              <w:rPr>
                <w:rFonts w:ascii="Arial" w:eastAsia="Arial" w:hAnsi="Arial" w:cs="Arial"/>
                <w:color w:val="000000"/>
                <w:sz w:val="20"/>
              </w:rPr>
              <w:t xml:space="preserve">An illegal arrest may constitute legally adequate provocation. </w:t>
            </w:r>
            <w:r>
              <w:rPr>
                <w:rFonts w:ascii="Arial" w:eastAsia="Arial" w:hAnsi="Arial" w:cs="Arial"/>
                <w:i/>
                <w:color w:val="000000"/>
                <w:sz w:val="20"/>
              </w:rPr>
              <w:t xml:space="preserve">See </w:t>
            </w:r>
            <w:hyperlink r:id="rId1065" w:history="1">
              <w:r>
                <w:rPr>
                  <w:rFonts w:ascii="Arial" w:eastAsia="Arial" w:hAnsi="Arial" w:cs="Arial"/>
                  <w:i/>
                  <w:color w:val="0077CC"/>
                  <w:sz w:val="20"/>
                  <w:u w:val="single"/>
                </w:rPr>
                <w:t>Davis v. State, 204 Md. 44, 52-54, 102 A.2d 816, 820-21 (1954)</w:t>
              </w:r>
            </w:hyperlink>
            <w:r>
              <w:rPr>
                <w:rFonts w:ascii="Arial" w:eastAsia="Arial" w:hAnsi="Arial" w:cs="Arial"/>
                <w:color w:val="000000"/>
                <w:sz w:val="20"/>
              </w:rPr>
              <w:t xml:space="preserve"> (rejecting the position that an illegal arrest conclusively establishes heat of passion voluntary manslaughter); </w:t>
            </w:r>
            <w:r>
              <w:rPr>
                <w:rFonts w:ascii="Arial" w:eastAsia="Arial" w:hAnsi="Arial" w:cs="Arial"/>
                <w:i/>
                <w:color w:val="000000"/>
                <w:sz w:val="20"/>
              </w:rPr>
              <w:t xml:space="preserve">see also </w:t>
            </w:r>
            <w:hyperlink r:id="rId1066" w:history="1">
              <w:r>
                <w:rPr>
                  <w:rFonts w:ascii="Arial" w:eastAsia="Arial" w:hAnsi="Arial" w:cs="Arial"/>
                  <w:i/>
                  <w:color w:val="0077CC"/>
                  <w:sz w:val="20"/>
                  <w:u w:val="single"/>
                </w:rPr>
                <w:t>Halcomb v. State, 6 Md. App. 32, 39-43, 250 A.2d 119, 123-25 (1969).</w:t>
              </w:r>
            </w:hyperlink>
            <w:r>
              <w:rPr>
                <w:rFonts w:ascii="Arial" w:eastAsia="Arial" w:hAnsi="Arial" w:cs="Arial"/>
                <w:color w:val="000000"/>
                <w:sz w:val="20"/>
              </w:rPr>
              <w:t xml:space="preserve"> In </w:t>
            </w:r>
            <w:hyperlink r:id="rId1067" w:history="1">
              <w:r>
                <w:rPr>
                  <w:rFonts w:ascii="Arial" w:eastAsia="Arial" w:hAnsi="Arial" w:cs="Arial"/>
                  <w:i/>
                  <w:color w:val="0077CC"/>
                  <w:sz w:val="20"/>
                  <w:u w:val="single"/>
                </w:rPr>
                <w:t>Wells v. State, 8 Md. App. 510, 519-21, 261 A.2d 181, 186-87 (1970),</w:t>
              </w:r>
            </w:hyperlink>
            <w:r>
              <w:rPr>
                <w:rFonts w:ascii="Arial" w:eastAsia="Arial" w:hAnsi="Arial" w:cs="Arial"/>
                <w:color w:val="000000"/>
                <w:sz w:val="20"/>
              </w:rPr>
              <w:t xml:space="preserve"> the Court of Special Appeals stated that </w:t>
            </w:r>
            <w:r>
              <w:rPr>
                <w:rFonts w:ascii="Arial" w:eastAsia="Arial" w:hAnsi="Arial" w:cs="Arial"/>
                <w:i/>
                <w:color w:val="000000"/>
                <w:sz w:val="20"/>
              </w:rPr>
              <w:t>Davis</w:t>
            </w:r>
            <w:r>
              <w:rPr>
                <w:rFonts w:ascii="Arial" w:eastAsia="Arial" w:hAnsi="Arial" w:cs="Arial"/>
                <w:color w:val="000000"/>
                <w:sz w:val="20"/>
              </w:rPr>
              <w:t xml:space="preserve"> also applies to illegal arrests by private citizens. </w:t>
            </w:r>
            <w:r>
              <w:rPr>
                <w:rFonts w:ascii="Arial" w:eastAsia="Arial" w:hAnsi="Arial" w:cs="Arial"/>
                <w:i/>
                <w:color w:val="000000"/>
                <w:sz w:val="20"/>
              </w:rPr>
              <w:t xml:space="preserve">See also </w:t>
            </w:r>
            <w:hyperlink r:id="rId1068" w:history="1">
              <w:r>
                <w:rPr>
                  <w:rFonts w:ascii="Arial" w:eastAsia="Arial" w:hAnsi="Arial" w:cs="Arial"/>
                  <w:i/>
                  <w:color w:val="0077CC"/>
                  <w:sz w:val="20"/>
                  <w:u w:val="single"/>
                </w:rPr>
                <w:t>Rodgers v. State, 280 Md. 406, 373 A.2d 944</w:t>
              </w:r>
            </w:hyperlink>
            <w:r>
              <w:rPr>
                <w:rFonts w:ascii="Arial" w:eastAsia="Arial" w:hAnsi="Arial" w:cs="Arial"/>
                <w:color w:val="000000"/>
                <w:sz w:val="20"/>
              </w:rPr>
              <w:t xml:space="preserve"> (discussing when resistance to an illegal arrest is permissible),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434 U.S. 928 (1977).</w:t>
            </w:r>
          </w:p>
          <w:p w:rsidR="004729FB" w:rsidRDefault="004729FB" w:rsidP="00713DA5">
            <w:pPr>
              <w:spacing w:before="200" w:line="260" w:lineRule="atLeast"/>
              <w:ind w:left="60" w:right="360"/>
              <w:jc w:val="both"/>
            </w:pPr>
            <w:r>
              <w:rPr>
                <w:rFonts w:ascii="Arial" w:eastAsia="Arial" w:hAnsi="Arial" w:cs="Arial"/>
                <w:color w:val="000000"/>
                <w:sz w:val="20"/>
              </w:rPr>
              <w:t xml:space="preserve">Assuming the existence of objective provocation, i.e., one of the situations recognized as sufficient to provoke a reasonable person to kill, the defendant must actually have been subjectively enraged and killed because of that rage. Under some circumstances, only the hot-blooded killer can attest to that. </w:t>
            </w:r>
            <w:hyperlink r:id="rId1069" w:history="1">
              <w:r>
                <w:rPr>
                  <w:rFonts w:ascii="Arial" w:eastAsia="Arial" w:hAnsi="Arial" w:cs="Arial"/>
                  <w:i/>
                  <w:color w:val="0077CC"/>
                  <w:sz w:val="20"/>
                  <w:u w:val="single"/>
                </w:rPr>
                <w:t>Sims, 319 Md. at 553, 573 A.2d at 1323;</w:t>
              </w:r>
            </w:hyperlink>
            <w:r>
              <w:rPr>
                <w:rFonts w:ascii="Arial" w:eastAsia="Arial" w:hAnsi="Arial" w:cs="Arial"/>
                <w:color w:val="000000"/>
                <w:sz w:val="20"/>
              </w:rPr>
              <w:t xml:space="preserve"> </w:t>
            </w:r>
            <w:hyperlink r:id="rId1070" w:history="1">
              <w:r>
                <w:rPr>
                  <w:rFonts w:ascii="Arial" w:eastAsia="Arial" w:hAnsi="Arial" w:cs="Arial"/>
                  <w:i/>
                  <w:color w:val="0077CC"/>
                  <w:sz w:val="20"/>
                  <w:u w:val="single"/>
                </w:rPr>
                <w:t>Tripp, 36 Md. App. at 469, 374 A.2d at 390-91</w:t>
              </w:r>
            </w:hyperlink>
            <w:r>
              <w:rPr>
                <w:rFonts w:ascii="Arial" w:eastAsia="Arial" w:hAnsi="Arial" w:cs="Arial"/>
                <w:color w:val="000000"/>
                <w:sz w:val="20"/>
              </w:rPr>
              <w:t xml:space="preserve"> (finding no heat of passion where the defendant feigned ignorance and surprise upon returning to the crime scene two hours after the killings and did not testify); </w:t>
            </w:r>
            <w:hyperlink r:id="rId1071" w:history="1">
              <w:r>
                <w:rPr>
                  <w:rFonts w:ascii="Arial" w:eastAsia="Arial" w:hAnsi="Arial" w:cs="Arial"/>
                  <w:i/>
                  <w:color w:val="0077CC"/>
                  <w:sz w:val="20"/>
                  <w:u w:val="single"/>
                </w:rPr>
                <w:t>Bartram v. State, 33 Md. App. 115, 175-77, 364 A.2d 1119, 1153-54 (1976)</w:t>
              </w:r>
            </w:hyperlink>
            <w:r>
              <w:rPr>
                <w:rFonts w:ascii="Arial" w:eastAsia="Arial" w:hAnsi="Arial" w:cs="Arial"/>
                <w:color w:val="000000"/>
                <w:sz w:val="20"/>
              </w:rPr>
              <w:t xml:space="preserve"> (stating that only the defendant could have "injected evidence as to an intentional but hot-blooded killing"; instead, the defendant maintained that the killing was a suicide), </w:t>
            </w:r>
            <w:r>
              <w:rPr>
                <w:rFonts w:ascii="Arial" w:eastAsia="Arial" w:hAnsi="Arial" w:cs="Arial"/>
                <w:i/>
                <w:color w:val="000000"/>
                <w:sz w:val="20"/>
              </w:rPr>
              <w:t>aff'd</w:t>
            </w:r>
            <w:r>
              <w:rPr>
                <w:rFonts w:ascii="Arial" w:eastAsia="Arial" w:hAnsi="Arial" w:cs="Arial"/>
                <w:color w:val="000000"/>
                <w:sz w:val="20"/>
              </w:rPr>
              <w:t xml:space="preserve">, </w:t>
            </w:r>
            <w:hyperlink r:id="rId1072" w:history="1">
              <w:r>
                <w:rPr>
                  <w:rFonts w:ascii="Arial" w:eastAsia="Arial" w:hAnsi="Arial" w:cs="Arial"/>
                  <w:i/>
                  <w:color w:val="0077CC"/>
                  <w:sz w:val="20"/>
                  <w:u w:val="single"/>
                </w:rPr>
                <w:t>280 Md. 616, 374 A.2d 1144 (1977);</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073" w:history="1">
              <w:r>
                <w:rPr>
                  <w:rFonts w:ascii="Arial" w:eastAsia="Arial" w:hAnsi="Arial" w:cs="Arial"/>
                  <w:i/>
                  <w:color w:val="0077CC"/>
                  <w:sz w:val="20"/>
                  <w:u w:val="single"/>
                </w:rPr>
                <w:t>Price v. State, 82 Md. App. 210, 218, 570 A.2d 887, 891</w:t>
              </w:r>
            </w:hyperlink>
            <w:r>
              <w:rPr>
                <w:rFonts w:ascii="Arial" w:eastAsia="Arial" w:hAnsi="Arial" w:cs="Arial"/>
                <w:color w:val="000000"/>
                <w:sz w:val="20"/>
              </w:rPr>
              <w:t xml:space="preserve"> (finding no hot-blooded rage where defendant "testified unequivocally that he was not angry or mad at either victim"),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320 Md. 16, 575 A.2d 742 (1990);</w:t>
            </w:r>
            <w:r>
              <w:rPr>
                <w:rFonts w:ascii="Arial" w:eastAsia="Arial" w:hAnsi="Arial" w:cs="Arial"/>
                <w:color w:val="000000"/>
                <w:sz w:val="20"/>
              </w:rPr>
              <w:t xml:space="preserve"> </w:t>
            </w:r>
            <w:hyperlink r:id="rId1074" w:history="1">
              <w:r>
                <w:rPr>
                  <w:rFonts w:ascii="Arial" w:eastAsia="Arial" w:hAnsi="Arial" w:cs="Arial"/>
                  <w:i/>
                  <w:color w:val="0077CC"/>
                  <w:sz w:val="20"/>
                  <w:u w:val="single"/>
                </w:rPr>
                <w:t>Cunningham v. State, 58 Md. App. 249, 259-60, 473 A.2d 40, 45</w:t>
              </w:r>
            </w:hyperlink>
            <w:r>
              <w:rPr>
                <w:rFonts w:ascii="Arial" w:eastAsia="Arial" w:hAnsi="Arial" w:cs="Arial"/>
                <w:color w:val="000000"/>
                <w:sz w:val="20"/>
              </w:rPr>
              <w:t xml:space="preserve"> (finding that the defendant's testimony that the killing was in self-defense disproved hot-blooded rage),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300 Md. 316, 477 A.2d 1195 (1984).</w:t>
            </w:r>
          </w:p>
          <w:p w:rsidR="004729FB" w:rsidRDefault="004729FB" w:rsidP="00713DA5">
            <w:pPr>
              <w:spacing w:before="200" w:line="260" w:lineRule="atLeast"/>
              <w:ind w:left="60" w:right="360"/>
              <w:jc w:val="both"/>
            </w:pPr>
            <w:r>
              <w:rPr>
                <w:rFonts w:ascii="Arial" w:eastAsia="Arial" w:hAnsi="Arial" w:cs="Arial"/>
                <w:color w:val="000000"/>
                <w:sz w:val="20"/>
              </w:rPr>
              <w:t>Assuming an honestly and reasonably provoked defendant, there must not have been sufficient time for a reasonable person to cool off, meaning that the passions of an average person would not yet have abated.</w:t>
            </w:r>
          </w:p>
          <w:p w:rsidR="004729FB" w:rsidRDefault="004729FB" w:rsidP="00713DA5">
            <w:pPr>
              <w:spacing w:before="60" w:line="260" w:lineRule="atLeast"/>
              <w:ind w:left="460" w:right="360"/>
              <w:jc w:val="both"/>
            </w:pPr>
            <w:r>
              <w:rPr>
                <w:rFonts w:ascii="Arial" w:eastAsia="Arial" w:hAnsi="Arial" w:cs="Arial"/>
                <w:color w:val="000000"/>
                <w:sz w:val="20"/>
              </w:rPr>
              <w:t>The law, in its wisdom, extenuates certain killings by lowering the degree of blameworthiness because it recognizes human frailty when one is in the clutches of blind and sudden fury. The long-smoldering grudge, by way of contrast, may be psychologically just as compelling a force as the sudden impulse but it, unlike the impulse, is a telltale characteristic of premeditation. The law extenuates certain killings not simply because they have been provoked but because there has also been the lack of time between the provoking cause and the impulsive response to think about the consequences or the alternatives. In the case of the spontaneous explosion, reason has no opportunity to intervene; in the case of the "slow burn," it has. We demand that it intervene whenever it can.</w:t>
            </w:r>
          </w:p>
          <w:p w:rsidR="004729FB" w:rsidRDefault="004729FB" w:rsidP="00713DA5">
            <w:pPr>
              <w:spacing w:before="240" w:line="260" w:lineRule="atLeast"/>
              <w:ind w:left="60" w:right="360"/>
              <w:jc w:val="both"/>
            </w:pPr>
            <w:hyperlink r:id="rId1075" w:history="1">
              <w:r>
                <w:rPr>
                  <w:rFonts w:ascii="Arial" w:eastAsia="Arial" w:hAnsi="Arial" w:cs="Arial"/>
                  <w:i/>
                  <w:color w:val="0077CC"/>
                  <w:sz w:val="20"/>
                  <w:u w:val="single"/>
                </w:rPr>
                <w:t>Tripp, 36 Md. App. at 471-72, 374 A.2d at 390</w:t>
              </w:r>
            </w:hyperlink>
            <w:r>
              <w:rPr>
                <w:rFonts w:ascii="Arial" w:eastAsia="Arial" w:hAnsi="Arial" w:cs="Arial"/>
                <w:color w:val="000000"/>
                <w:sz w:val="20"/>
              </w:rPr>
              <w:t xml:space="preserve"> (finding that four days was sufficient for passion to cool); </w:t>
            </w:r>
            <w:r>
              <w:rPr>
                <w:rFonts w:ascii="Arial" w:eastAsia="Arial" w:hAnsi="Arial" w:cs="Arial"/>
                <w:i/>
                <w:color w:val="000000"/>
                <w:sz w:val="20"/>
              </w:rPr>
              <w:t xml:space="preserve">see </w:t>
            </w:r>
            <w:hyperlink r:id="rId1076" w:history="1">
              <w:r>
                <w:rPr>
                  <w:rFonts w:ascii="Arial" w:eastAsia="Arial" w:hAnsi="Arial" w:cs="Arial"/>
                  <w:i/>
                  <w:color w:val="0077CC"/>
                  <w:sz w:val="20"/>
                  <w:u w:val="single"/>
                </w:rPr>
                <w:t>Carter, 66 Md. App. at 573, 505 A.2d at 548-49</w:t>
              </w:r>
            </w:hyperlink>
            <w:r>
              <w:rPr>
                <w:rFonts w:ascii="Arial" w:eastAsia="Arial" w:hAnsi="Arial" w:cs="Arial"/>
                <w:color w:val="000000"/>
                <w:sz w:val="20"/>
              </w:rPr>
              <w:t xml:space="preserve"> (finding that 90 seconds was insufficient for passion to cool); </w:t>
            </w:r>
            <w:hyperlink r:id="rId1077" w:history="1">
              <w:r>
                <w:rPr>
                  <w:rFonts w:ascii="Arial" w:eastAsia="Arial" w:hAnsi="Arial" w:cs="Arial"/>
                  <w:i/>
                  <w:color w:val="0077CC"/>
                  <w:sz w:val="20"/>
                  <w:u w:val="single"/>
                </w:rPr>
                <w:t>Dorsey, 29 Md. App. at 105-06, 349 A.2d at 419</w:t>
              </w:r>
            </w:hyperlink>
            <w:r>
              <w:rPr>
                <w:rFonts w:ascii="Arial" w:eastAsia="Arial" w:hAnsi="Arial" w:cs="Arial"/>
                <w:color w:val="000000"/>
                <w:sz w:val="20"/>
              </w:rPr>
              <w:t xml:space="preserve"> (finding that a five hour cooling off time presented a jury question).</w:t>
            </w:r>
          </w:p>
          <w:p w:rsidR="004729FB" w:rsidRDefault="004729FB" w:rsidP="00713DA5">
            <w:pPr>
              <w:spacing w:before="240" w:line="260" w:lineRule="atLeast"/>
              <w:ind w:left="60" w:right="360"/>
              <w:jc w:val="both"/>
            </w:pPr>
            <w:r>
              <w:rPr>
                <w:rFonts w:ascii="Arial" w:eastAsia="Arial" w:hAnsi="Arial" w:cs="Arial"/>
                <w:color w:val="000000"/>
                <w:sz w:val="20"/>
              </w:rPr>
              <w:t xml:space="preserve">The defendant's killing is only mitigated if the person killed is the one who created the provocation. </w:t>
            </w:r>
            <w:hyperlink r:id="rId1078" w:history="1">
              <w:r>
                <w:rPr>
                  <w:rFonts w:ascii="Arial" w:eastAsia="Arial" w:hAnsi="Arial" w:cs="Arial"/>
                  <w:i/>
                  <w:color w:val="0077CC"/>
                  <w:sz w:val="20"/>
                  <w:u w:val="single"/>
                </w:rPr>
                <w:t>Tripp, 36 Md. App. at 466, 374 A.2d at 389</w:t>
              </w:r>
            </w:hyperlink>
            <w:r>
              <w:rPr>
                <w:rFonts w:ascii="Arial" w:eastAsia="Arial" w:hAnsi="Arial" w:cs="Arial"/>
                <w:color w:val="000000"/>
                <w:sz w:val="20"/>
              </w:rPr>
              <w:t xml:space="preserve"> (finding that the killing of four people, none of whom were the provocateur, was not done in hot-blooded rage).</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079" w:history="1">
              <w:r>
                <w:rPr>
                  <w:rFonts w:ascii="Arial" w:eastAsia="Arial" w:hAnsi="Arial" w:cs="Arial"/>
                  <w:i/>
                  <w:color w:val="0077CC"/>
                  <w:sz w:val="20"/>
                  <w:u w:val="single"/>
                </w:rPr>
                <w:t>Cox v. State, 311 Md. 326, 534 A.2d 1333 (1988),</w:t>
              </w:r>
            </w:hyperlink>
            <w:r>
              <w:rPr>
                <w:rFonts w:ascii="Arial" w:eastAsia="Arial" w:hAnsi="Arial" w:cs="Arial"/>
                <w:color w:val="000000"/>
                <w:sz w:val="20"/>
              </w:rPr>
              <w:t xml:space="preserve"> a case of first impression, the Court of Appeals </w:t>
            </w:r>
            <w:r>
              <w:rPr>
                <w:rFonts w:ascii="Arial" w:eastAsia="Arial" w:hAnsi="Arial" w:cs="Arial"/>
                <w:color w:val="000000"/>
                <w:sz w:val="20"/>
              </w:rPr>
              <w:lastRenderedPageBreak/>
              <w:t>recognized the crime of attempted voluntary manslaughter when the mitigation is based on legally adequate provocation.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20" style="position:absolute;z-index:25184153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4:17.1, MPJI-Cr 4:17.2, MPJI-Cr 4:17.3, MPJI-Cr 4:17.5, MPJI-Cr 4:17.6.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26" style="position:absolute;left:0;text-align:left;z-index:25184768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56" name="Picture 5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086" w:history="1">
        <w:r>
          <w:rPr>
            <w:rFonts w:ascii="Arial" w:eastAsia="Arial" w:hAnsi="Arial" w:cs="Arial"/>
            <w:b/>
            <w:bCs/>
            <w:i/>
            <w:color w:val="0077CC"/>
            <w:kern w:val="32"/>
            <w:sz w:val="28"/>
            <w:szCs w:val="32"/>
            <w:u w:val="single"/>
          </w:rPr>
          <w:t>MPJI-Cr 4:17.5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SECOND DEGREE SPECIFIC INTENT MURDER AND VOLUNTARY MANSLAUGHTER (DURESS)</w:t>
      </w:r>
    </w:p>
    <w:p w:rsidR="004729FB" w:rsidRDefault="004729FB" w:rsidP="004729FB">
      <w:pPr>
        <w:keepNext/>
        <w:spacing w:before="240" w:line="340" w:lineRule="atLeast"/>
      </w:pPr>
      <w:r>
        <w:br/>
      </w:r>
      <w:r>
        <w:rPr>
          <w:rFonts w:ascii="Arial" w:eastAsia="Arial" w:hAnsi="Arial" w:cs="Arial"/>
          <w:b/>
          <w:color w:val="000000"/>
          <w:sz w:val="28"/>
        </w:rPr>
        <w:t>4:17.5Homicide--First Degree Premeditated Murder, Second Degree Specific Intent Murder and Voluntary Manslaughter (Duress)</w:t>
      </w:r>
    </w:p>
    <w:p w:rsidR="004729FB" w:rsidRDefault="004729FB" w:rsidP="004729FB">
      <w:pPr>
        <w:spacing w:line="60" w:lineRule="exact"/>
      </w:pPr>
      <w:r>
        <w:pict>
          <v:line id="_x0000_s1211" style="position:absolute;z-index:25183232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second degree murder, and 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ind w:left="400"/>
        <w:jc w:val="both"/>
      </w:pPr>
      <w:r>
        <w:rPr>
          <w:rFonts w:ascii="Arial" w:eastAsia="Arial" w:hAnsi="Arial" w:cs="Arial"/>
          <w:b/>
          <w:color w:val="000000"/>
          <w:sz w:val="20"/>
        </w:rPr>
        <w:t>First degree murder is the intentional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killing was willful, deliberate, and premeditated; and</w:t>
      </w:r>
    </w:p>
    <w:p w:rsidR="004729FB" w:rsidRDefault="004729FB" w:rsidP="004729FB">
      <w:pPr>
        <w:spacing w:before="200" w:line="260" w:lineRule="atLeast"/>
        <w:ind w:left="800"/>
        <w:jc w:val="both"/>
      </w:pPr>
      <w:r>
        <w:rPr>
          <w:rFonts w:ascii="Arial" w:eastAsia="Arial" w:hAnsi="Arial" w:cs="Arial"/>
          <w:b/>
          <w:color w:val="000000"/>
          <w:sz w:val="20"/>
        </w:rPr>
        <w:t>(3) that there were no mitigating circumstances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MURDER</w:t>
      </w:r>
    </w:p>
    <w:p w:rsidR="004729FB" w:rsidRDefault="004729FB" w:rsidP="004729FB">
      <w:pPr>
        <w:spacing w:before="200" w:line="260" w:lineRule="atLeast"/>
        <w:ind w:left="400"/>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 and</w:t>
      </w:r>
    </w:p>
    <w:p w:rsidR="004729FB" w:rsidRDefault="004729FB" w:rsidP="004729FB">
      <w:pPr>
        <w:spacing w:before="200" w:line="260" w:lineRule="atLeast"/>
        <w:ind w:left="800"/>
        <w:jc w:val="both"/>
      </w:pPr>
      <w:r>
        <w:rPr>
          <w:rFonts w:ascii="Arial" w:eastAsia="Arial" w:hAnsi="Arial" w:cs="Arial"/>
          <w:b/>
          <w:color w:val="000000"/>
          <w:sz w:val="20"/>
        </w:rPr>
        <w:lastRenderedPageBreak/>
        <w:t>(3) that there were no mitigating circumstances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VOLUNTARY MANSLAUGHTER (DURESS)</w:t>
      </w:r>
    </w:p>
    <w:p w:rsidR="004729FB" w:rsidRDefault="004729FB" w:rsidP="004729FB">
      <w:pPr>
        <w:spacing w:before="200" w:line="260" w:lineRule="atLeast"/>
        <w:ind w:left="400"/>
        <w:jc w:val="both"/>
      </w:pPr>
      <w:r>
        <w:rPr>
          <w:rFonts w:ascii="Arial" w:eastAsia="Arial" w:hAnsi="Arial" w:cs="Arial"/>
          <w:b/>
          <w:color w:val="000000"/>
          <w:sz w:val="20"/>
        </w:rPr>
        <w:t>Voluntary manslaughter is an intentional killing, which would be murder, but is not murder because the defendant acted under duress. This does not result in a verdict of not guilty, but rather reduces the level of guilt from murder to manslaughter. You have heard evidence that the defendant killed (</w:t>
      </w:r>
      <w:r>
        <w:rPr>
          <w:rFonts w:ascii="Arial" w:eastAsia="Arial" w:hAnsi="Arial" w:cs="Arial"/>
          <w:b/>
          <w:color w:val="000000"/>
          <w:sz w:val="20"/>
          <w:u w:val="single"/>
        </w:rPr>
        <w:t>name</w:t>
      </w:r>
      <w:r>
        <w:rPr>
          <w:rFonts w:ascii="Arial" w:eastAsia="Arial" w:hAnsi="Arial" w:cs="Arial"/>
          <w:b/>
          <w:color w:val="000000"/>
          <w:sz w:val="20"/>
        </w:rPr>
        <w:t>) under duress. In order to convict the defendant of murder, the State must prove that the defendant did not act under duress. If the defendant did act under duress, the verdict should be guilty of voluntary manslaughter and not guilty of murder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Killing under the influence of an overpowering force is a mitigating circumstance. This is called duress. In order for this mitigating circumstance to exist in this case, the following four factors must be present</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the defendant actually believed that the duress placed [him] [her] in immediate or imminent danger of death or serious bodily harm</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the defendant's belief was reasonable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the defendant had no reasonable opportunity for escape; and</w:t>
      </w:r>
    </w:p>
    <w:p w:rsidR="004729FB" w:rsidRDefault="004729FB" w:rsidP="004729FB">
      <w:pPr>
        <w:spacing w:before="200" w:line="260" w:lineRule="atLeast"/>
        <w:ind w:left="800"/>
        <w:jc w:val="both"/>
      </w:pPr>
      <w:r>
        <w:rPr>
          <w:rFonts w:ascii="Arial" w:eastAsia="Arial" w:hAnsi="Arial" w:cs="Arial"/>
          <w:b/>
          <w:color w:val="000000"/>
          <w:sz w:val="20"/>
        </w:rPr>
        <w:t>(4) the defendant killed the victim because of the duress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mitigating circumstance of duress was not present in this case. This means that the State must persuade you, beyond a reasonable doubt, that at least one of the four factors of duress was absent. If the State has failed to persuade you that at least one of the four factors was absent, you cannot find the defendant guilty of murder, but may find the defendant guilty of voluntary manslaughter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In order to convict the defendant of murder, the State must prove that the defendant did not act under duress. If the defendant did act under duress, the verdict should be guilty of voluntary manslaughter and not guilty of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(Imperfect Self-Defense)); MPJI-Cr 5:03 (Duress).</w:t>
            </w:r>
          </w:p>
          <w:p w:rsidR="004729FB" w:rsidRDefault="004729FB" w:rsidP="00713DA5">
            <w:pPr>
              <w:spacing w:before="200" w:line="260" w:lineRule="atLeast"/>
              <w:ind w:left="60" w:right="360"/>
              <w:jc w:val="both"/>
            </w:pPr>
            <w:r>
              <w:rPr>
                <w:rFonts w:ascii="Arial" w:eastAsia="Arial" w:hAnsi="Arial" w:cs="Arial"/>
                <w:color w:val="000000"/>
                <w:sz w:val="20"/>
              </w:rPr>
              <w:t xml:space="preserve">A complete defense of duress, when applicable, requires that the defendant commit a crime because he or she honestly and reasonably believed that he or she was in imminent danger of death or serious bodily harm if he or she did not commit it, and that he or she had no reasonable opportunity to escape. </w:t>
            </w:r>
            <w:r>
              <w:rPr>
                <w:rFonts w:ascii="Arial" w:eastAsia="Arial" w:hAnsi="Arial" w:cs="Arial"/>
                <w:i/>
                <w:color w:val="000000"/>
                <w:sz w:val="20"/>
              </w:rPr>
              <w:t>See generally</w:t>
            </w:r>
            <w:r>
              <w:rPr>
                <w:rFonts w:ascii="Arial" w:eastAsia="Arial" w:hAnsi="Arial" w:cs="Arial"/>
                <w:color w:val="000000"/>
                <w:sz w:val="20"/>
              </w:rPr>
              <w:t xml:space="preserve"> WAYNE R. LAFAVE, CRIMINAL LAW § 9.7, at 518-29 (5th ed. 2010).</w:t>
            </w:r>
          </w:p>
          <w:p w:rsidR="004729FB" w:rsidRDefault="004729FB" w:rsidP="00713DA5">
            <w:pPr>
              <w:spacing w:before="240" w:line="260" w:lineRule="atLeast"/>
              <w:ind w:left="60" w:right="360"/>
              <w:jc w:val="both"/>
            </w:pPr>
            <w:r>
              <w:rPr>
                <w:rFonts w:ascii="Arial" w:eastAsia="Arial" w:hAnsi="Arial" w:cs="Arial"/>
                <w:color w:val="000000"/>
                <w:sz w:val="20"/>
              </w:rPr>
              <w:t xml:space="preserve">Unlike self-defense and defense of others, both of which can serve as either a perfect or imperfect defense, duress cannot serve as a complete defense to both murder and manslaughter. As a matter of policy, the defense of duress is not available to excuse intentional murder, attempted murder, or assault with intent to murder. </w:t>
            </w:r>
            <w:r>
              <w:rPr>
                <w:rFonts w:ascii="Arial" w:eastAsia="Arial" w:hAnsi="Arial" w:cs="Arial"/>
                <w:i/>
                <w:color w:val="000000"/>
                <w:sz w:val="20"/>
              </w:rPr>
              <w:t xml:space="preserve">See </w:t>
            </w:r>
            <w:hyperlink r:id="rId1087" w:history="1">
              <w:r>
                <w:rPr>
                  <w:rFonts w:ascii="Arial" w:eastAsia="Arial" w:hAnsi="Arial" w:cs="Arial"/>
                  <w:i/>
                  <w:color w:val="0077CC"/>
                  <w:sz w:val="20"/>
                  <w:u w:val="single"/>
                </w:rPr>
                <w:t>Wentworth v. State, 29 Md. App. 110, 117-21, 349 A.2d 421, 426-28 (1975),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735 (1976);</w:t>
            </w:r>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9.7(b), at 510-21. However, as with self-defense and defense of others, </w:t>
            </w:r>
            <w:r>
              <w:rPr>
                <w:rFonts w:ascii="Arial" w:eastAsia="Arial" w:hAnsi="Arial" w:cs="Arial"/>
                <w:color w:val="000000"/>
                <w:sz w:val="20"/>
              </w:rPr>
              <w:lastRenderedPageBreak/>
              <w:t xml:space="preserve">duress can serve as an imperfect defense, which although not a complete defense, can negate the malice and thus mitigate murder to voluntary manslaughter. </w:t>
            </w:r>
            <w:hyperlink r:id="rId1088" w:history="1">
              <w:r>
                <w:rPr>
                  <w:rFonts w:ascii="Arial" w:eastAsia="Arial" w:hAnsi="Arial" w:cs="Arial"/>
                  <w:i/>
                  <w:color w:val="0077CC"/>
                  <w:sz w:val="20"/>
                  <w:u w:val="single"/>
                </w:rPr>
                <w:t>Wentworth, 29 Md. App. at 121, 349 A.2d at 428.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This instruction was updated in June 2018 to comply with the specific direction of the Court of Appeals. </w:t>
            </w:r>
            <w:r>
              <w:rPr>
                <w:rFonts w:ascii="Arial" w:eastAsia="Arial" w:hAnsi="Arial" w:cs="Arial"/>
                <w:i/>
                <w:color w:val="000000"/>
                <w:sz w:val="20"/>
              </w:rPr>
              <w:t xml:space="preserve">See </w:t>
            </w:r>
            <w:hyperlink r:id="rId1089" w:history="1">
              <w:r>
                <w:rPr>
                  <w:rFonts w:ascii="Arial" w:eastAsia="Arial" w:hAnsi="Arial" w:cs="Arial"/>
                  <w:i/>
                  <w:color w:val="0077CC"/>
                  <w:sz w:val="20"/>
                  <w:u w:val="single"/>
                </w:rPr>
                <w:t>Porter v. State, 455 Md. 220, 245 n.6, 166 A.3d 1044, 1059 n.6 (2017)</w:t>
              </w:r>
            </w:hyperlink>
            <w:r>
              <w:rPr>
                <w:rFonts w:ascii="Arial" w:eastAsia="Arial" w:hAnsi="Arial" w:cs="Arial"/>
                <w:color w:val="000000"/>
                <w:sz w:val="20"/>
              </w:rPr>
              <w:t xml:space="preserve"> (noting MPJI-Cr should use the phrase "imminent or immediate" instead of "imminent and immediate" in self-defense instructions); </w:t>
            </w:r>
            <w:r>
              <w:rPr>
                <w:rFonts w:ascii="Arial" w:eastAsia="Arial" w:hAnsi="Arial" w:cs="Arial"/>
                <w:i/>
                <w:color w:val="000000"/>
                <w:sz w:val="20"/>
              </w:rPr>
              <w:t xml:space="preserve">see also </w:t>
            </w:r>
            <w:hyperlink r:id="rId1090" w:history="1">
              <w:r>
                <w:rPr>
                  <w:rFonts w:ascii="Arial" w:eastAsia="Arial" w:hAnsi="Arial" w:cs="Arial"/>
                  <w:i/>
                  <w:color w:val="0077CC"/>
                  <w:sz w:val="20"/>
                  <w:u w:val="single"/>
                </w:rPr>
                <w:t>McMillen v. State, 428 Md. 333, 356-57, 51 A.3d 623, 637 (2012)</w:t>
              </w:r>
            </w:hyperlink>
            <w:r>
              <w:rPr>
                <w:rFonts w:ascii="Arial" w:eastAsia="Arial" w:hAnsi="Arial" w:cs="Arial"/>
                <w:color w:val="000000"/>
                <w:sz w:val="20"/>
              </w:rPr>
              <w:t xml:space="preserve"> (holding petition had met his burden to show "some evidence" of "imminent or immediate harm" to justify giving duress instruction).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21" style="position:absolute;z-index:25184256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4:17.1, MPJI-Cr 4:17.2, MPJI-Cr 4:17.3, MPJI-Cr 4:17.4, MPJI-Cr 4:17.6, MPJI-Cr 5:03.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227" style="position:absolute;left:0;text-align:left;z-index:251848704;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10:49:00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77923624</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091" w:history="1">
        <w:r>
          <w:rPr>
            <w:rFonts w:ascii="Arial" w:eastAsia="Arial" w:hAnsi="Arial" w:cs="Arial"/>
            <w:color w:val="000000"/>
            <w:sz w:val="20"/>
            <w:u w:val="single"/>
          </w:rPr>
          <w:t xml:space="preserve"> </w:t>
        </w:r>
      </w:hyperlink>
      <w:hyperlink r:id="rId1092" w:history="1">
        <w:r>
          <w:rPr>
            <w:rFonts w:ascii="Arial" w:eastAsia="Arial" w:hAnsi="Arial" w:cs="Arial"/>
            <w:i/>
            <w:color w:val="0077CC"/>
            <w:sz w:val="20"/>
            <w:u w:val="single"/>
          </w:rPr>
          <w:t>Homicide--First Degree Premeditated Murder, First Degree Felony Murder And Second Degree Specific Intent Murder</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093" w:history="1">
        <w:r>
          <w:rPr>
            <w:rFonts w:ascii="Arial" w:eastAsia="Arial" w:hAnsi="Arial" w:cs="Arial"/>
            <w:color w:val="000000"/>
            <w:sz w:val="20"/>
            <w:u w:val="single"/>
          </w:rPr>
          <w:t xml:space="preserve"> </w:t>
        </w:r>
      </w:hyperlink>
      <w:hyperlink r:id="rId1094" w:history="1">
        <w:r>
          <w:rPr>
            <w:rFonts w:ascii="Arial" w:eastAsia="Arial" w:hAnsi="Arial" w:cs="Arial"/>
            <w:i/>
            <w:color w:val="0077CC"/>
            <w:sz w:val="20"/>
            <w:u w:val="single"/>
          </w:rPr>
          <w:t>Homicide--First Degree Felony Murder</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095" w:history="1">
        <w:r>
          <w:rPr>
            <w:rFonts w:ascii="Arial" w:eastAsia="Arial" w:hAnsi="Arial" w:cs="Arial"/>
            <w:color w:val="000000"/>
            <w:sz w:val="20"/>
            <w:u w:val="single"/>
          </w:rPr>
          <w:t xml:space="preserve"> </w:t>
        </w:r>
      </w:hyperlink>
      <w:hyperlink r:id="rId1096" w:history="1">
        <w:r>
          <w:rPr>
            <w:rFonts w:ascii="Arial" w:eastAsia="Arial" w:hAnsi="Arial" w:cs="Arial"/>
            <w:i/>
            <w:color w:val="0077CC"/>
            <w:sz w:val="20"/>
            <w:u w:val="single"/>
          </w:rPr>
          <w:t>Homicide--First Degree Felony Murder, Afterthought Robbery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097" w:history="1">
        <w:r>
          <w:rPr>
            <w:rFonts w:ascii="Arial" w:eastAsia="Arial" w:hAnsi="Arial" w:cs="Arial"/>
            <w:color w:val="000000"/>
            <w:sz w:val="20"/>
            <w:u w:val="single"/>
          </w:rPr>
          <w:t xml:space="preserve"> </w:t>
        </w:r>
      </w:hyperlink>
      <w:hyperlink r:id="rId1098" w:history="1">
        <w:r>
          <w:rPr>
            <w:rFonts w:ascii="Arial" w:eastAsia="Arial" w:hAnsi="Arial" w:cs="Arial"/>
            <w:i/>
            <w:color w:val="0077CC"/>
            <w:sz w:val="20"/>
            <w:u w:val="single"/>
          </w:rPr>
          <w:t>Homicide--Second Degree Felony Murder (Inherently Dangerous Nature of Felony: First Degree Assault, and Inherently Dangerous Manner In Which Felony Was Perpetrated)</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099" w:history="1">
        <w:r>
          <w:rPr>
            <w:rFonts w:ascii="Arial" w:eastAsia="Arial" w:hAnsi="Arial" w:cs="Arial"/>
            <w:color w:val="000000"/>
            <w:sz w:val="20"/>
            <w:u w:val="single"/>
          </w:rPr>
          <w:t xml:space="preserve"> </w:t>
        </w:r>
      </w:hyperlink>
      <w:hyperlink r:id="rId1100" w:history="1">
        <w:r>
          <w:rPr>
            <w:rFonts w:ascii="Arial" w:eastAsia="Arial" w:hAnsi="Arial" w:cs="Arial"/>
            <w:i/>
            <w:color w:val="0077CC"/>
            <w:sz w:val="20"/>
            <w:u w:val="single"/>
          </w:rPr>
          <w:t>Homicide--Second Degree Depraved Heart Murder and Involuntary Manslaughter (Grossly Negligent Act and Unlawful Act)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101" w:history="1">
        <w:r>
          <w:rPr>
            <w:rFonts w:ascii="Arial" w:eastAsia="Arial" w:hAnsi="Arial" w:cs="Arial"/>
            <w:color w:val="000000"/>
            <w:sz w:val="20"/>
            <w:u w:val="single"/>
          </w:rPr>
          <w:t xml:space="preserve"> </w:t>
        </w:r>
      </w:hyperlink>
      <w:hyperlink r:id="rId1102" w:history="1">
        <w:r>
          <w:rPr>
            <w:rFonts w:ascii="Arial" w:eastAsia="Arial" w:hAnsi="Arial" w:cs="Arial"/>
            <w:i/>
            <w:color w:val="0077CC"/>
            <w:sz w:val="20"/>
            <w:u w:val="single"/>
          </w:rPr>
          <w:t>Homicide--Involuntary Manslaughter (Grossly Negligent Act and Unlawful Act)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103" w:history="1">
        <w:r>
          <w:rPr>
            <w:rFonts w:ascii="Arial" w:eastAsia="Arial" w:hAnsi="Arial" w:cs="Arial"/>
            <w:color w:val="000000"/>
            <w:sz w:val="20"/>
            <w:u w:val="single"/>
          </w:rPr>
          <w:t xml:space="preserve"> </w:t>
        </w:r>
      </w:hyperlink>
      <w:hyperlink r:id="rId1104" w:history="1">
        <w:r>
          <w:rPr>
            <w:rFonts w:ascii="Arial" w:eastAsia="Arial" w:hAnsi="Arial" w:cs="Arial"/>
            <w:i/>
            <w:color w:val="0077CC"/>
            <w:sz w:val="20"/>
            <w:u w:val="single"/>
          </w:rPr>
          <w:t>Homicide--Manslaughter By Motor Vehicle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105" w:history="1">
        <w:r>
          <w:rPr>
            <w:rFonts w:ascii="Arial" w:eastAsia="Arial" w:hAnsi="Arial" w:cs="Arial"/>
            <w:color w:val="000000"/>
            <w:sz w:val="20"/>
            <w:u w:val="single"/>
          </w:rPr>
          <w:t xml:space="preserve"> </w:t>
        </w:r>
      </w:hyperlink>
      <w:hyperlink r:id="rId1106" w:history="1">
        <w:r>
          <w:rPr>
            <w:rFonts w:ascii="Arial" w:eastAsia="Arial" w:hAnsi="Arial" w:cs="Arial"/>
            <w:i/>
            <w:color w:val="0077CC"/>
            <w:sz w:val="20"/>
            <w:u w:val="single"/>
          </w:rPr>
          <w:t>Homicide of a Viable Fetus--First Degree Premeditated Murder; Second Degree Specific Intent Murder (No Justification or Mitigation Generated); Second Degree Depraved Heart Murder; and Involuntary Manslaughter (Wanton or Reckless Act)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107" w:history="1">
        <w:r>
          <w:rPr>
            <w:rFonts w:ascii="Arial" w:eastAsia="Arial" w:hAnsi="Arial" w:cs="Arial"/>
            <w:color w:val="000000"/>
            <w:sz w:val="20"/>
            <w:u w:val="single"/>
          </w:rPr>
          <w:t xml:space="preserve"> </w:t>
        </w:r>
      </w:hyperlink>
      <w:hyperlink r:id="rId1108" w:history="1">
        <w:r>
          <w:rPr>
            <w:rFonts w:ascii="Arial" w:eastAsia="Arial" w:hAnsi="Arial" w:cs="Arial"/>
            <w:i/>
            <w:color w:val="0077CC"/>
            <w:sz w:val="20"/>
            <w:u w:val="single"/>
          </w:rPr>
          <w:t>Homicide by Motor Vehicle While Under the Influence of Alcohol, While Under the Influence of Alcohol Per Se, and While Impaired by Alcohol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1109" w:history="1">
        <w:r>
          <w:rPr>
            <w:rFonts w:ascii="Arial" w:eastAsia="Arial" w:hAnsi="Arial" w:cs="Arial"/>
            <w:color w:val="000000"/>
            <w:sz w:val="20"/>
            <w:u w:val="single"/>
          </w:rPr>
          <w:t xml:space="preserve"> </w:t>
        </w:r>
      </w:hyperlink>
      <w:hyperlink r:id="rId1110" w:history="1">
        <w:r>
          <w:rPr>
            <w:rFonts w:ascii="Arial" w:eastAsia="Arial" w:hAnsi="Arial" w:cs="Arial"/>
            <w:i/>
            <w:color w:val="0077CC"/>
            <w:sz w:val="20"/>
            <w:u w:val="single"/>
          </w:rPr>
          <w:t>Homicide--Attempted First Degree Murder, and Attempted Second Degree Murder (No Justification or Mitigation Generated)</w:t>
        </w:r>
      </w:hyperlink>
    </w:p>
    <w:p w:rsidR="004729FB" w:rsidRDefault="004729FB" w:rsidP="004729FB">
      <w:pPr>
        <w:spacing w:before="80" w:line="240" w:lineRule="atLeast"/>
        <w:ind w:left="290"/>
        <w:sectPr w:rsidR="004729FB" w:rsidSect="004729FB">
          <w:headerReference w:type="even" r:id="rId1111"/>
          <w:headerReference w:type="default" r:id="rId1112"/>
          <w:footerReference w:type="even" r:id="rId1113"/>
          <w:footerReference w:type="default" r:id="rId1114"/>
          <w:headerReference w:type="first" r:id="rId1115"/>
          <w:footerReference w:type="first" r:id="rId1116"/>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6" name="Picture 7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123" w:history="1">
        <w:r>
          <w:rPr>
            <w:rFonts w:ascii="Arial" w:eastAsia="Arial" w:hAnsi="Arial" w:cs="Arial"/>
            <w:b/>
            <w:bCs/>
            <w:i/>
            <w:color w:val="0077CC"/>
            <w:kern w:val="32"/>
            <w:sz w:val="28"/>
            <w:szCs w:val="32"/>
            <w:u w:val="single"/>
          </w:rPr>
          <w:t>MPJI-Cr 4:17.6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PREMEDITATED MURDER, FIRST DEGREE FELONY MURDER AND SECOND DEGREE SPECIFIC INTENT MURDER</w:t>
      </w:r>
    </w:p>
    <w:p w:rsidR="004729FB" w:rsidRDefault="004729FB" w:rsidP="004729FB">
      <w:pPr>
        <w:keepNext/>
        <w:spacing w:before="240" w:line="340" w:lineRule="atLeast"/>
      </w:pPr>
      <w:r>
        <w:br/>
      </w:r>
      <w:r>
        <w:rPr>
          <w:rFonts w:ascii="Arial" w:eastAsia="Arial" w:hAnsi="Arial" w:cs="Arial"/>
          <w:b/>
          <w:color w:val="000000"/>
          <w:sz w:val="28"/>
        </w:rPr>
        <w:t>4:17.6Homicide--First Degree Premeditated Murder, First Degree Felony Murder And Second Degree Specific Intent Murder</w:t>
      </w:r>
    </w:p>
    <w:p w:rsidR="004729FB" w:rsidRDefault="004729FB" w:rsidP="004729FB">
      <w:pPr>
        <w:spacing w:line="60" w:lineRule="exact"/>
      </w:pPr>
      <w:r>
        <w:pict>
          <v:line id="_x0000_s1228" style="position:absolute;z-index:25185075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This charge includes first degree murder and second degree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FIRST DEGREE PREMEDITATED MURDER</w:t>
      </w:r>
    </w:p>
    <w:p w:rsidR="004729FB" w:rsidRDefault="004729FB" w:rsidP="004729FB">
      <w:pPr>
        <w:spacing w:before="200" w:line="260" w:lineRule="atLeast"/>
        <w:jc w:val="both"/>
      </w:pPr>
      <w:r>
        <w:rPr>
          <w:rFonts w:ascii="Arial" w:eastAsia="Arial" w:hAnsi="Arial" w:cs="Arial"/>
          <w:b/>
          <w:color w:val="000000"/>
          <w:sz w:val="20"/>
        </w:rPr>
        <w:t>First degree murder is the killing of another person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killing was willful, deliberate, and premeditated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FIRST DEGREE FELONY MURDER</w:t>
      </w:r>
    </w:p>
    <w:p w:rsidR="004729FB" w:rsidRDefault="004729FB" w:rsidP="004729FB">
      <w:pPr>
        <w:spacing w:before="200" w:line="260" w:lineRule="atLeast"/>
        <w:jc w:val="both"/>
      </w:pPr>
      <w:r>
        <w:rPr>
          <w:rFonts w:ascii="Arial" w:eastAsia="Arial" w:hAnsi="Arial" w:cs="Arial"/>
          <w:b/>
          <w:color w:val="000000"/>
          <w:sz w:val="20"/>
        </w:rPr>
        <w:t>The defendant also is charged with the crime of first degree felony murder. In order to convict the defendant of first degree felony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[another participating in the crime with the defendant] [committed] [attempted to commit] a (</w:t>
      </w:r>
      <w:r>
        <w:rPr>
          <w:rFonts w:ascii="Arial" w:eastAsia="Arial" w:hAnsi="Arial" w:cs="Arial"/>
          <w:b/>
          <w:color w:val="000000"/>
          <w:sz w:val="20"/>
          <w:u w:val="single"/>
        </w:rPr>
        <w:t>felony[ies]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[another participating in the crime] killed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act resulting in the death of (name) occurred during the [commission] [attempted commission] [escape from the immediate scene] of the (</w:t>
      </w:r>
      <w:r>
        <w:rPr>
          <w:rFonts w:ascii="Arial" w:eastAsia="Arial" w:hAnsi="Arial" w:cs="Arial"/>
          <w:b/>
          <w:color w:val="000000"/>
          <w:sz w:val="20"/>
          <w:u w:val="single"/>
        </w:rPr>
        <w:t>felony</w:t>
      </w:r>
      <w:r>
        <w:rPr>
          <w:rFonts w:ascii="Arial" w:eastAsia="Arial" w:hAnsi="Arial" w:cs="Arial"/>
          <w:b/>
          <w:color w:val="000000"/>
          <w:sz w:val="20"/>
        </w:rPr>
        <w:t>[ies])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Felony murder does not require the State to prove that the defendant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lastRenderedPageBreak/>
        <w:t>SECOND DEGREE MURDER</w:t>
      </w:r>
    </w:p>
    <w:p w:rsidR="004729FB" w:rsidRDefault="004729FB" w:rsidP="004729FB">
      <w:pPr>
        <w:spacing w:before="200" w:line="260" w:lineRule="atLeast"/>
        <w:jc w:val="both"/>
      </w:pPr>
      <w:r>
        <w:rPr>
          <w:rFonts w:ascii="Arial" w:eastAsia="Arial" w:hAnsi="Arial" w:cs="Arial"/>
          <w:b/>
          <w:color w:val="000000"/>
          <w:sz w:val="20"/>
        </w:rPr>
        <w:t>Second degree murder is the killing of another person with either the intent to kill or the intent to inflict such serious bodily harm that death would be the likely result. Second 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engaged in the deadly conduct either with the intent to kill or with the intent to inflict such serious bodily harm that death would be the likely result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4:17.7 (Homicide--First Degree Felony Murder).</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38" style="position:absolute;z-index:25186099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4:02, MPJI-Cr 4:17.7.</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48" style="position:absolute;left:0;text-align:left;z-index:2518712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5" name="Picture 7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130" w:history="1">
        <w:r>
          <w:rPr>
            <w:rFonts w:ascii="Arial" w:eastAsia="Arial" w:hAnsi="Arial" w:cs="Arial"/>
            <w:b/>
            <w:bCs/>
            <w:i/>
            <w:color w:val="0077CC"/>
            <w:kern w:val="32"/>
            <w:sz w:val="28"/>
            <w:szCs w:val="32"/>
            <w:u w:val="single"/>
          </w:rPr>
          <w:t>MPJI-Cr 4:17.7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FELONY MURDER</w:t>
      </w:r>
    </w:p>
    <w:p w:rsidR="004729FB" w:rsidRDefault="004729FB" w:rsidP="004729FB">
      <w:pPr>
        <w:keepNext/>
        <w:spacing w:before="240" w:line="340" w:lineRule="atLeast"/>
      </w:pPr>
      <w:r>
        <w:br/>
      </w:r>
      <w:r>
        <w:rPr>
          <w:rFonts w:ascii="Arial" w:eastAsia="Arial" w:hAnsi="Arial" w:cs="Arial"/>
          <w:b/>
          <w:color w:val="000000"/>
          <w:sz w:val="28"/>
        </w:rPr>
        <w:t>4:17.7Homicide--First Degree Felony Murder</w:t>
      </w:r>
    </w:p>
    <w:p w:rsidR="004729FB" w:rsidRDefault="004729FB" w:rsidP="004729FB">
      <w:pPr>
        <w:spacing w:line="60" w:lineRule="exact"/>
      </w:pPr>
      <w:r>
        <w:pict>
          <v:line id="_x0000_s1229" style="position:absolute;z-index:25185177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first degree felony murder. It is not necessary for the State to prove that the defendant intended to kill (</w:t>
      </w:r>
      <w:r>
        <w:rPr>
          <w:rFonts w:ascii="Arial" w:eastAsia="Arial" w:hAnsi="Arial" w:cs="Arial"/>
          <w:b/>
          <w:color w:val="000000"/>
          <w:sz w:val="20"/>
          <w:u w:val="single"/>
        </w:rPr>
        <w:t>name</w:t>
      </w:r>
      <w:r>
        <w:rPr>
          <w:rFonts w:ascii="Arial" w:eastAsia="Arial" w:hAnsi="Arial" w:cs="Arial"/>
          <w:b/>
          <w:color w:val="000000"/>
          <w:sz w:val="20"/>
        </w:rPr>
        <w:t>). In order to convict the defendant of first degree felony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[another participating in the crime with the defendant] [committed] [attempted to commit] (insert felony(ies) enumerated in Crim. Law I § 2-201(a)(4))</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[another participating in the crime] killed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act resulting in the death of (</w:t>
      </w:r>
      <w:r>
        <w:rPr>
          <w:rFonts w:ascii="Arial" w:eastAsia="Arial" w:hAnsi="Arial" w:cs="Arial"/>
          <w:b/>
          <w:color w:val="000000"/>
          <w:sz w:val="20"/>
          <w:u w:val="single"/>
        </w:rPr>
        <w:t>name</w:t>
      </w:r>
      <w:r>
        <w:rPr>
          <w:rFonts w:ascii="Arial" w:eastAsia="Arial" w:hAnsi="Arial" w:cs="Arial"/>
          <w:b/>
          <w:color w:val="000000"/>
          <w:sz w:val="20"/>
        </w:rPr>
        <w:t>) occurred during the [commission] [attempted commission] [escape from the immediate scene] of the (insert felony(ies) enumerated in Crim. Law I § 2-204(a)(4))</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4:17 (Homicide--First Degree Premeditated Murder and Second Degree Specific Intent Murder (No Justification or Mitigation Generated)).</w:t>
            </w:r>
          </w:p>
          <w:p w:rsidR="004729FB" w:rsidRDefault="004729FB" w:rsidP="00713DA5">
            <w:pPr>
              <w:spacing w:before="200" w:line="260" w:lineRule="atLeast"/>
              <w:ind w:left="60" w:right="360"/>
              <w:jc w:val="both"/>
            </w:pPr>
            <w:r>
              <w:rPr>
                <w:rFonts w:ascii="Arial" w:eastAsia="Arial" w:hAnsi="Arial" w:cs="Arial"/>
                <w:color w:val="000000"/>
                <w:sz w:val="20"/>
              </w:rPr>
              <w:t xml:space="preserve">One of the four disjunctive methods of establishing the element of murder is the commission of a criminal homicide during the perpetration of a felony, which is known as felony murder. </w:t>
            </w:r>
            <w:hyperlink r:id="rId1131" w:history="1">
              <w:r>
                <w:rPr>
                  <w:rFonts w:ascii="Arial" w:eastAsia="Arial" w:hAnsi="Arial" w:cs="Arial"/>
                  <w:i/>
                  <w:color w:val="0077CC"/>
                  <w:sz w:val="20"/>
                  <w:u w:val="single"/>
                </w:rPr>
                <w:t>Evans v. State, 28 Md. App. 640, 695-97, 349 A.2d 300, 335-36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132"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The State must prove a specific intent to commit the underlying felony. </w:t>
            </w:r>
            <w:hyperlink r:id="rId1133" w:history="1">
              <w:r>
                <w:rPr>
                  <w:rFonts w:ascii="Arial" w:eastAsia="Arial" w:hAnsi="Arial" w:cs="Arial"/>
                  <w:i/>
                  <w:color w:val="0077CC"/>
                  <w:sz w:val="20"/>
                  <w:u w:val="single"/>
                </w:rPr>
                <w:t>State v. Allen, 387 Md. 389, 398, 875 A.2d 724, 729 (2005);</w:t>
              </w:r>
            </w:hyperlink>
            <w:r>
              <w:rPr>
                <w:rFonts w:ascii="Arial" w:eastAsia="Arial" w:hAnsi="Arial" w:cs="Arial"/>
                <w:color w:val="000000"/>
                <w:sz w:val="20"/>
              </w:rPr>
              <w:t xml:space="preserve"> </w:t>
            </w:r>
            <w:hyperlink r:id="rId1134" w:history="1">
              <w:r>
                <w:rPr>
                  <w:rFonts w:ascii="Arial" w:eastAsia="Arial" w:hAnsi="Arial" w:cs="Arial"/>
                  <w:i/>
                  <w:color w:val="0077CC"/>
                  <w:sz w:val="20"/>
                  <w:u w:val="single"/>
                </w:rPr>
                <w:t>Bruce v. State, 317 Md. 642, 645, 566 A.2d 103, 104 (1989).</w:t>
              </w:r>
            </w:hyperlink>
            <w:r>
              <w:rPr>
                <w:rFonts w:ascii="Arial" w:eastAsia="Arial" w:hAnsi="Arial" w:cs="Arial"/>
                <w:color w:val="000000"/>
                <w:sz w:val="20"/>
              </w:rPr>
              <w:t xml:space="preserve"> Although the malice is provided by the underlying felony, and no intent to kill or even harm the victim is required, an intent to kill will not preclude a conviction for felony murder, so long as the underlying felony is satisfied. </w:t>
            </w:r>
            <w:hyperlink r:id="rId1135" w:history="1">
              <w:r>
                <w:rPr>
                  <w:rFonts w:ascii="Arial" w:eastAsia="Arial" w:hAnsi="Arial" w:cs="Arial"/>
                  <w:i/>
                  <w:color w:val="0077CC"/>
                  <w:sz w:val="20"/>
                  <w:u w:val="single"/>
                </w:rPr>
                <w:t>Finke v. State, 56 Md. App. 450, 481, 468 A.2d 353, 369 (1983),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299 Md. 425, 474 A.2d 218 (1984),</w:t>
            </w:r>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469 U.S. 1043 (1984).</w:t>
            </w:r>
          </w:p>
          <w:p w:rsidR="004729FB" w:rsidRDefault="004729FB" w:rsidP="00713DA5">
            <w:pPr>
              <w:spacing w:before="200" w:line="260" w:lineRule="atLeast"/>
              <w:ind w:left="60" w:right="360"/>
              <w:jc w:val="both"/>
            </w:pPr>
            <w:r>
              <w:rPr>
                <w:rFonts w:ascii="Arial" w:eastAsia="Arial" w:hAnsi="Arial" w:cs="Arial"/>
                <w:color w:val="000000"/>
                <w:sz w:val="20"/>
              </w:rPr>
              <w:t>CRIMINAL LAW I § 2-201(a)(4) provides as follows:</w:t>
            </w:r>
          </w:p>
          <w:p w:rsidR="004729FB" w:rsidRDefault="004729FB" w:rsidP="00713DA5">
            <w:pPr>
              <w:spacing w:before="200" w:line="260" w:lineRule="atLeast"/>
              <w:ind w:left="60" w:right="360"/>
              <w:jc w:val="both"/>
            </w:pPr>
            <w:r>
              <w:rPr>
                <w:rFonts w:ascii="Arial" w:eastAsia="Arial" w:hAnsi="Arial" w:cs="Arial"/>
                <w:color w:val="000000"/>
                <w:sz w:val="20"/>
              </w:rPr>
              <w:t>A murder is in the first degree if it is:</w:t>
            </w:r>
          </w:p>
          <w:p w:rsidR="004729FB" w:rsidRDefault="004729FB" w:rsidP="00713DA5">
            <w:pPr>
              <w:spacing w:before="200" w:line="260" w:lineRule="atLeast"/>
              <w:ind w:left="60" w:right="360"/>
              <w:jc w:val="both"/>
            </w:pPr>
            <w:r>
              <w:rPr>
                <w:rFonts w:ascii="Arial" w:eastAsia="Arial" w:hAnsi="Arial" w:cs="Arial"/>
                <w:color w:val="000000"/>
                <w:sz w:val="20"/>
              </w:rPr>
              <w:t>(4) committed in the perpetration of or an attempt to perpetrate:</w:t>
            </w:r>
          </w:p>
          <w:p w:rsidR="004729FB" w:rsidRDefault="004729FB" w:rsidP="00713DA5">
            <w:pPr>
              <w:spacing w:before="60" w:line="260" w:lineRule="atLeast"/>
              <w:ind w:left="460" w:right="360"/>
              <w:jc w:val="both"/>
            </w:pPr>
            <w:r>
              <w:rPr>
                <w:rFonts w:ascii="Arial" w:eastAsia="Arial" w:hAnsi="Arial" w:cs="Arial"/>
                <w:color w:val="000000"/>
                <w:sz w:val="20"/>
              </w:rPr>
              <w:t>(i) arson in the first degree;</w:t>
            </w:r>
          </w:p>
          <w:p w:rsidR="004729FB" w:rsidRDefault="004729FB" w:rsidP="00713DA5">
            <w:pPr>
              <w:spacing w:before="60" w:line="260" w:lineRule="atLeast"/>
              <w:ind w:left="460" w:right="360"/>
              <w:jc w:val="both"/>
            </w:pPr>
            <w:r>
              <w:rPr>
                <w:rFonts w:ascii="Arial" w:eastAsia="Arial" w:hAnsi="Arial" w:cs="Arial"/>
                <w:color w:val="000000"/>
                <w:sz w:val="20"/>
              </w:rPr>
              <w:lastRenderedPageBreak/>
              <w:t>(ii) burning a barn, stable, tobacco house, warehouse, or other outbuilding that:</w:t>
            </w:r>
          </w:p>
          <w:p w:rsidR="004729FB" w:rsidRDefault="004729FB" w:rsidP="00713DA5">
            <w:pPr>
              <w:spacing w:before="60" w:line="260" w:lineRule="atLeast"/>
              <w:ind w:left="860" w:right="360"/>
              <w:jc w:val="both"/>
            </w:pPr>
            <w:r>
              <w:rPr>
                <w:rFonts w:ascii="Arial" w:eastAsia="Arial" w:hAnsi="Arial" w:cs="Arial"/>
                <w:color w:val="000000"/>
                <w:sz w:val="20"/>
              </w:rPr>
              <w:t>1. is not parcel to a dwelling; and</w:t>
            </w:r>
          </w:p>
          <w:p w:rsidR="004729FB" w:rsidRDefault="004729FB" w:rsidP="00713DA5">
            <w:pPr>
              <w:spacing w:before="60" w:line="260" w:lineRule="atLeast"/>
              <w:ind w:left="860" w:right="360"/>
              <w:jc w:val="both"/>
            </w:pPr>
            <w:r>
              <w:rPr>
                <w:rFonts w:ascii="Arial" w:eastAsia="Arial" w:hAnsi="Arial" w:cs="Arial"/>
                <w:color w:val="000000"/>
                <w:sz w:val="20"/>
              </w:rPr>
              <w:t>2. contains cattle, goods, wares, merchandise, horses, grain, hay, or tobacco;</w:t>
            </w:r>
          </w:p>
          <w:p w:rsidR="004729FB" w:rsidRDefault="004729FB" w:rsidP="00713DA5">
            <w:pPr>
              <w:spacing w:before="60" w:line="260" w:lineRule="atLeast"/>
              <w:ind w:left="460" w:right="360"/>
              <w:jc w:val="both"/>
            </w:pPr>
            <w:r>
              <w:rPr>
                <w:rFonts w:ascii="Arial" w:eastAsia="Arial" w:hAnsi="Arial" w:cs="Arial"/>
                <w:color w:val="000000"/>
                <w:sz w:val="20"/>
              </w:rPr>
              <w:t>(iii) burglary in the first, second, or third degree;</w:t>
            </w:r>
          </w:p>
          <w:p w:rsidR="004729FB" w:rsidRDefault="004729FB" w:rsidP="00713DA5">
            <w:pPr>
              <w:spacing w:before="60" w:line="260" w:lineRule="atLeast"/>
              <w:ind w:left="460" w:right="360"/>
              <w:jc w:val="both"/>
            </w:pPr>
            <w:r>
              <w:rPr>
                <w:rFonts w:ascii="Arial" w:eastAsia="Arial" w:hAnsi="Arial" w:cs="Arial"/>
                <w:color w:val="000000"/>
                <w:sz w:val="20"/>
              </w:rPr>
              <w:t>(iv) carjacking or armed carjacking;</w:t>
            </w:r>
          </w:p>
          <w:p w:rsidR="004729FB" w:rsidRDefault="004729FB" w:rsidP="00713DA5">
            <w:pPr>
              <w:spacing w:before="60" w:line="260" w:lineRule="atLeast"/>
              <w:ind w:left="460" w:right="360"/>
              <w:jc w:val="both"/>
            </w:pPr>
            <w:r>
              <w:rPr>
                <w:rFonts w:ascii="Arial" w:eastAsia="Arial" w:hAnsi="Arial" w:cs="Arial"/>
                <w:color w:val="000000"/>
                <w:sz w:val="20"/>
              </w:rPr>
              <w:t>(v) escape in the first degree from a State correctional facility or a local correctional facility;</w:t>
            </w:r>
          </w:p>
          <w:p w:rsidR="004729FB" w:rsidRDefault="004729FB" w:rsidP="00713DA5">
            <w:pPr>
              <w:spacing w:before="60" w:line="260" w:lineRule="atLeast"/>
              <w:ind w:left="460" w:right="360"/>
              <w:jc w:val="both"/>
            </w:pPr>
            <w:r>
              <w:rPr>
                <w:rFonts w:ascii="Arial" w:eastAsia="Arial" w:hAnsi="Arial" w:cs="Arial"/>
                <w:color w:val="000000"/>
                <w:sz w:val="20"/>
              </w:rPr>
              <w:t>(vi) kidnapping under § 3-502 or § 3-503(a)(2) of this article;</w:t>
            </w:r>
          </w:p>
          <w:p w:rsidR="004729FB" w:rsidRDefault="004729FB" w:rsidP="00713DA5">
            <w:pPr>
              <w:spacing w:before="60" w:line="260" w:lineRule="atLeast"/>
              <w:ind w:left="460" w:right="360"/>
              <w:jc w:val="both"/>
            </w:pPr>
            <w:r>
              <w:rPr>
                <w:rFonts w:ascii="Arial" w:eastAsia="Arial" w:hAnsi="Arial" w:cs="Arial"/>
                <w:color w:val="000000"/>
                <w:sz w:val="20"/>
              </w:rPr>
              <w:t>(vii) mayhem;</w:t>
            </w:r>
          </w:p>
          <w:p w:rsidR="004729FB" w:rsidRDefault="004729FB" w:rsidP="00713DA5">
            <w:pPr>
              <w:spacing w:before="60" w:line="260" w:lineRule="atLeast"/>
              <w:ind w:left="460" w:right="360"/>
              <w:jc w:val="both"/>
            </w:pPr>
            <w:r>
              <w:rPr>
                <w:rFonts w:ascii="Arial" w:eastAsia="Arial" w:hAnsi="Arial" w:cs="Arial"/>
                <w:color w:val="000000"/>
                <w:sz w:val="20"/>
              </w:rPr>
              <w:t>(viii) rape;</w:t>
            </w:r>
          </w:p>
          <w:p w:rsidR="004729FB" w:rsidRDefault="004729FB" w:rsidP="00713DA5">
            <w:pPr>
              <w:spacing w:before="60" w:line="260" w:lineRule="atLeast"/>
              <w:ind w:left="460" w:right="360"/>
              <w:jc w:val="both"/>
            </w:pPr>
            <w:r>
              <w:rPr>
                <w:rFonts w:ascii="Arial" w:eastAsia="Arial" w:hAnsi="Arial" w:cs="Arial"/>
                <w:color w:val="000000"/>
                <w:sz w:val="20"/>
              </w:rPr>
              <w:t>(ix) robbery under § 3-402 or § 3-403 of this article;</w:t>
            </w:r>
          </w:p>
          <w:p w:rsidR="004729FB" w:rsidRDefault="004729FB" w:rsidP="00713DA5">
            <w:pPr>
              <w:spacing w:before="60" w:line="260" w:lineRule="atLeast"/>
              <w:ind w:left="460" w:right="360"/>
              <w:jc w:val="both"/>
            </w:pPr>
            <w:r>
              <w:rPr>
                <w:rFonts w:ascii="Arial" w:eastAsia="Arial" w:hAnsi="Arial" w:cs="Arial"/>
                <w:color w:val="000000"/>
                <w:sz w:val="20"/>
              </w:rPr>
              <w:t>(x) sexual offense in the first or second degree;</w:t>
            </w:r>
          </w:p>
          <w:p w:rsidR="004729FB" w:rsidRDefault="004729FB" w:rsidP="00713DA5">
            <w:pPr>
              <w:spacing w:before="60" w:line="260" w:lineRule="atLeast"/>
              <w:ind w:left="460" w:right="360"/>
              <w:jc w:val="both"/>
            </w:pPr>
            <w:r>
              <w:rPr>
                <w:rFonts w:ascii="Arial" w:eastAsia="Arial" w:hAnsi="Arial" w:cs="Arial"/>
                <w:color w:val="000000"/>
                <w:sz w:val="20"/>
              </w:rPr>
              <w:t>(xi) sodomy; or</w:t>
            </w:r>
          </w:p>
          <w:p w:rsidR="004729FB" w:rsidRDefault="004729FB" w:rsidP="00713DA5">
            <w:pPr>
              <w:spacing w:before="60" w:line="260" w:lineRule="atLeast"/>
              <w:ind w:left="460" w:right="360"/>
              <w:jc w:val="both"/>
            </w:pPr>
            <w:r>
              <w:rPr>
                <w:rFonts w:ascii="Arial" w:eastAsia="Arial" w:hAnsi="Arial" w:cs="Arial"/>
                <w:color w:val="000000"/>
                <w:sz w:val="20"/>
              </w:rPr>
              <w:t>(xii) violation of § 4-503 of this article concerning destructive devices.</w:t>
            </w:r>
          </w:p>
          <w:p w:rsidR="004729FB" w:rsidRDefault="004729FB" w:rsidP="00713DA5">
            <w:pPr>
              <w:spacing w:before="200" w:line="260" w:lineRule="atLeast"/>
              <w:ind w:left="60" w:right="360"/>
              <w:jc w:val="both"/>
            </w:pPr>
            <w:r>
              <w:rPr>
                <w:rFonts w:ascii="Arial" w:eastAsia="Arial" w:hAnsi="Arial" w:cs="Arial"/>
                <w:color w:val="000000"/>
                <w:sz w:val="20"/>
              </w:rPr>
              <w:t xml:space="preserve">A general causation issue accompanies the analysis of all offenses that require a specific result to flow from the actus reus. </w:t>
            </w:r>
            <w:r>
              <w:rPr>
                <w:rFonts w:ascii="Arial" w:eastAsia="Arial" w:hAnsi="Arial" w:cs="Arial"/>
                <w:i/>
                <w:color w:val="000000"/>
                <w:sz w:val="20"/>
              </w:rPr>
              <w:t xml:space="preserve">See </w:t>
            </w:r>
            <w:hyperlink r:id="rId1136" w:history="1">
              <w:r>
                <w:rPr>
                  <w:rFonts w:ascii="Arial" w:eastAsia="Arial" w:hAnsi="Arial" w:cs="Arial"/>
                  <w:i/>
                  <w:color w:val="0077CC"/>
                  <w:sz w:val="20"/>
                  <w:u w:val="single"/>
                </w:rPr>
                <w:t>Stewart v. State, 65 Md. App. 372, 377-86, 500 A.2d 676, 678-83 (1985),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305 Md. 599, 505 A.2d 856 (1986).</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WAYNE R. LAFAVE, CRIMINAL LAW § 6.4, at 350-80 (5th ed. 2010); ROLLIN M. PERKINS &amp; RONALD N. BOYCE, CRIMINAL LAW 67-69, 769-825 (3d ed. 1982). Causation is an issue of fact. </w:t>
            </w:r>
            <w:hyperlink r:id="rId1137" w:history="1">
              <w:r>
                <w:rPr>
                  <w:rFonts w:ascii="Arial" w:eastAsia="Arial" w:hAnsi="Arial" w:cs="Arial"/>
                  <w:i/>
                  <w:color w:val="0077CC"/>
                  <w:sz w:val="20"/>
                  <w:u w:val="single"/>
                </w:rPr>
                <w:t>Jackson v. State, 87 Md. App. 475, 488-89, 590 A.2d 177, 184 (1991).</w:t>
              </w:r>
            </w:hyperlink>
            <w:r>
              <w:rPr>
                <w:rFonts w:ascii="Arial" w:eastAsia="Arial" w:hAnsi="Arial" w:cs="Arial"/>
                <w:color w:val="000000"/>
                <w:sz w:val="20"/>
              </w:rPr>
              <w:t xml:space="preserve"> In </w:t>
            </w:r>
            <w:r>
              <w:rPr>
                <w:rFonts w:ascii="Arial" w:eastAsia="Arial" w:hAnsi="Arial" w:cs="Arial"/>
                <w:i/>
                <w:color w:val="000000"/>
                <w:sz w:val="20"/>
              </w:rPr>
              <w:t>Jackson</w:t>
            </w:r>
            <w:r>
              <w:rPr>
                <w:rFonts w:ascii="Arial" w:eastAsia="Arial" w:hAnsi="Arial" w:cs="Arial"/>
                <w:color w:val="000000"/>
                <w:sz w:val="20"/>
              </w:rPr>
              <w:t>, the Court of Special Appeals stated:</w:t>
            </w:r>
          </w:p>
          <w:p w:rsidR="004729FB" w:rsidRDefault="004729FB" w:rsidP="00713DA5">
            <w:pPr>
              <w:spacing w:before="60" w:line="260" w:lineRule="atLeast"/>
              <w:ind w:left="460" w:right="360"/>
              <w:jc w:val="both"/>
            </w:pPr>
            <w:r>
              <w:rPr>
                <w:rFonts w:ascii="Arial" w:eastAsia="Arial" w:hAnsi="Arial" w:cs="Arial"/>
                <w:color w:val="000000"/>
                <w:sz w:val="20"/>
              </w:rPr>
              <w:t>In the instant case, there is little doubt that the arson and the shooting were not mere coincidence. It is arguable that the only inference to be drawn from the gunshot is that it was intended to kill and that therefore the felony murder rule is just not applicable. But it is equally arguable that because the victim had telephoned to report the fire before being shot that the arson was linked to the death, i.e., the shooter was attempting to prevent the cessation of the fire, thus furthering the arson. In any event, whether the subject homicide "occurred as a result or outcome of the attempt to commit the felony" of arson is a matter that a jury will have to decide.</w:t>
            </w:r>
          </w:p>
          <w:p w:rsidR="004729FB" w:rsidRDefault="004729FB" w:rsidP="00713DA5">
            <w:pPr>
              <w:spacing w:before="240" w:line="260" w:lineRule="atLeast"/>
              <w:ind w:left="60" w:right="360"/>
              <w:jc w:val="both"/>
            </w:pPr>
            <w:hyperlink r:id="rId1138" w:history="1">
              <w:r>
                <w:rPr>
                  <w:rFonts w:ascii="Arial" w:eastAsia="Arial" w:hAnsi="Arial" w:cs="Arial"/>
                  <w:i/>
                  <w:color w:val="0077CC"/>
                  <w:sz w:val="20"/>
                  <w:u w:val="single"/>
                </w:rPr>
                <w:t>Id. at 489, 590 A.2d at 184.</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For felony murder, there are three special causation-related issues. The first issue is the required temporal correlation between the death-causing act and the underlying felony. Under the common law and Maryland statute, both the period of actual commission of the felony and the attempted commission of the felony are included. Thus, once the defendant has taken a substantial step toward the commission of the felony, the defendant is subject to felony murder. CRIM. LAW I, § 2-201(a)(4) (defining felony-murder as a killing committed in "the perpetration of or an attempt to perpetrate" a felony); </w:t>
            </w:r>
            <w:hyperlink r:id="rId1139" w:history="1">
              <w:r>
                <w:rPr>
                  <w:rFonts w:ascii="Arial" w:eastAsia="Arial" w:hAnsi="Arial" w:cs="Arial"/>
                  <w:i/>
                  <w:color w:val="0077CC"/>
                  <w:sz w:val="20"/>
                  <w:u w:val="single"/>
                </w:rPr>
                <w:t>Roary v. State, 385 Md. 217, 227, 867 A.2d 1095, 1101 (2005),</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1140" w:history="1">
              <w:r>
                <w:rPr>
                  <w:rFonts w:ascii="Arial" w:eastAsia="Arial" w:hAnsi="Arial" w:cs="Arial"/>
                  <w:i/>
                  <w:color w:val="0077CC"/>
                  <w:sz w:val="20"/>
                  <w:u w:val="single"/>
                </w:rPr>
                <w:t>State v. Jones, 451 Md. 680, 155 A.3d 492 (2017);</w:t>
              </w:r>
            </w:hyperlink>
            <w:r>
              <w:rPr>
                <w:rFonts w:ascii="Arial" w:eastAsia="Arial" w:hAnsi="Arial" w:cs="Arial"/>
                <w:color w:val="000000"/>
                <w:sz w:val="20"/>
              </w:rPr>
              <w:t xml:space="preserve"> </w:t>
            </w:r>
            <w:r>
              <w:rPr>
                <w:rFonts w:ascii="Arial" w:eastAsia="Arial" w:hAnsi="Arial" w:cs="Arial"/>
                <w:i/>
                <w:color w:val="000000"/>
                <w:sz w:val="20"/>
              </w:rPr>
              <w:t>accord</w:t>
            </w:r>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14.5, at 797; PERKINS &amp; BOYCE, </w:t>
            </w:r>
            <w:r>
              <w:rPr>
                <w:rFonts w:ascii="Arial" w:eastAsia="Arial" w:hAnsi="Arial" w:cs="Arial"/>
                <w:i/>
                <w:color w:val="000000"/>
                <w:sz w:val="20"/>
              </w:rPr>
              <w:t>supra</w:t>
            </w:r>
            <w:r>
              <w:rPr>
                <w:rFonts w:ascii="Arial" w:eastAsia="Arial" w:hAnsi="Arial" w:cs="Arial"/>
                <w:color w:val="000000"/>
                <w:sz w:val="20"/>
              </w:rPr>
              <w:t>, at 67.</w:t>
            </w:r>
          </w:p>
          <w:p w:rsidR="004729FB" w:rsidRDefault="004729FB" w:rsidP="00713DA5">
            <w:pPr>
              <w:spacing w:before="240" w:line="260" w:lineRule="atLeast"/>
              <w:ind w:left="60" w:right="360"/>
              <w:jc w:val="both"/>
            </w:pPr>
            <w:r>
              <w:rPr>
                <w:rFonts w:ascii="Arial" w:eastAsia="Arial" w:hAnsi="Arial" w:cs="Arial"/>
                <w:color w:val="000000"/>
                <w:sz w:val="20"/>
              </w:rPr>
              <w:t xml:space="preserve">Less clear, however, is when the felony terminates, such that any subsequent death-causing act does not constitute murder under the felony murder theory. If the death causing act is part of the res gestae, the act is one that constitutes an immediate accompaniment of the felony and is so closely connected with the felony that it becomes part of it. Although removal from the actual felony, in both time and distance, is relevant, as long as the transaction of the felony is continuous, acts emanating from the felony become a part of it. </w:t>
            </w:r>
            <w:hyperlink r:id="rId1141" w:history="1">
              <w:r>
                <w:rPr>
                  <w:rFonts w:ascii="Arial" w:eastAsia="Arial" w:hAnsi="Arial" w:cs="Arial"/>
                  <w:i/>
                  <w:color w:val="0077CC"/>
                  <w:sz w:val="20"/>
                  <w:u w:val="single"/>
                </w:rPr>
                <w:t>Stevens v. State, 232 Md. 33, 40, 192 A.2d 73, 77-78,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375 U.S. 886 (1963);</w:t>
            </w:r>
            <w:r>
              <w:rPr>
                <w:rFonts w:ascii="Arial" w:eastAsia="Arial" w:hAnsi="Arial" w:cs="Arial"/>
                <w:color w:val="000000"/>
                <w:sz w:val="20"/>
              </w:rPr>
              <w:t xml:space="preserve"> </w:t>
            </w:r>
            <w:hyperlink r:id="rId1142" w:history="1">
              <w:r>
                <w:rPr>
                  <w:rFonts w:ascii="Arial" w:eastAsia="Arial" w:hAnsi="Arial" w:cs="Arial"/>
                  <w:i/>
                  <w:color w:val="0077CC"/>
                  <w:sz w:val="20"/>
                  <w:u w:val="single"/>
                </w:rPr>
                <w:t>Jeter v. State, 9 Md. App. 575, 581, 267 A.2d 319, 323 (1970)</w:t>
              </w:r>
            </w:hyperlink>
            <w:r>
              <w:rPr>
                <w:rFonts w:ascii="Arial" w:eastAsia="Arial" w:hAnsi="Arial" w:cs="Arial"/>
                <w:color w:val="000000"/>
                <w:sz w:val="20"/>
              </w:rPr>
              <w:t xml:space="preserve"> ("[A]ppellant may not escape legal liability for acts that occur within that same continuous criminal transaction, especially when, as here, the transaction continues without an intervening hiatus."), </w:t>
            </w:r>
            <w:r>
              <w:rPr>
                <w:rFonts w:ascii="Arial" w:eastAsia="Arial" w:hAnsi="Arial" w:cs="Arial"/>
                <w:i/>
                <w:color w:val="000000"/>
                <w:sz w:val="20"/>
              </w:rPr>
              <w:t>aff'd</w:t>
            </w:r>
            <w:r>
              <w:rPr>
                <w:rFonts w:ascii="Arial" w:eastAsia="Arial" w:hAnsi="Arial" w:cs="Arial"/>
                <w:color w:val="000000"/>
                <w:sz w:val="20"/>
              </w:rPr>
              <w:t xml:space="preserve">, </w:t>
            </w:r>
            <w:hyperlink r:id="rId1143" w:history="1">
              <w:r>
                <w:rPr>
                  <w:rFonts w:ascii="Arial" w:eastAsia="Arial" w:hAnsi="Arial" w:cs="Arial"/>
                  <w:i/>
                  <w:color w:val="0077CC"/>
                  <w:sz w:val="20"/>
                  <w:u w:val="single"/>
                </w:rPr>
                <w:t>261 Md. 221, 274 A.2d 337 (1971).</w:t>
              </w:r>
            </w:hyperlink>
            <w:r>
              <w:rPr>
                <w:rFonts w:ascii="Arial" w:eastAsia="Arial" w:hAnsi="Arial" w:cs="Arial"/>
                <w:color w:val="000000"/>
                <w:sz w:val="20"/>
              </w:rPr>
              <w:t xml:space="preserve"> This includes the period of effectuating the escape from the felony. </w:t>
            </w:r>
            <w:hyperlink r:id="rId1144" w:history="1">
              <w:r>
                <w:rPr>
                  <w:rFonts w:ascii="Arial" w:eastAsia="Arial" w:hAnsi="Arial" w:cs="Arial"/>
                  <w:i/>
                  <w:color w:val="0077CC"/>
                  <w:sz w:val="20"/>
                  <w:u w:val="single"/>
                </w:rPr>
                <w:t>Jackson v. State, 286 Md. 430, 441 n.4, 408 A.2d 711, 718 n.4 (1979);</w:t>
              </w:r>
            </w:hyperlink>
            <w:r>
              <w:rPr>
                <w:rFonts w:ascii="Arial" w:eastAsia="Arial" w:hAnsi="Arial" w:cs="Arial"/>
                <w:color w:val="000000"/>
                <w:sz w:val="20"/>
              </w:rPr>
              <w:t xml:space="preserve"> </w:t>
            </w:r>
            <w:r>
              <w:rPr>
                <w:rFonts w:ascii="Arial" w:eastAsia="Arial" w:hAnsi="Arial" w:cs="Arial"/>
                <w:i/>
                <w:color w:val="000000"/>
                <w:sz w:val="20"/>
              </w:rPr>
              <w:t xml:space="preserve">cf. </w:t>
            </w:r>
            <w:hyperlink r:id="rId1145" w:history="1">
              <w:r>
                <w:rPr>
                  <w:rFonts w:ascii="Arial" w:eastAsia="Arial" w:hAnsi="Arial" w:cs="Arial"/>
                  <w:i/>
                  <w:color w:val="0077CC"/>
                  <w:sz w:val="20"/>
                  <w:u w:val="single"/>
                </w:rPr>
                <w:t>Stevenson v. State, 287 Md. 504, 514-15, 413 A.2d 1340, 1346 (1980)</w:t>
              </w:r>
            </w:hyperlink>
            <w:r>
              <w:rPr>
                <w:rFonts w:ascii="Arial" w:eastAsia="Arial" w:hAnsi="Arial" w:cs="Arial"/>
                <w:color w:val="000000"/>
                <w:sz w:val="20"/>
              </w:rPr>
              <w:t xml:space="preserve"> (discussing when a crime is </w:t>
            </w:r>
            <w:r>
              <w:rPr>
                <w:rFonts w:ascii="Arial" w:eastAsia="Arial" w:hAnsi="Arial" w:cs="Arial"/>
                <w:color w:val="000000"/>
                <w:sz w:val="20"/>
              </w:rPr>
              <w:lastRenderedPageBreak/>
              <w:t>complete for purposes of being committed in the arresting officer's presence).</w:t>
            </w:r>
          </w:p>
          <w:p w:rsidR="004729FB" w:rsidRDefault="004729FB" w:rsidP="00713DA5">
            <w:pPr>
              <w:spacing w:before="200" w:line="260" w:lineRule="atLeast"/>
              <w:ind w:left="60" w:right="360"/>
              <w:jc w:val="both"/>
            </w:pPr>
            <w:r>
              <w:rPr>
                <w:rFonts w:ascii="Arial" w:eastAsia="Arial" w:hAnsi="Arial" w:cs="Arial"/>
                <w:color w:val="000000"/>
                <w:sz w:val="20"/>
              </w:rPr>
              <w:t xml:space="preserve">The second special causation issue is the foreseeability to the other co-felon(s) of the underlying felony being committed by one of the felons. Each participating felon is deemed to be the agent of each other and therefore is usually guilty of murder when any one of the felons does the killing. </w:t>
            </w:r>
            <w:hyperlink r:id="rId1146" w:history="1">
              <w:r>
                <w:rPr>
                  <w:rFonts w:ascii="Arial" w:eastAsia="Arial" w:hAnsi="Arial" w:cs="Arial"/>
                  <w:i/>
                  <w:color w:val="0077CC"/>
                  <w:sz w:val="20"/>
                  <w:u w:val="single"/>
                </w:rPr>
                <w:t>Campbell, 293 Md. at 443-45, 444 A.2d at 1037-38.</w:t>
              </w:r>
            </w:hyperlink>
            <w:r>
              <w:rPr>
                <w:rFonts w:ascii="Arial" w:eastAsia="Arial" w:hAnsi="Arial" w:cs="Arial"/>
                <w:color w:val="000000"/>
                <w:sz w:val="20"/>
              </w:rPr>
              <w:t xml:space="preserve"> However, the responsibility of one felon for the act of a co-felon is limited to acts that naturally and necessarily flow from the common design and are in furtherance of, or pursuant to, that design. Accordingly, there is no criminal liability on the part of the others when the homicide of one co-felon is the product of a fresh and independent design that is outside of, or foreign to, the common design. </w:t>
            </w:r>
            <w:hyperlink r:id="rId1147" w:history="1">
              <w:r>
                <w:rPr>
                  <w:rFonts w:ascii="Arial" w:eastAsia="Arial" w:hAnsi="Arial" w:cs="Arial"/>
                  <w:i/>
                  <w:color w:val="0077CC"/>
                  <w:sz w:val="20"/>
                  <w:u w:val="single"/>
                </w:rPr>
                <w:t>Mumford, 19 Md. App. at 644, 313 A.2d at 566.</w:t>
              </w:r>
            </w:hyperlink>
            <w:r>
              <w:rPr>
                <w:rFonts w:ascii="Arial" w:eastAsia="Arial" w:hAnsi="Arial" w:cs="Arial"/>
                <w:color w:val="000000"/>
                <w:sz w:val="20"/>
              </w:rPr>
              <w:t xml:space="preserve"> In </w:t>
            </w:r>
            <w:r>
              <w:rPr>
                <w:rFonts w:ascii="Arial" w:eastAsia="Arial" w:hAnsi="Arial" w:cs="Arial"/>
                <w:i/>
                <w:color w:val="000000"/>
                <w:sz w:val="20"/>
              </w:rPr>
              <w:t>Mumford</w:t>
            </w:r>
            <w:r>
              <w:rPr>
                <w:rFonts w:ascii="Arial" w:eastAsia="Arial" w:hAnsi="Arial" w:cs="Arial"/>
                <w:color w:val="000000"/>
                <w:sz w:val="20"/>
              </w:rPr>
              <w:t xml:space="preserve">, two of five co-felons on a burglary, larceny, assault, and robbery spree raped the victim. </w:t>
            </w:r>
            <w:r>
              <w:rPr>
                <w:rFonts w:ascii="Arial" w:eastAsia="Arial" w:hAnsi="Arial" w:cs="Arial"/>
                <w:i/>
                <w:color w:val="000000"/>
                <w:sz w:val="20"/>
              </w:rPr>
              <w:t>Id.</w:t>
            </w:r>
            <w:r>
              <w:rPr>
                <w:rFonts w:ascii="Arial" w:eastAsia="Arial" w:hAnsi="Arial" w:cs="Arial"/>
                <w:color w:val="000000"/>
                <w:sz w:val="20"/>
              </w:rPr>
              <w:t xml:space="preserve"> at 641-42, 313 A.2d at 565. The Court of Special Appeals held that the jury should have been presented with the factual issue of whether the rape caused the death and, if so, whether rape was part of the common design. </w:t>
            </w:r>
            <w:r>
              <w:rPr>
                <w:rFonts w:ascii="Arial" w:eastAsia="Arial" w:hAnsi="Arial" w:cs="Arial"/>
                <w:i/>
                <w:color w:val="000000"/>
                <w:sz w:val="20"/>
              </w:rPr>
              <w:t>Id.</w:t>
            </w:r>
            <w:r>
              <w:rPr>
                <w:rFonts w:ascii="Arial" w:eastAsia="Arial" w:hAnsi="Arial" w:cs="Arial"/>
                <w:color w:val="000000"/>
                <w:sz w:val="20"/>
              </w:rPr>
              <w:t xml:space="preserve"> at 644, 313 A.2d at 566. A co-felon, who is not the homicidal agent, is only entitled to a </w:t>
            </w:r>
            <w:r>
              <w:rPr>
                <w:rFonts w:ascii="Arial" w:eastAsia="Arial" w:hAnsi="Arial" w:cs="Arial"/>
                <w:i/>
                <w:color w:val="000000"/>
                <w:sz w:val="20"/>
              </w:rPr>
              <w:t>Mumford</w:t>
            </w:r>
            <w:r>
              <w:rPr>
                <w:rFonts w:ascii="Arial" w:eastAsia="Arial" w:hAnsi="Arial" w:cs="Arial"/>
                <w:color w:val="000000"/>
                <w:sz w:val="20"/>
              </w:rPr>
              <w:t xml:space="preserve"> instruction if there is evidence suggesting a lack of causal connection between the felony( ies) of the common design and the homicide. </w:t>
            </w:r>
            <w:hyperlink r:id="rId1148" w:history="1">
              <w:r>
                <w:rPr>
                  <w:rFonts w:ascii="Arial" w:eastAsia="Arial" w:hAnsi="Arial" w:cs="Arial"/>
                  <w:i/>
                  <w:color w:val="0077CC"/>
                  <w:sz w:val="20"/>
                  <w:u w:val="single"/>
                </w:rPr>
                <w:t>Scott v. State, 49 Md. App. 70, 81-82, 430 A.2d 615, 621-22,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149" w:history="1">
              <w:r>
                <w:rPr>
                  <w:rFonts w:ascii="Arial" w:eastAsia="Arial" w:hAnsi="Arial" w:cs="Arial"/>
                  <w:i/>
                  <w:color w:val="0077CC"/>
                  <w:sz w:val="20"/>
                  <w:u w:val="single"/>
                </w:rPr>
                <w:t>291 Md. 781 (1981);</w:t>
              </w:r>
            </w:hyperlink>
            <w:r>
              <w:rPr>
                <w:rFonts w:ascii="Arial" w:eastAsia="Arial" w:hAnsi="Arial" w:cs="Arial"/>
                <w:color w:val="000000"/>
                <w:sz w:val="20"/>
              </w:rPr>
              <w:t xml:space="preserve"> </w:t>
            </w:r>
            <w:hyperlink r:id="rId1150" w:history="1">
              <w:r>
                <w:rPr>
                  <w:rFonts w:ascii="Arial" w:eastAsia="Arial" w:hAnsi="Arial" w:cs="Arial"/>
                  <w:i/>
                  <w:color w:val="0077CC"/>
                  <w:sz w:val="20"/>
                  <w:u w:val="single"/>
                </w:rPr>
                <w:t>Warren v. State, 29 Md. App. 560, 574-76, 350 A.2d 173, 182-83,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738 (1976).</w:t>
            </w:r>
          </w:p>
          <w:p w:rsidR="004729FB" w:rsidRDefault="004729FB" w:rsidP="00713DA5">
            <w:pPr>
              <w:spacing w:before="240" w:line="260" w:lineRule="atLeast"/>
              <w:ind w:left="60" w:right="360"/>
              <w:jc w:val="both"/>
            </w:pPr>
            <w:r>
              <w:rPr>
                <w:rFonts w:ascii="Arial" w:eastAsia="Arial" w:hAnsi="Arial" w:cs="Arial"/>
                <w:color w:val="000000"/>
                <w:sz w:val="20"/>
              </w:rPr>
              <w:t xml:space="preserve">The final special causation issue is whether the felons are liable for a killing committed by someone who is not a co-felon. The Court of Appeals resolved this issue by rejecting the proximate cause theory of felony murder in favor of the agency theory. </w:t>
            </w:r>
            <w:hyperlink r:id="rId1151" w:history="1">
              <w:r>
                <w:rPr>
                  <w:rFonts w:ascii="Arial" w:eastAsia="Arial" w:hAnsi="Arial" w:cs="Arial"/>
                  <w:i/>
                  <w:color w:val="0077CC"/>
                  <w:sz w:val="20"/>
                  <w:u w:val="single"/>
                </w:rPr>
                <w:t>Campbell, 293 Md. at 442-51, 444 A.2d at 1037-41.</w:t>
              </w:r>
            </w:hyperlink>
            <w:r>
              <w:rPr>
                <w:rFonts w:ascii="Arial" w:eastAsia="Arial" w:hAnsi="Arial" w:cs="Arial"/>
                <w:color w:val="000000"/>
                <w:sz w:val="20"/>
              </w:rPr>
              <w:t xml:space="preserve"> Under the proximate cause theory, which was rejected by </w:t>
            </w:r>
            <w:r>
              <w:rPr>
                <w:rFonts w:ascii="Arial" w:eastAsia="Arial" w:hAnsi="Arial" w:cs="Arial"/>
                <w:i/>
                <w:color w:val="000000"/>
                <w:sz w:val="20"/>
              </w:rPr>
              <w:t>Campbell</w:t>
            </w:r>
            <w:r>
              <w:rPr>
                <w:rFonts w:ascii="Arial" w:eastAsia="Arial" w:hAnsi="Arial" w:cs="Arial"/>
                <w:color w:val="000000"/>
                <w:sz w:val="20"/>
              </w:rPr>
              <w:t xml:space="preserve">, all felons are liable for the lethal acts of non-felons because the felons set in motion the felony that occasioned the death. </w:t>
            </w:r>
            <w:hyperlink r:id="rId1152" w:history="1">
              <w:r>
                <w:rPr>
                  <w:rFonts w:ascii="Arial" w:eastAsia="Arial" w:hAnsi="Arial" w:cs="Arial"/>
                  <w:i/>
                  <w:color w:val="0077CC"/>
                  <w:sz w:val="20"/>
                  <w:u w:val="single"/>
                </w:rPr>
                <w:t>Id. at 447-59, 444 A.2d at 1039-40.</w:t>
              </w:r>
            </w:hyperlink>
            <w:r>
              <w:rPr>
                <w:rFonts w:ascii="Arial" w:eastAsia="Arial" w:hAnsi="Arial" w:cs="Arial"/>
                <w:color w:val="000000"/>
                <w:sz w:val="20"/>
              </w:rPr>
              <w:t xml:space="preserve"> The Court determined that although this theory was sufficient under the tort concept of causal connection, murder liability requires a closer and more direct causal connection between the underlying felony and the killing. </w:t>
            </w:r>
            <w:hyperlink r:id="rId1153" w:history="1">
              <w:r>
                <w:rPr>
                  <w:rFonts w:ascii="Arial" w:eastAsia="Arial" w:hAnsi="Arial" w:cs="Arial"/>
                  <w:i/>
                  <w:color w:val="0077CC"/>
                  <w:sz w:val="20"/>
                  <w:u w:val="single"/>
                </w:rPr>
                <w:t>Id. at 449-51, 444 A.2d at 1040-41.</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Under the agency theory, a felon cannot be guilty of murder unless the homicidal act is actually or constructively the act of the co-felons. </w:t>
            </w:r>
            <w:hyperlink r:id="rId1154" w:history="1">
              <w:r>
                <w:rPr>
                  <w:rFonts w:ascii="Arial" w:eastAsia="Arial" w:hAnsi="Arial" w:cs="Arial"/>
                  <w:i/>
                  <w:color w:val="0077CC"/>
                  <w:sz w:val="20"/>
                  <w:u w:val="single"/>
                </w:rPr>
                <w:t>Id. at 443-45, 444 A.2d at 1037-39.</w:t>
              </w:r>
            </w:hyperlink>
            <w:r>
              <w:rPr>
                <w:rFonts w:ascii="Arial" w:eastAsia="Arial" w:hAnsi="Arial" w:cs="Arial"/>
                <w:color w:val="000000"/>
                <w:sz w:val="20"/>
              </w:rPr>
              <w:t xml:space="preserve"> This requires that the killing be committed by the defendant or by one acting in concert with the defendant in furtherance of the common design. </w:t>
            </w:r>
            <w:hyperlink r:id="rId1155" w:history="1">
              <w:r>
                <w:rPr>
                  <w:rFonts w:ascii="Arial" w:eastAsia="Arial" w:hAnsi="Arial" w:cs="Arial"/>
                  <w:i/>
                  <w:color w:val="0077CC"/>
                  <w:sz w:val="20"/>
                  <w:u w:val="single"/>
                </w:rPr>
                <w:t>Id. at 445, 444 A.2d at 1038.</w:t>
              </w:r>
            </w:hyperlink>
            <w:r>
              <w:rPr>
                <w:rFonts w:ascii="Arial" w:eastAsia="Arial" w:hAnsi="Arial" w:cs="Arial"/>
                <w:color w:val="000000"/>
                <w:sz w:val="20"/>
              </w:rPr>
              <w:t xml:space="preserve"> Thus, none of the felons is guilty of murder when a police officer, victim, or bystander kills a police officer, victim, bystander, or codefendant, because the homicidal agents are direct and immediate adversaries of the felon(s) and are engaged in resisting, not furthering, the design of the felon(s). </w:t>
            </w:r>
            <w:r>
              <w:rPr>
                <w:rFonts w:ascii="Arial" w:eastAsia="Arial" w:hAnsi="Arial" w:cs="Arial"/>
                <w:i/>
                <w:color w:val="000000"/>
                <w:sz w:val="20"/>
              </w:rPr>
              <w:t xml:space="preserve">See </w:t>
            </w:r>
            <w:hyperlink r:id="rId1156" w:history="1">
              <w:r>
                <w:rPr>
                  <w:rFonts w:ascii="Arial" w:eastAsia="Arial" w:hAnsi="Arial" w:cs="Arial"/>
                  <w:i/>
                  <w:color w:val="0077CC"/>
                  <w:sz w:val="20"/>
                  <w:u w:val="single"/>
                </w:rPr>
                <w:t>id. at 445-47, 444 A.2d at 1039;</w:t>
              </w:r>
            </w:hyperlink>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John A. Roberts, Note, </w:t>
            </w:r>
            <w:r>
              <w:rPr>
                <w:rFonts w:ascii="Arial" w:eastAsia="Arial" w:hAnsi="Arial" w:cs="Arial"/>
                <w:i/>
                <w:color w:val="000000"/>
                <w:sz w:val="20"/>
              </w:rPr>
              <w:t>Felon Is Culpable for Murder in the First Degree under Maryland's Felony-Murder Statute When Police Officer Kills Kidnapped Hostage Used by Felon as Human Shield</w:t>
            </w:r>
            <w:r>
              <w:rPr>
                <w:rFonts w:ascii="Arial" w:eastAsia="Arial" w:hAnsi="Arial" w:cs="Arial"/>
                <w:color w:val="000000"/>
                <w:sz w:val="20"/>
              </w:rPr>
              <w:t xml:space="preserve">, 9 U. BALT. L. REV. 508, 513-15 (1980). However, the Court of Appeals did adopt the proximate cause theory for "human shield" cases, holding that the use of a victim as a shield or the placement of a victim in a position of danger constitutes a direct lethal act of the felon. </w:t>
            </w:r>
            <w:hyperlink r:id="rId1157" w:history="1">
              <w:r>
                <w:rPr>
                  <w:rFonts w:ascii="Arial" w:eastAsia="Arial" w:hAnsi="Arial" w:cs="Arial"/>
                  <w:i/>
                  <w:color w:val="0077CC"/>
                  <w:sz w:val="20"/>
                  <w:u w:val="single"/>
                </w:rPr>
                <w:t>Jackson, 286 Md. at 439-43, 408 A.2d at 717-19;</w:t>
              </w:r>
            </w:hyperlink>
            <w:r>
              <w:rPr>
                <w:rFonts w:ascii="Arial" w:eastAsia="Arial" w:hAnsi="Arial" w:cs="Arial"/>
                <w:color w:val="000000"/>
                <w:sz w:val="20"/>
              </w:rPr>
              <w:t xml:space="preserve"> </w:t>
            </w:r>
            <w:r>
              <w:rPr>
                <w:rFonts w:ascii="Arial" w:eastAsia="Arial" w:hAnsi="Arial" w:cs="Arial"/>
                <w:i/>
                <w:color w:val="000000"/>
                <w:sz w:val="20"/>
              </w:rPr>
              <w:t xml:space="preserve">accord </w:t>
            </w:r>
            <w:hyperlink r:id="rId1158" w:history="1">
              <w:r>
                <w:rPr>
                  <w:rFonts w:ascii="Arial" w:eastAsia="Arial" w:hAnsi="Arial" w:cs="Arial"/>
                  <w:i/>
                  <w:color w:val="0077CC"/>
                  <w:sz w:val="20"/>
                  <w:u w:val="single"/>
                </w:rPr>
                <w:t>Campbell, 293 Md. at 451 n.3, 444 A.2d at 1041-42 n.3.</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Roberts, </w:t>
            </w:r>
            <w:r>
              <w:rPr>
                <w:rFonts w:ascii="Arial" w:eastAsia="Arial" w:hAnsi="Arial" w:cs="Arial"/>
                <w:i/>
                <w:color w:val="000000"/>
                <w:sz w:val="20"/>
              </w:rPr>
              <w:t>supra</w:t>
            </w:r>
            <w:r>
              <w:rPr>
                <w:rFonts w:ascii="Arial" w:eastAsia="Arial" w:hAnsi="Arial" w:cs="Arial"/>
                <w:color w:val="000000"/>
                <w:sz w:val="20"/>
              </w:rPr>
              <w:t>.</w:t>
            </w:r>
          </w:p>
          <w:p w:rsidR="004729FB" w:rsidRDefault="004729FB" w:rsidP="00713DA5">
            <w:pPr>
              <w:spacing w:before="240" w:line="260" w:lineRule="atLeast"/>
              <w:ind w:left="60" w:right="360"/>
              <w:jc w:val="both"/>
            </w:pPr>
            <w:r>
              <w:rPr>
                <w:rFonts w:ascii="Arial" w:eastAsia="Arial" w:hAnsi="Arial" w:cs="Arial"/>
                <w:color w:val="000000"/>
                <w:sz w:val="20"/>
              </w:rPr>
              <w:t xml:space="preserve">The underlying felony merges into the felony murder. </w:t>
            </w:r>
            <w:hyperlink r:id="rId1159" w:history="1">
              <w:r>
                <w:rPr>
                  <w:rFonts w:ascii="Arial" w:eastAsia="Arial" w:hAnsi="Arial" w:cs="Arial"/>
                  <w:i/>
                  <w:color w:val="0077CC"/>
                  <w:sz w:val="20"/>
                  <w:u w:val="single"/>
                </w:rPr>
                <w:t>Newton v. State, 280 Md. 260, 373 A.2d 262 (1977).</w:t>
              </w:r>
            </w:hyperlink>
            <w:r>
              <w:rPr>
                <w:rFonts w:ascii="Arial" w:eastAsia="Arial" w:hAnsi="Arial" w:cs="Arial"/>
                <w:color w:val="000000"/>
                <w:sz w:val="20"/>
              </w:rPr>
              <w:t xml:space="preserve"> If instructions are given on both felony murder under CRIM. LAW I § 2-201(a)(4) and on premeditated murder under § 2-201(a)(1), the felony merges into the murder unless the jury specifically finds guilt, beyond a reasonable doubt, under § 2-201(a)(1). </w:t>
            </w:r>
            <w:hyperlink r:id="rId1160" w:history="1">
              <w:r>
                <w:rPr>
                  <w:rFonts w:ascii="Arial" w:eastAsia="Arial" w:hAnsi="Arial" w:cs="Arial"/>
                  <w:i/>
                  <w:color w:val="0077CC"/>
                  <w:sz w:val="20"/>
                  <w:u w:val="single"/>
                </w:rPr>
                <w:t>State v. Frye, 283 Md. 709, 393 A.2d 1372 (1978);</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161" w:history="1">
              <w:r>
                <w:rPr>
                  <w:rFonts w:ascii="Arial" w:eastAsia="Arial" w:hAnsi="Arial" w:cs="Arial"/>
                  <w:i/>
                  <w:color w:val="0077CC"/>
                  <w:sz w:val="20"/>
                  <w:u w:val="single"/>
                </w:rPr>
                <w:t>Jordan v. State, 82 Md. App. 225, 245, 571 A.2d 238, 248 (1990),</w:t>
              </w:r>
            </w:hyperlink>
            <w:r>
              <w:rPr>
                <w:rFonts w:ascii="Arial" w:eastAsia="Arial" w:hAnsi="Arial" w:cs="Arial"/>
                <w:color w:val="000000"/>
                <w:sz w:val="20"/>
              </w:rPr>
              <w:t xml:space="preserve"> </w:t>
            </w:r>
            <w:r>
              <w:rPr>
                <w:rFonts w:ascii="Arial" w:eastAsia="Arial" w:hAnsi="Arial" w:cs="Arial"/>
                <w:i/>
                <w:color w:val="000000"/>
                <w:sz w:val="20"/>
              </w:rPr>
              <w:t>aff'd in part, rev'd in part</w:t>
            </w:r>
            <w:r>
              <w:rPr>
                <w:rFonts w:ascii="Arial" w:eastAsia="Arial" w:hAnsi="Arial" w:cs="Arial"/>
                <w:color w:val="000000"/>
                <w:sz w:val="20"/>
              </w:rPr>
              <w:t xml:space="preserve">, </w:t>
            </w:r>
            <w:hyperlink r:id="rId1162" w:history="1">
              <w:r>
                <w:rPr>
                  <w:rFonts w:ascii="Arial" w:eastAsia="Arial" w:hAnsi="Arial" w:cs="Arial"/>
                  <w:i/>
                  <w:color w:val="0077CC"/>
                  <w:sz w:val="20"/>
                  <w:u w:val="single"/>
                </w:rPr>
                <w:t>323 Md. 151, 591 A.2d 875 (1991).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This instruction was updated in June 2018 in order to clarify that felony murder can only be charged based on specific underlying felonies enumerated in CRIM. LAW I § 2-201(a)(4). </w:t>
            </w:r>
            <w:r>
              <w:rPr>
                <w:rFonts w:ascii="Arial" w:eastAsia="Arial" w:hAnsi="Arial" w:cs="Arial"/>
                <w:i/>
                <w:color w:val="000000"/>
                <w:sz w:val="20"/>
              </w:rPr>
              <w:t xml:space="preserve">Cf. </w:t>
            </w:r>
            <w:hyperlink r:id="rId1163" w:history="1">
              <w:r>
                <w:rPr>
                  <w:rFonts w:ascii="Arial" w:eastAsia="Arial" w:hAnsi="Arial" w:cs="Arial"/>
                  <w:i/>
                  <w:color w:val="0077CC"/>
                  <w:sz w:val="20"/>
                  <w:u w:val="single"/>
                </w:rPr>
                <w:t>State v. Johnson, 442 Md. 211, 221, 112 A.3d 383 (2015)</w:t>
              </w:r>
            </w:hyperlink>
            <w:r>
              <w:rPr>
                <w:rFonts w:ascii="Arial" w:eastAsia="Arial" w:hAnsi="Arial" w:cs="Arial"/>
                <w:color w:val="000000"/>
                <w:sz w:val="20"/>
              </w:rPr>
              <w:t xml:space="preserve"> (noting that first-degree felony murder occurs "if it is 'committed in the perpetration of or an attempt to perpetrate' one of the twelve enumerated felonies" (quoting CRIM. LAW I § 2-201(a)(4))).</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39" style="position:absolute;z-index:25186201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4:02, MPJI-Cr 4:17.6.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49" style="position:absolute;left:0;text-align:left;z-index:2518722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4" name="Picture 7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170" w:history="1">
        <w:r>
          <w:rPr>
            <w:rFonts w:ascii="Arial" w:eastAsia="Arial" w:hAnsi="Arial" w:cs="Arial"/>
            <w:b/>
            <w:bCs/>
            <w:i/>
            <w:color w:val="0077CC"/>
            <w:kern w:val="32"/>
            <w:sz w:val="28"/>
            <w:szCs w:val="32"/>
            <w:u w:val="single"/>
          </w:rPr>
          <w:t>MPJI-Cr 4:17.7.1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HOMICIDE--FIRST DEGREE FELONY MURDER, AFTERTHOUGHT ROBBERY</w:t>
      </w:r>
    </w:p>
    <w:p w:rsidR="004729FB" w:rsidRDefault="004729FB" w:rsidP="004729FB">
      <w:pPr>
        <w:keepNext/>
        <w:spacing w:before="240" w:line="340" w:lineRule="atLeast"/>
      </w:pPr>
      <w:r>
        <w:br/>
      </w:r>
      <w:r>
        <w:rPr>
          <w:rFonts w:ascii="Arial" w:eastAsia="Arial" w:hAnsi="Arial" w:cs="Arial"/>
          <w:b/>
          <w:color w:val="000000"/>
          <w:sz w:val="28"/>
        </w:rPr>
        <w:t>4:17.7.1Homicide--First Degree Felony Murder, Afterthought Robbery</w:t>
      </w:r>
    </w:p>
    <w:p w:rsidR="004729FB" w:rsidRDefault="004729FB" w:rsidP="004729FB">
      <w:pPr>
        <w:spacing w:line="60" w:lineRule="exact"/>
      </w:pPr>
      <w:r>
        <w:pict>
          <v:line id="_x0000_s1230" style="position:absolute;z-index:25185280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first degree felony murder. Felony murder does not require the State to prove that the defendant intended to kill the person who was killed. In order to convict the defendant of first degree felony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[another participating in the crime with the defendant]] [[committed] [attempted to commit]] a robbery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[another participating in the crime] killed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had the intent to commit the robbery before or at the same time as the act causing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the act resulting in the death of (</w:t>
      </w:r>
      <w:r>
        <w:rPr>
          <w:rFonts w:ascii="Arial" w:eastAsia="Arial" w:hAnsi="Arial" w:cs="Arial"/>
          <w:b/>
          <w:color w:val="000000"/>
          <w:sz w:val="20"/>
          <w:u w:val="single"/>
        </w:rPr>
        <w:t>name</w:t>
      </w:r>
      <w:r>
        <w:rPr>
          <w:rFonts w:ascii="Arial" w:eastAsia="Arial" w:hAnsi="Arial" w:cs="Arial"/>
          <w:b/>
          <w:color w:val="000000"/>
          <w:sz w:val="20"/>
        </w:rPr>
        <w:t>) occurred during the [commission] [attempted commission] of the robbery</w:t>
      </w:r>
      <w:r>
        <w:rPr>
          <w:rFonts w:ascii="Arial" w:eastAsia="Arial" w:hAnsi="Arial" w:cs="Arial"/>
          <w:color w:val="000000"/>
          <w:sz w:val="20"/>
        </w:rPr>
        <w:t>.</w:t>
      </w:r>
    </w:p>
    <w:p w:rsidR="004729FB" w:rsidRDefault="004729FB" w:rsidP="004729FB">
      <w:pPr>
        <w:spacing w:line="260" w:lineRule="atLeast"/>
        <w:jc w:val="both"/>
      </w:pPr>
      <w:r>
        <w:rPr>
          <w:rFonts w:ascii="Arial" w:eastAsia="Arial" w:hAnsi="Arial" w:cs="Arial"/>
          <w:color w:val="000000"/>
          <w:sz w:val="20"/>
        </w:rPr>
        <w:t>[Give appropriate robbery instruction from MPJI-Cr 4:28 or MPJI-Cr 4:28.1.]</w:t>
      </w:r>
    </w:p>
    <w:p w:rsidR="004729FB" w:rsidRDefault="004729FB" w:rsidP="004729FB">
      <w:pPr>
        <w:spacing w:before="200" w:line="260" w:lineRule="atLeast"/>
        <w:ind w:left="400"/>
        <w:jc w:val="both"/>
      </w:pPr>
      <w:r>
        <w:rPr>
          <w:rFonts w:ascii="Arial" w:eastAsia="Arial" w:hAnsi="Arial" w:cs="Arial"/>
          <w:b/>
          <w:color w:val="000000"/>
          <w:sz w:val="20"/>
        </w:rPr>
        <w:t>When a person is charged with felony murder based on an alleged robbery, the sequence of events can be important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To convict the defendant of robbery, the State does not have to prove that the defendant decided to rob (</w:t>
      </w:r>
      <w:r>
        <w:rPr>
          <w:rFonts w:ascii="Arial" w:eastAsia="Arial" w:hAnsi="Arial" w:cs="Arial"/>
          <w:b/>
          <w:color w:val="000000"/>
          <w:sz w:val="20"/>
          <w:u w:val="single"/>
        </w:rPr>
        <w:t>name</w:t>
      </w:r>
      <w:r>
        <w:rPr>
          <w:rFonts w:ascii="Arial" w:eastAsia="Arial" w:hAnsi="Arial" w:cs="Arial"/>
          <w:b/>
          <w:color w:val="000000"/>
          <w:sz w:val="20"/>
        </w:rPr>
        <w:t>) before or at the same time as the commission of the act(s) that killed (</w:t>
      </w:r>
      <w:r>
        <w:rPr>
          <w:rFonts w:ascii="Arial" w:eastAsia="Arial" w:hAnsi="Arial" w:cs="Arial"/>
          <w:b/>
          <w:color w:val="000000"/>
          <w:sz w:val="20"/>
          <w:u w:val="single"/>
        </w:rPr>
        <w:t>name</w:t>
      </w:r>
      <w:r>
        <w:rPr>
          <w:rFonts w:ascii="Arial" w:eastAsia="Arial" w:hAnsi="Arial" w:cs="Arial"/>
          <w:b/>
          <w:color w:val="000000"/>
          <w:sz w:val="20"/>
        </w:rPr>
        <w:t>). For robbery, it is sufficient if the State proves that the act(s) of force and the robbery were parts of the same general event, even if the defendant made the decision to rob (</w:t>
      </w:r>
      <w:r>
        <w:rPr>
          <w:rFonts w:ascii="Arial" w:eastAsia="Arial" w:hAnsi="Arial" w:cs="Arial"/>
          <w:b/>
          <w:color w:val="000000"/>
          <w:sz w:val="20"/>
          <w:u w:val="single"/>
        </w:rPr>
        <w:t>name</w:t>
      </w:r>
      <w:r>
        <w:rPr>
          <w:rFonts w:ascii="Arial" w:eastAsia="Arial" w:hAnsi="Arial" w:cs="Arial"/>
          <w:b/>
          <w:color w:val="000000"/>
          <w:sz w:val="20"/>
        </w:rPr>
        <w:t>) as an afterthought, after the commission of the act(s) that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The law as to felony murder is different. To find the defendant guilty of felony murder, the State must prove that the defendant had the intent to rob before or at the same time as the commission of the act(s) that killed (name). When the decision to rob the victim is an afterthought, made after the commission of the act(s) that caused the victim's death, a defendant may not be convicted of felony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Allen</w:t>
            </w:r>
            <w:r>
              <w:rPr>
                <w:rFonts w:ascii="Arial" w:eastAsia="Arial" w:hAnsi="Arial" w:cs="Arial"/>
                <w:color w:val="000000"/>
                <w:sz w:val="20"/>
              </w:rPr>
              <w:t xml:space="preserve">, the Court of Appeals held that "[a]n afterthought felony will not suffice as a predicate for felony-murder." </w:t>
            </w:r>
            <w:hyperlink r:id="rId1171" w:history="1">
              <w:r>
                <w:rPr>
                  <w:rFonts w:ascii="Arial" w:eastAsia="Arial" w:hAnsi="Arial" w:cs="Arial"/>
                  <w:i/>
                  <w:color w:val="0077CC"/>
                  <w:sz w:val="20"/>
                  <w:u w:val="single"/>
                </w:rPr>
                <w:t>387 Md. at 402, 875 A.2d at 732.</w:t>
              </w:r>
            </w:hyperlink>
            <w:r>
              <w:rPr>
                <w:rFonts w:ascii="Arial" w:eastAsia="Arial" w:hAnsi="Arial" w:cs="Arial"/>
                <w:color w:val="000000"/>
                <w:sz w:val="20"/>
              </w:rPr>
              <w:t xml:space="preserve"> Rather, "[i]n order to sustain a conviction for felony-murder, the </w:t>
            </w:r>
            <w:r>
              <w:rPr>
                <w:rFonts w:ascii="Arial" w:eastAsia="Arial" w:hAnsi="Arial" w:cs="Arial"/>
                <w:color w:val="000000"/>
                <w:sz w:val="20"/>
              </w:rPr>
              <w:lastRenderedPageBreak/>
              <w:t xml:space="preserve">intent to commit the underlying felony must exist prior to or concurrent with the performance of the act causing the death of the victim." </w:t>
            </w:r>
            <w:r>
              <w:rPr>
                <w:rFonts w:ascii="Arial" w:eastAsia="Arial" w:hAnsi="Arial" w:cs="Arial"/>
                <w:i/>
                <w:color w:val="000000"/>
                <w:sz w:val="20"/>
              </w:rPr>
              <w:t>Id.</w:t>
            </w:r>
            <w:r>
              <w:rPr>
                <w:rFonts w:ascii="Arial" w:eastAsia="Arial" w:hAnsi="Arial" w:cs="Arial"/>
                <w:color w:val="000000"/>
                <w:sz w:val="20"/>
              </w:rPr>
              <w:t xml:space="preserve"> MPJI-Cr 4:17.7.1 implements </w:t>
            </w:r>
            <w:r>
              <w:rPr>
                <w:rFonts w:ascii="Arial" w:eastAsia="Arial" w:hAnsi="Arial" w:cs="Arial"/>
                <w:i/>
                <w:color w:val="000000"/>
                <w:sz w:val="20"/>
              </w:rPr>
              <w:t>Allen</w:t>
            </w:r>
            <w:r>
              <w:rPr>
                <w:rFonts w:ascii="Arial" w:eastAsia="Arial" w:hAnsi="Arial" w:cs="Arial"/>
                <w:color w:val="000000"/>
                <w:sz w:val="20"/>
              </w:rPr>
              <w:t>.</w:t>
            </w:r>
          </w:p>
          <w:p w:rsidR="004729FB" w:rsidRDefault="004729FB" w:rsidP="00713DA5">
            <w:pPr>
              <w:spacing w:before="240" w:line="260" w:lineRule="atLeast"/>
              <w:ind w:left="60" w:right="360"/>
              <w:jc w:val="both"/>
            </w:pPr>
            <w:r>
              <w:rPr>
                <w:rFonts w:ascii="Arial" w:eastAsia="Arial" w:hAnsi="Arial" w:cs="Arial"/>
                <w:color w:val="000000"/>
                <w:sz w:val="20"/>
              </w:rPr>
              <w:t xml:space="preserve">Although in </w:t>
            </w:r>
            <w:r>
              <w:rPr>
                <w:rFonts w:ascii="Arial" w:eastAsia="Arial" w:hAnsi="Arial" w:cs="Arial"/>
                <w:i/>
                <w:color w:val="000000"/>
                <w:sz w:val="20"/>
              </w:rPr>
              <w:t>Allen</w:t>
            </w:r>
            <w:r>
              <w:rPr>
                <w:rFonts w:ascii="Arial" w:eastAsia="Arial" w:hAnsi="Arial" w:cs="Arial"/>
                <w:color w:val="000000"/>
                <w:sz w:val="20"/>
              </w:rPr>
              <w:t xml:space="preserve"> the underlying felony was robbery, the "afterthought" principle applies to all felony murder cases. In </w:t>
            </w:r>
            <w:r>
              <w:rPr>
                <w:rFonts w:ascii="Arial" w:eastAsia="Arial" w:hAnsi="Arial" w:cs="Arial"/>
                <w:i/>
                <w:color w:val="000000"/>
                <w:sz w:val="20"/>
              </w:rPr>
              <w:t>Allen</w:t>
            </w:r>
            <w:r>
              <w:rPr>
                <w:rFonts w:ascii="Arial" w:eastAsia="Arial" w:hAnsi="Arial" w:cs="Arial"/>
                <w:color w:val="000000"/>
                <w:sz w:val="20"/>
              </w:rPr>
              <w:t xml:space="preserve">, the Court spoke generally about enumerated felonies: "We … hold that a defendant is guilty of first-degree felony-murder only if the defendant's intent to commit the predicate enumerated felony arises prior to, or concurrent with, the conduct resulting in death." </w:t>
            </w:r>
            <w:hyperlink r:id="rId1172" w:history="1">
              <w:r>
                <w:rPr>
                  <w:rFonts w:ascii="Arial" w:eastAsia="Arial" w:hAnsi="Arial" w:cs="Arial"/>
                  <w:i/>
                  <w:color w:val="0077CC"/>
                  <w:sz w:val="20"/>
                  <w:u w:val="single"/>
                </w:rPr>
                <w:t>387 Md. at 396, 875 A.2d at 728.</w:t>
              </w:r>
            </w:hyperlink>
            <w:r>
              <w:rPr>
                <w:rFonts w:ascii="Arial" w:eastAsia="Arial" w:hAnsi="Arial" w:cs="Arial"/>
                <w:color w:val="000000"/>
                <w:sz w:val="20"/>
              </w:rPr>
              <w:t xml:space="preserve"> Therefore, MPJI-Cr 4:17.7.1 should be adapted to other felony murder instructions when applicable.</w:t>
            </w:r>
          </w:p>
          <w:p w:rsidR="004729FB" w:rsidRDefault="004729FB" w:rsidP="00713DA5">
            <w:pPr>
              <w:spacing w:before="200" w:line="260" w:lineRule="atLeast"/>
              <w:ind w:left="60" w:right="360"/>
              <w:jc w:val="both"/>
            </w:pPr>
            <w:r>
              <w:rPr>
                <w:rFonts w:ascii="Arial" w:eastAsia="Arial" w:hAnsi="Arial" w:cs="Arial"/>
                <w:color w:val="000000"/>
                <w:sz w:val="20"/>
              </w:rPr>
              <w:t xml:space="preserve">The last three paragraphs of MPJI-Cr 4:17.7.1 clarify that a defendant may be guilty of robbery, but not felony murder, if the defendant formed the intent to rob after the act of force that caused the death of the victim. </w:t>
            </w:r>
            <w:hyperlink r:id="rId1173" w:history="1">
              <w:r>
                <w:rPr>
                  <w:rFonts w:ascii="Arial" w:eastAsia="Arial" w:hAnsi="Arial" w:cs="Arial"/>
                  <w:i/>
                  <w:color w:val="0077CC"/>
                  <w:sz w:val="20"/>
                  <w:u w:val="single"/>
                </w:rPr>
                <w:t>Stebbing v. State, 299 Md. 331, 356, 473 A.2d 903, 915</w:t>
              </w:r>
            </w:hyperlink>
            <w:r>
              <w:rPr>
                <w:rFonts w:ascii="Arial" w:eastAsia="Arial" w:hAnsi="Arial" w:cs="Arial"/>
                <w:color w:val="000000"/>
                <w:sz w:val="20"/>
              </w:rPr>
              <w:t xml:space="preserve"> ("If the force precedes the taking of the property, the intent to steal need not coincide with the force. It is sufficient if there be force followed by a taking with intent to steal as part of the same general occurrence or episode. Even if the force results in death, a taking and asportation after death is nevertheless robbery."),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469 U.S. 900 (1984).</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0" style="position:absolute;z-index:25186304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4:17.7, MPJI-Cr 4:28, MPJI-Cr 4:28.1.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0" style="position:absolute;left:0;text-align:left;z-index:25187328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3" name="Picture 7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180" w:history="1">
        <w:r>
          <w:rPr>
            <w:rFonts w:ascii="Arial" w:eastAsia="Arial" w:hAnsi="Arial" w:cs="Arial"/>
            <w:b/>
            <w:bCs/>
            <w:i/>
            <w:color w:val="0077CC"/>
            <w:kern w:val="32"/>
            <w:sz w:val="28"/>
            <w:szCs w:val="32"/>
            <w:u w:val="single"/>
          </w:rPr>
          <w:t>MPJI-Cr 4:17.7.2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HOMICIDE--SECOND DEGREE FELONY MURDER (INHERENTLY DANGEROUS NATURE OF FELONY: FIRST DEGREE ASSAULT, AND INHERENTLY DANGEROUS MANNER IN WHICH FELONY WAS PERPETRATED)</w:t>
      </w:r>
    </w:p>
    <w:p w:rsidR="004729FB" w:rsidRDefault="004729FB" w:rsidP="004729FB">
      <w:pPr>
        <w:keepNext/>
        <w:spacing w:before="240" w:line="340" w:lineRule="atLeast"/>
      </w:pPr>
      <w:r>
        <w:br/>
      </w:r>
      <w:r>
        <w:rPr>
          <w:rFonts w:ascii="Arial" w:eastAsia="Arial" w:hAnsi="Arial" w:cs="Arial"/>
          <w:b/>
          <w:color w:val="000000"/>
          <w:sz w:val="28"/>
        </w:rPr>
        <w:t>4:17.7.2Homicide--Second Degree Felony Murder (Inherently Dangerous Nature of Felony: First Degree Assault, and Inherently Dangerous Manner In Which Felony Was Perpetrated)</w:t>
      </w:r>
    </w:p>
    <w:p w:rsidR="004729FB" w:rsidRDefault="004729FB" w:rsidP="004729FB">
      <w:pPr>
        <w:spacing w:line="60" w:lineRule="exact"/>
      </w:pPr>
      <w:r>
        <w:pict>
          <v:line id="_x0000_s1231" style="position:absolute;z-index:25185382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SECOND DEGREE FELONY MURDER--INHERENTLY DANGEROUS NATURE OF FELONY: FIRST DEGREE ASSAULT</w:t>
      </w:r>
    </w:p>
    <w:p w:rsidR="004729FB" w:rsidRDefault="004729FB" w:rsidP="004729FB">
      <w:pPr>
        <w:spacing w:before="200" w:line="260" w:lineRule="atLeast"/>
        <w:jc w:val="both"/>
      </w:pPr>
      <w:r>
        <w:rPr>
          <w:rFonts w:ascii="Arial" w:eastAsia="Arial" w:hAnsi="Arial" w:cs="Arial"/>
          <w:b/>
          <w:color w:val="000000"/>
          <w:sz w:val="20"/>
        </w:rPr>
        <w:t xml:space="preserve">[Abrogated by </w:t>
      </w:r>
      <w:r>
        <w:rPr>
          <w:rFonts w:ascii="Arial" w:eastAsia="Arial" w:hAnsi="Arial" w:cs="Arial"/>
          <w:b/>
          <w:i/>
          <w:color w:val="000000"/>
          <w:sz w:val="20"/>
        </w:rPr>
        <w:t>State v. Jones</w:t>
      </w:r>
      <w:r>
        <w:rPr>
          <w:rFonts w:ascii="Arial" w:eastAsia="Arial" w:hAnsi="Arial" w:cs="Arial"/>
          <w:b/>
          <w:color w:val="000000"/>
          <w:sz w:val="20"/>
        </w:rPr>
        <w:t>, decided by the Court of Appeals on February 24, 2017.]</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FELONY MURDER--INHERENTLY DANGEROUS MANNER IN WHICH FELONY WAS PERPETRATED</w:t>
      </w:r>
    </w:p>
    <w:p w:rsidR="004729FB" w:rsidRDefault="004729FB" w:rsidP="004729FB">
      <w:pPr>
        <w:spacing w:before="200" w:line="260" w:lineRule="atLeast"/>
        <w:ind w:left="400"/>
        <w:jc w:val="both"/>
      </w:pPr>
      <w:r>
        <w:rPr>
          <w:rFonts w:ascii="Arial" w:eastAsia="Arial" w:hAnsi="Arial" w:cs="Arial"/>
          <w:b/>
          <w:color w:val="000000"/>
          <w:sz w:val="20"/>
        </w:rPr>
        <w:t>The defendant is charged with the crime of second degree felony murder. Felony murder does not require the State to prove that the defendant intended to kill the person who was killed. In order to convict the defendant of second degree felony murder, the State must prove</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(1) that [[the defendant] [another participating in the crime with the defendant]] [[committed] [attempted to commit]] (</w:t>
      </w:r>
      <w:r>
        <w:rPr>
          <w:rFonts w:ascii="Arial" w:eastAsia="Arial" w:hAnsi="Arial" w:cs="Arial"/>
          <w:b/>
          <w:color w:val="000000"/>
          <w:sz w:val="20"/>
          <w:u w:val="single"/>
        </w:rPr>
        <w:t>identify the crime</w:t>
      </w:r>
      <w:r>
        <w:rPr>
          <w:rFonts w:ascii="Arial" w:eastAsia="Arial" w:hAnsi="Arial" w:cs="Arial"/>
          <w:b/>
          <w:color w:val="000000"/>
          <w:sz w:val="20"/>
        </w:rPr>
        <w:t>), a felony</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(2) that the way in which (</w:t>
      </w:r>
      <w:r>
        <w:rPr>
          <w:rFonts w:ascii="Arial" w:eastAsia="Arial" w:hAnsi="Arial" w:cs="Arial"/>
          <w:b/>
          <w:color w:val="000000"/>
          <w:sz w:val="20"/>
          <w:u w:val="single"/>
        </w:rPr>
        <w:t>identify the crime</w:t>
      </w:r>
      <w:r>
        <w:rPr>
          <w:rFonts w:ascii="Arial" w:eastAsia="Arial" w:hAnsi="Arial" w:cs="Arial"/>
          <w:b/>
          <w:color w:val="000000"/>
          <w:sz w:val="20"/>
        </w:rPr>
        <w:t>) was committed or attempted, under all of the circumstances, created a reasonably foreseeable risk of death or of serious physical injury likely to result in death</w:t>
      </w:r>
      <w:r>
        <w:rPr>
          <w:rFonts w:ascii="Arial" w:eastAsia="Arial" w:hAnsi="Arial" w:cs="Arial"/>
          <w:color w:val="000000"/>
          <w:sz w:val="20"/>
        </w:rPr>
        <w:t>;</w:t>
      </w:r>
    </w:p>
    <w:p w:rsidR="004729FB" w:rsidRDefault="004729FB" w:rsidP="004729FB">
      <w:pPr>
        <w:spacing w:before="200" w:line="260" w:lineRule="atLeast"/>
        <w:ind w:left="800"/>
        <w:jc w:val="both"/>
      </w:pPr>
      <w:r>
        <w:rPr>
          <w:rFonts w:ascii="Arial" w:eastAsia="Arial" w:hAnsi="Arial" w:cs="Arial"/>
          <w:b/>
          <w:color w:val="000000"/>
          <w:sz w:val="20"/>
        </w:rPr>
        <w:t>(3) that as a result of the way in which (</w:t>
      </w:r>
      <w:r>
        <w:rPr>
          <w:rFonts w:ascii="Arial" w:eastAsia="Arial" w:hAnsi="Arial" w:cs="Arial"/>
          <w:b/>
          <w:color w:val="000000"/>
          <w:sz w:val="20"/>
          <w:u w:val="single"/>
        </w:rPr>
        <w:t>identify the crime</w:t>
      </w:r>
      <w:r>
        <w:rPr>
          <w:rFonts w:ascii="Arial" w:eastAsia="Arial" w:hAnsi="Arial" w:cs="Arial"/>
          <w:b/>
          <w:color w:val="000000"/>
          <w:sz w:val="20"/>
        </w:rPr>
        <w:t>) was committed or attempted, (</w:t>
      </w:r>
      <w:r>
        <w:rPr>
          <w:rFonts w:ascii="Arial" w:eastAsia="Arial" w:hAnsi="Arial" w:cs="Arial"/>
          <w:b/>
          <w:color w:val="000000"/>
          <w:sz w:val="20"/>
          <w:u w:val="single"/>
        </w:rPr>
        <w:t>name</w:t>
      </w:r>
      <w:r>
        <w:rPr>
          <w:rFonts w:ascii="Arial" w:eastAsia="Arial" w:hAnsi="Arial" w:cs="Arial"/>
          <w:b/>
          <w:color w:val="000000"/>
          <w:sz w:val="20"/>
        </w:rPr>
        <w:t>) was killed; and</w:t>
      </w:r>
    </w:p>
    <w:p w:rsidR="004729FB" w:rsidRDefault="004729FB" w:rsidP="004729FB">
      <w:pPr>
        <w:spacing w:before="200" w:line="260" w:lineRule="atLeast"/>
        <w:ind w:left="800"/>
        <w:jc w:val="both"/>
      </w:pPr>
      <w:r>
        <w:rPr>
          <w:rFonts w:ascii="Arial" w:eastAsia="Arial" w:hAnsi="Arial" w:cs="Arial"/>
          <w:b/>
          <w:color w:val="000000"/>
          <w:sz w:val="20"/>
        </w:rPr>
        <w:t>(4) that the act resulting in the death of (</w:t>
      </w:r>
      <w:r>
        <w:rPr>
          <w:rFonts w:ascii="Arial" w:eastAsia="Arial" w:hAnsi="Arial" w:cs="Arial"/>
          <w:b/>
          <w:color w:val="000000"/>
          <w:sz w:val="20"/>
          <w:u w:val="single"/>
        </w:rPr>
        <w:t>name</w:t>
      </w:r>
      <w:r>
        <w:rPr>
          <w:rFonts w:ascii="Arial" w:eastAsia="Arial" w:hAnsi="Arial" w:cs="Arial"/>
          <w:b/>
          <w:color w:val="000000"/>
          <w:sz w:val="20"/>
        </w:rPr>
        <w:t>) occurred during the [commission] [attempted commission] [escape from the immediate scene] of the (</w:t>
      </w:r>
      <w:r>
        <w:rPr>
          <w:rFonts w:ascii="Arial" w:eastAsia="Arial" w:hAnsi="Arial" w:cs="Arial"/>
          <w:b/>
          <w:color w:val="000000"/>
          <w:sz w:val="20"/>
          <w:u w:val="single"/>
        </w:rPr>
        <w:t>identify the crime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The Court of Appeals has held that an inherently dangerous felony not enumerated in MD. CODE ANN., CRIMINAL LAW I § 2-201 (2012 &amp; Supp. 2018) (hereinafter CRIM. LAW I or II § ___ ) may support felony murder in the second degree under CRIM. LAW I § 2-204(a) and the common law. </w:t>
            </w:r>
            <w:r>
              <w:rPr>
                <w:rFonts w:ascii="Arial" w:eastAsia="Arial" w:hAnsi="Arial" w:cs="Arial"/>
                <w:i/>
                <w:color w:val="000000"/>
                <w:sz w:val="20"/>
              </w:rPr>
              <w:t xml:space="preserve">See, e.g., </w:t>
            </w:r>
            <w:hyperlink r:id="rId1181" w:history="1">
              <w:r>
                <w:rPr>
                  <w:rFonts w:ascii="Arial" w:eastAsia="Arial" w:hAnsi="Arial" w:cs="Arial"/>
                  <w:i/>
                  <w:color w:val="0077CC"/>
                  <w:sz w:val="20"/>
                  <w:u w:val="single"/>
                </w:rPr>
                <w:t>Deese v. State, 367 Md. 293, 786 A.2d 751 (2001)</w:t>
              </w:r>
            </w:hyperlink>
            <w:r>
              <w:rPr>
                <w:rFonts w:ascii="Arial" w:eastAsia="Arial" w:hAnsi="Arial" w:cs="Arial"/>
                <w:color w:val="000000"/>
                <w:sz w:val="20"/>
              </w:rPr>
              <w:t xml:space="preserve"> (child abuse); </w:t>
            </w:r>
            <w:hyperlink r:id="rId1182" w:history="1">
              <w:r>
                <w:rPr>
                  <w:rFonts w:ascii="Arial" w:eastAsia="Arial" w:hAnsi="Arial" w:cs="Arial"/>
                  <w:i/>
                  <w:color w:val="0077CC"/>
                  <w:sz w:val="20"/>
                  <w:u w:val="single"/>
                </w:rPr>
                <w:t>Fisher v. State, 367 Md. 218, 786 A.2d 706 (2001)</w:t>
              </w:r>
            </w:hyperlink>
            <w:r>
              <w:rPr>
                <w:rFonts w:ascii="Arial" w:eastAsia="Arial" w:hAnsi="Arial" w:cs="Arial"/>
                <w:color w:val="000000"/>
                <w:sz w:val="20"/>
              </w:rPr>
              <w:t xml:space="preserve"> (child abuse). </w:t>
            </w:r>
            <w:r>
              <w:rPr>
                <w:rFonts w:ascii="Arial" w:eastAsia="Arial" w:hAnsi="Arial" w:cs="Arial"/>
                <w:i/>
                <w:color w:val="000000"/>
                <w:sz w:val="20"/>
              </w:rPr>
              <w:t>See generally</w:t>
            </w:r>
            <w:r>
              <w:rPr>
                <w:rFonts w:ascii="Arial" w:eastAsia="Arial" w:hAnsi="Arial" w:cs="Arial"/>
                <w:color w:val="000000"/>
                <w:sz w:val="20"/>
              </w:rPr>
              <w:t xml:space="preserve"> WAYNE R. LAFAVE, CRIMINAL LAW § 14.5(b), at 786-89 (5th ed. 2010); ROLLIN M. PERKINS &amp; RONALD N. BOYCE, CRIMINAL LAW § 2.1, at 62-70 (3d ed. 1982). Although any felony could support felony murder at common law, the requirement today is that the felony be inherently dangerous. </w:t>
            </w:r>
            <w:r>
              <w:rPr>
                <w:rFonts w:ascii="Arial" w:eastAsia="Arial" w:hAnsi="Arial" w:cs="Arial"/>
                <w:i/>
                <w:color w:val="000000"/>
                <w:sz w:val="20"/>
              </w:rPr>
              <w:t xml:space="preserve">See </w:t>
            </w:r>
            <w:hyperlink r:id="rId1183" w:history="1">
              <w:r>
                <w:rPr>
                  <w:rFonts w:ascii="Arial" w:eastAsia="Arial" w:hAnsi="Arial" w:cs="Arial"/>
                  <w:i/>
                  <w:color w:val="0077CC"/>
                  <w:sz w:val="20"/>
                  <w:u w:val="single"/>
                </w:rPr>
                <w:t>State v. Jones, 451 Md. 680, 155 A.3d 492 (2017);</w:t>
              </w:r>
            </w:hyperlink>
            <w:r>
              <w:rPr>
                <w:rFonts w:ascii="Arial" w:eastAsia="Arial" w:hAnsi="Arial" w:cs="Arial"/>
                <w:color w:val="000000"/>
                <w:sz w:val="20"/>
              </w:rPr>
              <w:t xml:space="preserve"> </w:t>
            </w:r>
            <w:hyperlink r:id="rId1184" w:history="1">
              <w:r>
                <w:rPr>
                  <w:rFonts w:ascii="Arial" w:eastAsia="Arial" w:hAnsi="Arial" w:cs="Arial"/>
                  <w:i/>
                  <w:color w:val="0077CC"/>
                  <w:sz w:val="20"/>
                  <w:u w:val="single"/>
                </w:rPr>
                <w:t>Lindsay v. State, 8 Md. App. 100, 104-05, nn.6-7, 258 A.2d 760, 763-64, nn.6-7 (1969),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257 Md. 734 (1970).</w:t>
            </w:r>
          </w:p>
          <w:p w:rsidR="004729FB" w:rsidRDefault="004729FB" w:rsidP="00713DA5">
            <w:pPr>
              <w:spacing w:before="200" w:line="260" w:lineRule="atLeast"/>
              <w:ind w:left="60" w:right="360"/>
              <w:jc w:val="both"/>
            </w:pPr>
            <w:r>
              <w:rPr>
                <w:rFonts w:ascii="Arial" w:eastAsia="Arial" w:hAnsi="Arial" w:cs="Arial"/>
                <w:color w:val="000000"/>
                <w:sz w:val="20"/>
              </w:rPr>
              <w:t xml:space="preserve">On February 24, 2017, the Court of Appeals decided </w:t>
            </w:r>
            <w:r>
              <w:rPr>
                <w:rFonts w:ascii="Arial" w:eastAsia="Arial" w:hAnsi="Arial" w:cs="Arial"/>
                <w:i/>
                <w:color w:val="000000"/>
                <w:sz w:val="20"/>
              </w:rPr>
              <w:t>State v. Jones</w:t>
            </w:r>
            <w:r>
              <w:rPr>
                <w:rFonts w:ascii="Arial" w:eastAsia="Arial" w:hAnsi="Arial" w:cs="Arial"/>
                <w:color w:val="000000"/>
                <w:sz w:val="20"/>
              </w:rPr>
              <w:t xml:space="preserve"> and formally overruled </w:t>
            </w:r>
            <w:r>
              <w:rPr>
                <w:rFonts w:ascii="Arial" w:eastAsia="Arial" w:hAnsi="Arial" w:cs="Arial"/>
                <w:i/>
                <w:color w:val="000000"/>
                <w:sz w:val="20"/>
              </w:rPr>
              <w:t>Roary v. State's</w:t>
            </w:r>
            <w:r>
              <w:rPr>
                <w:rFonts w:ascii="Arial" w:eastAsia="Arial" w:hAnsi="Arial" w:cs="Arial"/>
                <w:color w:val="000000"/>
                <w:sz w:val="20"/>
              </w:rPr>
              <w:t xml:space="preserve"> prior rule that permitted firstdegree assault to serve as the predicate for second-degree felony murder. </w:t>
            </w:r>
            <w:r>
              <w:rPr>
                <w:rFonts w:ascii="Arial" w:eastAsia="Arial" w:hAnsi="Arial" w:cs="Arial"/>
                <w:i/>
                <w:color w:val="000000"/>
                <w:sz w:val="20"/>
              </w:rPr>
              <w:t xml:space="preserve">See </w:t>
            </w:r>
            <w:hyperlink r:id="rId1185" w:history="1">
              <w:r>
                <w:rPr>
                  <w:rFonts w:ascii="Arial" w:eastAsia="Arial" w:hAnsi="Arial" w:cs="Arial"/>
                  <w:i/>
                  <w:color w:val="0077CC"/>
                  <w:sz w:val="20"/>
                  <w:u w:val="single"/>
                </w:rPr>
                <w:t>State v. Jones, 451 Md. at 694, 155 A.3d at 500</w:t>
              </w:r>
            </w:hyperlink>
            <w:r>
              <w:rPr>
                <w:rFonts w:ascii="Arial" w:eastAsia="Arial" w:hAnsi="Arial" w:cs="Arial"/>
                <w:color w:val="000000"/>
                <w:sz w:val="20"/>
              </w:rPr>
              <w:t xml:space="preserve"> ("We take this opportunity to re-examine </w:t>
            </w:r>
            <w:r>
              <w:rPr>
                <w:rFonts w:ascii="Arial" w:eastAsia="Arial" w:hAnsi="Arial" w:cs="Arial"/>
                <w:i/>
                <w:color w:val="000000"/>
                <w:sz w:val="20"/>
              </w:rPr>
              <w:t>Roary v. State</w:t>
            </w:r>
            <w:r>
              <w:rPr>
                <w:rFonts w:ascii="Arial" w:eastAsia="Arial" w:hAnsi="Arial" w:cs="Arial"/>
                <w:color w:val="000000"/>
                <w:sz w:val="20"/>
              </w:rPr>
              <w:t xml:space="preserve">, to overrule it and to adopt the so called 'merger doctrine' in Maryland."). After </w:t>
            </w:r>
            <w:r>
              <w:rPr>
                <w:rFonts w:ascii="Arial" w:eastAsia="Arial" w:hAnsi="Arial" w:cs="Arial"/>
                <w:i/>
                <w:color w:val="000000"/>
                <w:sz w:val="20"/>
              </w:rPr>
              <w:t>Jones</w:t>
            </w:r>
            <w:r>
              <w:rPr>
                <w:rFonts w:ascii="Arial" w:eastAsia="Arial" w:hAnsi="Arial" w:cs="Arial"/>
                <w:color w:val="000000"/>
                <w:sz w:val="20"/>
              </w:rPr>
              <w:t xml:space="preserve">, the new rule in Maryland is "if the assaultive act causing the injury is the same act that causes the victim's death, the assault is merged into the murder and therefore cannot serve as a predicate felony for felony-murder purposes." </w:t>
            </w:r>
            <w:r>
              <w:rPr>
                <w:rFonts w:ascii="Arial" w:eastAsia="Arial" w:hAnsi="Arial" w:cs="Arial"/>
                <w:i/>
                <w:color w:val="000000"/>
                <w:sz w:val="20"/>
              </w:rPr>
              <w:t>Id.</w:t>
            </w:r>
            <w:r>
              <w:rPr>
                <w:rFonts w:ascii="Arial" w:eastAsia="Arial" w:hAnsi="Arial" w:cs="Arial"/>
                <w:color w:val="000000"/>
                <w:sz w:val="20"/>
              </w:rPr>
              <w:t xml:space="preserve"> As a result, MPJI-Cr 4:17.7.2A is now abrogated as well.</w:t>
            </w:r>
          </w:p>
          <w:p w:rsidR="004729FB" w:rsidRDefault="004729FB" w:rsidP="00713DA5">
            <w:pPr>
              <w:spacing w:before="240" w:line="260" w:lineRule="atLeast"/>
              <w:ind w:left="60" w:right="360"/>
              <w:jc w:val="both"/>
            </w:pPr>
            <w:r>
              <w:rPr>
                <w:rFonts w:ascii="Arial" w:eastAsia="Arial" w:hAnsi="Arial" w:cs="Arial"/>
                <w:color w:val="000000"/>
                <w:sz w:val="20"/>
              </w:rPr>
              <w:t xml:space="preserve">The second test, which the instruction in Part B implements, remains good law. This inquiry looks to whether an unlawful killing occurred during the course of "the commission of a felony that is inherently dangerous to human life." </w:t>
            </w:r>
            <w:hyperlink r:id="rId1186" w:history="1">
              <w:r>
                <w:rPr>
                  <w:rFonts w:ascii="Arial" w:eastAsia="Arial" w:hAnsi="Arial" w:cs="Arial"/>
                  <w:i/>
                  <w:color w:val="0077CC"/>
                  <w:sz w:val="20"/>
                  <w:u w:val="single"/>
                </w:rPr>
                <w:t>Jones, 451 Md. at 708, 155 A.3d at 508.</w:t>
              </w:r>
            </w:hyperlink>
            <w:r>
              <w:rPr>
                <w:rFonts w:ascii="Arial" w:eastAsia="Arial" w:hAnsi="Arial" w:cs="Arial"/>
                <w:color w:val="000000"/>
                <w:sz w:val="20"/>
              </w:rPr>
              <w:t xml:space="preserve"> The key question under this test is whether "'the felonious conduct, under all of the circumstances, made death a foreseeable consequence'" of the defendant's actions. </w:t>
            </w:r>
            <w:hyperlink r:id="rId1187" w:history="1">
              <w:r>
                <w:rPr>
                  <w:rFonts w:ascii="Arial" w:eastAsia="Arial" w:hAnsi="Arial" w:cs="Arial"/>
                  <w:i/>
                  <w:color w:val="0077CC"/>
                  <w:sz w:val="20"/>
                  <w:u w:val="single"/>
                </w:rPr>
                <w:t>Fisher, 367 Md. at 262, 786 A.2d at 732 (2001).</w:t>
              </w:r>
            </w:hyperlink>
            <w:r>
              <w:rPr>
                <w:rFonts w:ascii="Arial" w:eastAsia="Arial" w:hAnsi="Arial" w:cs="Arial"/>
                <w:color w:val="000000"/>
                <w:sz w:val="20"/>
              </w:rPr>
              <w:t xml:space="preserve"> The Court of Appeals has upheld second degree felony murder convictions under this test in </w:t>
            </w:r>
            <w:hyperlink r:id="rId1188" w:history="1">
              <w:r>
                <w:rPr>
                  <w:rFonts w:ascii="Arial" w:eastAsia="Arial" w:hAnsi="Arial" w:cs="Arial"/>
                  <w:i/>
                  <w:color w:val="0077CC"/>
                  <w:sz w:val="20"/>
                  <w:u w:val="single"/>
                </w:rPr>
                <w:t>Deese, 367 Md. 293, 786 A.2d 751</w:t>
              </w:r>
            </w:hyperlink>
            <w:r>
              <w:rPr>
                <w:rFonts w:ascii="Arial" w:eastAsia="Arial" w:hAnsi="Arial" w:cs="Arial"/>
                <w:color w:val="000000"/>
                <w:sz w:val="20"/>
              </w:rPr>
              <w:t xml:space="preserve"> (child abuse), and </w:t>
            </w:r>
            <w:hyperlink r:id="rId1189" w:history="1">
              <w:r>
                <w:rPr>
                  <w:rFonts w:ascii="Arial" w:eastAsia="Arial" w:hAnsi="Arial" w:cs="Arial"/>
                  <w:i/>
                  <w:color w:val="0077CC"/>
                  <w:sz w:val="20"/>
                  <w:u w:val="single"/>
                </w:rPr>
                <w:t>Fisher, 367 Md. 218, 786 A.2d 706</w:t>
              </w:r>
            </w:hyperlink>
            <w:r>
              <w:rPr>
                <w:rFonts w:ascii="Arial" w:eastAsia="Arial" w:hAnsi="Arial" w:cs="Arial"/>
                <w:color w:val="000000"/>
                <w:sz w:val="20"/>
              </w:rPr>
              <w:t xml:space="preserve"> (child abuse).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1" style="position:absolute;z-index:25186406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4:01.1, MPJI-Cr 4:17.7.</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1" style="position:absolute;left:0;text-align:left;z-index:25187430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2" name="Picture 7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196" w:history="1">
        <w:r>
          <w:rPr>
            <w:rFonts w:ascii="Arial" w:eastAsia="Arial" w:hAnsi="Arial" w:cs="Arial"/>
            <w:b/>
            <w:bCs/>
            <w:i/>
            <w:color w:val="0077CC"/>
            <w:kern w:val="32"/>
            <w:sz w:val="28"/>
            <w:szCs w:val="32"/>
            <w:u w:val="single"/>
          </w:rPr>
          <w:t>MPJI-Cr 4:17.8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HOMICIDE--SECOND DEGREE DEPRAVED HEART MURDER AND INVOLUNTARY MANSLAUGHTER (GROSSLY NEGLIGENT ACT AND UNLAWFUL ACT)</w:t>
      </w:r>
    </w:p>
    <w:p w:rsidR="004729FB" w:rsidRDefault="004729FB" w:rsidP="004729FB">
      <w:pPr>
        <w:keepNext/>
        <w:spacing w:before="240" w:line="340" w:lineRule="atLeast"/>
      </w:pPr>
      <w:r>
        <w:br/>
      </w:r>
      <w:r>
        <w:rPr>
          <w:rFonts w:ascii="Arial" w:eastAsia="Arial" w:hAnsi="Arial" w:cs="Arial"/>
          <w:b/>
          <w:color w:val="000000"/>
          <w:sz w:val="28"/>
        </w:rPr>
        <w:t>4:17.8Homicide--Second Degree Depraved Heart Murder and Involuntary Manslaughter (Grossly Negligent Act and Unlawful Act)</w:t>
      </w:r>
    </w:p>
    <w:p w:rsidR="004729FB" w:rsidRDefault="004729FB" w:rsidP="004729FB">
      <w:pPr>
        <w:spacing w:line="60" w:lineRule="exact"/>
      </w:pPr>
      <w:r>
        <w:pict>
          <v:line id="_x0000_s1232" style="position:absolute;z-index:25185484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color w:val="000000"/>
          <w:sz w:val="20"/>
        </w:rPr>
        <w:t>The defendant is charged with the crime of murder. This charge includes second degree murder and involuntary manslaughter.</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SECOND DEGREE DEPRAVED HEART MURDER</w:t>
      </w:r>
    </w:p>
    <w:p w:rsidR="004729FB" w:rsidRDefault="004729FB" w:rsidP="004729FB">
      <w:pPr>
        <w:spacing w:before="200" w:line="260" w:lineRule="atLeast"/>
        <w:jc w:val="both"/>
      </w:pPr>
      <w:r>
        <w:rPr>
          <w:rFonts w:ascii="Arial" w:eastAsia="Arial" w:hAnsi="Arial" w:cs="Arial"/>
          <w:b/>
          <w:color w:val="000000"/>
          <w:sz w:val="20"/>
        </w:rPr>
        <w:t>Second degree murder is the killing of another person while acting with an extreme disregard for human life.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defendant's conduct created a very high degree of risk to the life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defendant, conscious of such risk, acted with extreme disregard of the life endangering consequences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INVOLUNTARY MANSLAUGHTER--GROSSLY NEGLIGENT ACT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involuntary manslaughter. In order to convict the defendant of involuntary manslaughter,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acted in a grossly negligent manner; and</w:t>
      </w:r>
    </w:p>
    <w:p w:rsidR="004729FB" w:rsidRDefault="004729FB" w:rsidP="004729FB">
      <w:pPr>
        <w:spacing w:before="200" w:line="260" w:lineRule="atLeast"/>
        <w:ind w:left="400"/>
        <w:jc w:val="both"/>
      </w:pPr>
      <w:r>
        <w:rPr>
          <w:rFonts w:ascii="Arial" w:eastAsia="Arial" w:hAnsi="Arial" w:cs="Arial"/>
          <w:b/>
          <w:color w:val="000000"/>
          <w:sz w:val="20"/>
        </w:rPr>
        <w:t>(2) that this grossly negligent conduct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"Grossly negligent" means that the defendant, while aware of the risk, acted in a manner that created a high risk to, and showed a reckless disregard for, human life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defendant was unaware of the risk due to self-induced intoxication, that unawareness is not a defense.]</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INVOLUNTARY MANSLAUGHTER--UNLAWFUL ACT</w:t>
      </w:r>
    </w:p>
    <w:p w:rsidR="004729FB" w:rsidRDefault="004729FB" w:rsidP="004729FB">
      <w:pPr>
        <w:spacing w:before="200" w:line="260" w:lineRule="atLeast"/>
        <w:jc w:val="both"/>
      </w:pPr>
      <w:r>
        <w:rPr>
          <w:rFonts w:ascii="Arial" w:eastAsia="Arial" w:hAnsi="Arial" w:cs="Arial"/>
          <w:b/>
          <w:color w:val="000000"/>
          <w:sz w:val="20"/>
        </w:rPr>
        <w:lastRenderedPageBreak/>
        <w:t>The defendant is charged with the crime of involuntary manslaughter. In order to convict the defendant of involuntary manslaughter,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[another participating in the crime with the defendant]] [[committed] [attempted to commit]] a (</w:t>
      </w:r>
      <w:r>
        <w:rPr>
          <w:rFonts w:ascii="Arial" w:eastAsia="Arial" w:hAnsi="Arial" w:cs="Arial"/>
          <w:b/>
          <w:color w:val="000000"/>
          <w:sz w:val="20"/>
          <w:u w:val="single"/>
        </w:rPr>
        <w:t>unlawful act(s)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[another participating in the crime] killed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act resulting in the death of (</w:t>
      </w:r>
      <w:r>
        <w:rPr>
          <w:rFonts w:ascii="Arial" w:eastAsia="Arial" w:hAnsi="Arial" w:cs="Arial"/>
          <w:b/>
          <w:color w:val="000000"/>
          <w:sz w:val="20"/>
          <w:u w:val="single"/>
        </w:rPr>
        <w:t>name</w:t>
      </w:r>
      <w:r>
        <w:rPr>
          <w:rFonts w:ascii="Arial" w:eastAsia="Arial" w:hAnsi="Arial" w:cs="Arial"/>
          <w:b/>
          <w:color w:val="000000"/>
          <w:sz w:val="20"/>
        </w:rPr>
        <w:t>) occurred during the [commission] [attempted commission] [escape from the immediate scene] of the (</w:t>
      </w:r>
      <w:r>
        <w:rPr>
          <w:rFonts w:ascii="Arial" w:eastAsia="Arial" w:hAnsi="Arial" w:cs="Arial"/>
          <w:b/>
          <w:color w:val="000000"/>
          <w:sz w:val="20"/>
          <w:u w:val="single"/>
        </w:rPr>
        <w:t>unlawful act(s)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(Imperfect Self-Defense)); MPJI-Cr 4:17.9 (Homicide--Involuntary Manslaughter (Grossly Negligent Act and Unlawful Act)). For a discussion of criminal gross negligence, see Comment to MPJI-Cr 4:17.9.</w:t>
            </w:r>
          </w:p>
          <w:p w:rsidR="004729FB" w:rsidRDefault="004729FB" w:rsidP="00713DA5">
            <w:pPr>
              <w:spacing w:before="240" w:line="260" w:lineRule="atLeast"/>
              <w:ind w:left="60" w:right="360"/>
              <w:jc w:val="both"/>
            </w:pPr>
            <w:r>
              <w:rPr>
                <w:rFonts w:ascii="Arial" w:eastAsia="Arial" w:hAnsi="Arial" w:cs="Arial"/>
                <w:color w:val="000000"/>
                <w:sz w:val="20"/>
              </w:rPr>
              <w:t xml:space="preserve">One of the four disjunctive methods of establishing the malice element of murder is through evidence of a depraved heart act. In </w:t>
            </w:r>
            <w:r>
              <w:rPr>
                <w:rFonts w:ascii="Arial" w:eastAsia="Arial" w:hAnsi="Arial" w:cs="Arial"/>
                <w:i/>
                <w:color w:val="000000"/>
                <w:sz w:val="20"/>
              </w:rPr>
              <w:t>Robinson v. State</w:t>
            </w:r>
            <w:r>
              <w:rPr>
                <w:rFonts w:ascii="Arial" w:eastAsia="Arial" w:hAnsi="Arial" w:cs="Arial"/>
                <w:color w:val="000000"/>
                <w:sz w:val="20"/>
              </w:rPr>
              <w:t xml:space="preserve">, the Court of Appeals, in addressing the meaning of a depraved heart murder, stated that "[t]he critical factor is that the act in question be committed 'under circumstances manifesting extreme indifference to the value of human life.'" </w:t>
            </w:r>
            <w:hyperlink r:id="rId1197" w:history="1">
              <w:r>
                <w:rPr>
                  <w:rFonts w:ascii="Arial" w:eastAsia="Arial" w:hAnsi="Arial" w:cs="Arial"/>
                  <w:i/>
                  <w:color w:val="0077CC"/>
                  <w:sz w:val="20"/>
                  <w:u w:val="single"/>
                </w:rPr>
                <w:t>307 Md. 738, 745, 517 A.2d 94, 98 (1986)</w:t>
              </w:r>
            </w:hyperlink>
            <w:r>
              <w:rPr>
                <w:rFonts w:ascii="Arial" w:eastAsia="Arial" w:hAnsi="Arial" w:cs="Arial"/>
                <w:color w:val="000000"/>
                <w:sz w:val="20"/>
              </w:rPr>
              <w:t xml:space="preserve"> (quoting 2 FRANCIS WHARTON, CRIMINAL LAW § 143, at 97 (14th ed. 1979)). The Court found that the other major text writers and the MODEL PENAL CODE use a similar analysis. </w:t>
            </w:r>
            <w:hyperlink r:id="rId1198" w:history="1">
              <w:r>
                <w:rPr>
                  <w:rFonts w:ascii="Arial" w:eastAsia="Arial" w:hAnsi="Arial" w:cs="Arial"/>
                  <w:i/>
                  <w:color w:val="0077CC"/>
                  <w:sz w:val="20"/>
                  <w:u w:val="single"/>
                </w:rPr>
                <w:t>Id. at 751, 517 A.2d at 101;</w:t>
              </w:r>
            </w:hyperlink>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MODEL PENAL CODE § 210.2(1)(b) (1962) ("committed recklessly manifesting extreme indifference to the value of human life"); RICHARD P. GILBERT &amp; CHARLES E. MOYLAN, JR., MARYLAND CRIMINAL LAW: PRACTICE &amp; PROCEDURE § 1.6-3, at 21 (1983 &amp; Supp. 1990) ("contemptuous disregard for the value of human life"); WAYNE R. LAFAVE, CRIMINAL LAW § 14.4, at 779 (5th ed. 2010) ("[e]xtremely negligent conduct, which creates what a reasonable man would realize to be not only unjustifiable but also a very high degree of risk of death or serious bodily injury"); ROLLIN M. PERKINS &amp; RONALD N. BOYCE, CRIMINAL LAW 59 (3d ed. 1982) ("wanton and willful disregard of unreasonable human risk") (quoted with approval in </w:t>
            </w:r>
            <w:hyperlink r:id="rId1199" w:history="1">
              <w:r>
                <w:rPr>
                  <w:rFonts w:ascii="Arial" w:eastAsia="Arial" w:hAnsi="Arial" w:cs="Arial"/>
                  <w:i/>
                  <w:color w:val="0077CC"/>
                  <w:sz w:val="20"/>
                  <w:u w:val="single"/>
                </w:rPr>
                <w:t>Evans v. State, 28 Md. App. 640, 696, 349 A.2d 300, 335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00"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Recognizing an overlap between a depraved heart murder and murder based upon a specific intent to do serious bodily harm, the Court stated that in a depraved heart murder, it is only the resulting death that is unintended as a consequence of the act. </w:t>
            </w:r>
            <w:hyperlink r:id="rId1201" w:history="1">
              <w:r>
                <w:rPr>
                  <w:rFonts w:ascii="Arial" w:eastAsia="Arial" w:hAnsi="Arial" w:cs="Arial"/>
                  <w:i/>
                  <w:color w:val="0077CC"/>
                  <w:sz w:val="20"/>
                  <w:u w:val="single"/>
                </w:rPr>
                <w:t>Robinson, 307 Md. at 743-47, 517 A.2d at 97-98.</w:t>
              </w:r>
            </w:hyperlink>
            <w:r>
              <w:rPr>
                <w:rFonts w:ascii="Arial" w:eastAsia="Arial" w:hAnsi="Arial" w:cs="Arial"/>
                <w:color w:val="000000"/>
                <w:sz w:val="20"/>
              </w:rPr>
              <w:t xml:space="preserve"> Thus, as long as the conduct demonstrates an extreme indifference to the value of human life, it does not matter whether the conduct that caused the death was performed with an intent to injure or was performed without an intent to injure. </w:t>
            </w:r>
            <w:r>
              <w:rPr>
                <w:rFonts w:ascii="Arial" w:eastAsia="Arial" w:hAnsi="Arial" w:cs="Arial"/>
                <w:i/>
                <w:color w:val="000000"/>
                <w:sz w:val="20"/>
              </w:rPr>
              <w:t>Id.</w:t>
            </w:r>
            <w:r>
              <w:rPr>
                <w:rFonts w:ascii="Arial" w:eastAsia="Arial" w:hAnsi="Arial" w:cs="Arial"/>
                <w:color w:val="000000"/>
                <w:sz w:val="20"/>
              </w:rPr>
              <w:t xml:space="preserve"> (finding depraved heart where defendant shot the victim in the thigh). In </w:t>
            </w:r>
            <w:hyperlink r:id="rId1202" w:history="1">
              <w:r>
                <w:rPr>
                  <w:rFonts w:ascii="Arial" w:eastAsia="Arial" w:hAnsi="Arial" w:cs="Arial"/>
                  <w:i/>
                  <w:color w:val="0077CC"/>
                  <w:sz w:val="20"/>
                  <w:u w:val="single"/>
                </w:rPr>
                <w:t>Alston v. State, 101 Md. App. 47, 54-59, 643 A.2d 468, 472-74 (1994),</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03" w:history="1">
              <w:r>
                <w:rPr>
                  <w:rFonts w:ascii="Arial" w:eastAsia="Arial" w:hAnsi="Arial" w:cs="Arial"/>
                  <w:i/>
                  <w:color w:val="0077CC"/>
                  <w:sz w:val="20"/>
                  <w:u w:val="single"/>
                </w:rPr>
                <w:t>339 Md. 306, 662 A.2d 247 (1995),</w:t>
              </w:r>
            </w:hyperlink>
            <w:r>
              <w:rPr>
                <w:rFonts w:ascii="Arial" w:eastAsia="Arial" w:hAnsi="Arial" w:cs="Arial"/>
                <w:color w:val="000000"/>
                <w:sz w:val="20"/>
              </w:rPr>
              <w:t xml:space="preserve"> the Court of Special Appeals held that when a gang of ten engaged in a shoot-out on an urban street in the presence of innocent persons, the lethal conduct was the shoot-out itself, and thus it did not matter who fired the shot that killed the victim. </w:t>
            </w:r>
            <w:r>
              <w:rPr>
                <w:rFonts w:ascii="Arial" w:eastAsia="Arial" w:hAnsi="Arial" w:cs="Arial"/>
                <w:i/>
                <w:color w:val="000000"/>
                <w:sz w:val="20"/>
              </w:rPr>
              <w:t xml:space="preserve">See </w:t>
            </w:r>
            <w:hyperlink r:id="rId1204" w:history="1">
              <w:r>
                <w:rPr>
                  <w:rFonts w:ascii="Arial" w:eastAsia="Arial" w:hAnsi="Arial" w:cs="Arial"/>
                  <w:i/>
                  <w:color w:val="0077CC"/>
                  <w:sz w:val="20"/>
                  <w:u w:val="single"/>
                </w:rPr>
                <w:t>Simpkins v. State, 88 Md. App. 607, 596 A.2d 655 (1991),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205" w:history="1">
              <w:r>
                <w:rPr>
                  <w:rFonts w:ascii="Arial" w:eastAsia="Arial" w:hAnsi="Arial" w:cs="Arial"/>
                  <w:i/>
                  <w:color w:val="0077CC"/>
                  <w:sz w:val="20"/>
                  <w:u w:val="single"/>
                </w:rPr>
                <w:t>328 Md. 94, 612 A.2d 1316 (1992).</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Robinson</w:t>
            </w:r>
            <w:r>
              <w:rPr>
                <w:rFonts w:ascii="Arial" w:eastAsia="Arial" w:hAnsi="Arial" w:cs="Arial"/>
                <w:color w:val="000000"/>
                <w:sz w:val="20"/>
              </w:rPr>
              <w:t xml:space="preserve">, the Court of Appeals rejected the theory of universal malice, which posits that, in order to find depraved heart, the conduct of the defendant must place multiple persons in imminent danger as the result of a life-threatening act. </w:t>
            </w:r>
            <w:hyperlink r:id="rId1206" w:history="1">
              <w:r>
                <w:rPr>
                  <w:rFonts w:ascii="Arial" w:eastAsia="Arial" w:hAnsi="Arial" w:cs="Arial"/>
                  <w:i/>
                  <w:color w:val="0077CC"/>
                  <w:sz w:val="20"/>
                  <w:u w:val="single"/>
                </w:rPr>
                <w:t>307 Md. at 747-52, 517 A.2d at 99-101</w:t>
              </w:r>
            </w:hyperlink>
            <w:r>
              <w:rPr>
                <w:rFonts w:ascii="Arial" w:eastAsia="Arial" w:hAnsi="Arial" w:cs="Arial"/>
                <w:color w:val="000000"/>
                <w:sz w:val="20"/>
              </w:rPr>
              <w:t xml:space="preserve"> (finding that depraved heart murder was not precluded because the defendant and the victim were alone when the defendant shot the victim in the thigh during an altercation). In </w:t>
            </w:r>
            <w:hyperlink r:id="rId1207" w:history="1">
              <w:r>
                <w:rPr>
                  <w:rFonts w:ascii="Arial" w:eastAsia="Arial" w:hAnsi="Arial" w:cs="Arial"/>
                  <w:i/>
                  <w:color w:val="0077CC"/>
                  <w:sz w:val="20"/>
                  <w:u w:val="single"/>
                </w:rPr>
                <w:t>Burch v. State, 346 Md. 253, 274-80, 696 A.2d 443, 454-57,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522 U.S. 1001 (1997),</w:t>
            </w:r>
            <w:r>
              <w:rPr>
                <w:rFonts w:ascii="Arial" w:eastAsia="Arial" w:hAnsi="Arial" w:cs="Arial"/>
                <w:color w:val="000000"/>
                <w:sz w:val="20"/>
              </w:rPr>
              <w:t xml:space="preserve"> the Court of Appeals affirmed the failure to give a depraved heart murder instruction when the </w:t>
            </w:r>
            <w:r>
              <w:rPr>
                <w:rFonts w:ascii="Arial" w:eastAsia="Arial" w:hAnsi="Arial" w:cs="Arial"/>
                <w:color w:val="000000"/>
                <w:sz w:val="20"/>
              </w:rPr>
              <w:lastRenderedPageBreak/>
              <w:t>evidence was such that, if the defendant were the criminal agent, there would be no rational basis for the lesser included offense.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2" style="position:absolute;z-index:25186508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4:17.2, MPJI-Cr 4:17.3, MPJI-Cr 4:17.4, MPJI-Cr 4:17.5, MPJI-Cr 4:17.9.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2" style="position:absolute;left:0;text-align:left;z-index:2518753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1" name="Picture 7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214" w:history="1">
        <w:r>
          <w:rPr>
            <w:rFonts w:ascii="Arial" w:eastAsia="Arial" w:hAnsi="Arial" w:cs="Arial"/>
            <w:b/>
            <w:bCs/>
            <w:i/>
            <w:color w:val="0077CC"/>
            <w:kern w:val="32"/>
            <w:sz w:val="28"/>
            <w:szCs w:val="32"/>
            <w:u w:val="single"/>
          </w:rPr>
          <w:t>MPJI-Cr 4:17.9</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HOMICIDE--INVOLUNTARY MANSLAUGHTER (GROSSLY NEGLIGENT ACT AND UNLAWFUL ACT)</w:t>
      </w:r>
    </w:p>
    <w:p w:rsidR="004729FB" w:rsidRDefault="004729FB" w:rsidP="004729FB">
      <w:pPr>
        <w:keepNext/>
        <w:spacing w:before="240" w:line="340" w:lineRule="atLeast"/>
      </w:pPr>
      <w:r>
        <w:br/>
      </w:r>
      <w:r>
        <w:rPr>
          <w:rFonts w:ascii="Arial" w:eastAsia="Arial" w:hAnsi="Arial" w:cs="Arial"/>
          <w:b/>
          <w:color w:val="000000"/>
          <w:sz w:val="28"/>
        </w:rPr>
        <w:t>4:17.9Homicide--Involuntary Manslaughter (Grossly Negligent Act and Unlawful Act)</w:t>
      </w:r>
    </w:p>
    <w:p w:rsidR="004729FB" w:rsidRDefault="004729FB" w:rsidP="004729FB">
      <w:pPr>
        <w:spacing w:line="60" w:lineRule="exact"/>
      </w:pPr>
      <w:r>
        <w:pict>
          <v:line id="_x0000_s1233" style="position:absolute;z-index:25185587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INVOLUNTARY MANSLAUGHTER--GROSSLY NEGLIGENT ACT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involuntary manslaughter. In order to convict the defendant of involuntary manslaughter,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acted in a grossly negligent manner; and</w:t>
      </w:r>
    </w:p>
    <w:p w:rsidR="004729FB" w:rsidRDefault="004729FB" w:rsidP="004729FB">
      <w:pPr>
        <w:spacing w:before="200" w:line="260" w:lineRule="atLeast"/>
        <w:ind w:left="400"/>
        <w:jc w:val="both"/>
      </w:pPr>
      <w:r>
        <w:rPr>
          <w:rFonts w:ascii="Arial" w:eastAsia="Arial" w:hAnsi="Arial" w:cs="Arial"/>
          <w:b/>
          <w:color w:val="000000"/>
          <w:sz w:val="20"/>
        </w:rPr>
        <w:t>(2) that this grossly negligent conduct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"Grossly negligent" means that the defendant, while aware of the risk, acted in a manner that created a high degree of risk to, and showed a reckless disregard for, human life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[If defendant was unaware of the risk due to self-induced intoxication, that unawareness is not a defense.]</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INVOLUNTARY MANSLAUGHTER--UNLAWFUL ACT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involuntary manslaughter. In order to convict the defendant of involuntary manslaughter,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[another participating in the crime with the defendant]] [[committed] [attempted to commit]] (</w:t>
      </w:r>
      <w:r>
        <w:rPr>
          <w:rFonts w:ascii="Arial" w:eastAsia="Arial" w:hAnsi="Arial" w:cs="Arial"/>
          <w:b/>
          <w:color w:val="000000"/>
          <w:sz w:val="20"/>
          <w:u w:val="single"/>
        </w:rPr>
        <w:t>unlawful act(s)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[another participating in the crime] killed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act resulting in the death of (</w:t>
      </w:r>
      <w:r>
        <w:rPr>
          <w:rFonts w:ascii="Arial" w:eastAsia="Arial" w:hAnsi="Arial" w:cs="Arial"/>
          <w:b/>
          <w:color w:val="000000"/>
          <w:sz w:val="20"/>
          <w:u w:val="single"/>
        </w:rPr>
        <w:t>name</w:t>
      </w:r>
      <w:r>
        <w:rPr>
          <w:rFonts w:ascii="Arial" w:eastAsia="Arial" w:hAnsi="Arial" w:cs="Arial"/>
          <w:b/>
          <w:color w:val="000000"/>
          <w:sz w:val="20"/>
        </w:rPr>
        <w:t>) occurred during the [commission] [attempted commission] [escape from the immediate scene] of the (</w:t>
      </w:r>
      <w:r>
        <w:rPr>
          <w:rFonts w:ascii="Arial" w:eastAsia="Arial" w:hAnsi="Arial" w:cs="Arial"/>
          <w:b/>
          <w:color w:val="000000"/>
          <w:sz w:val="20"/>
          <w:u w:val="single"/>
        </w:rPr>
        <w:t>unlawful act(s)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lastRenderedPageBreak/>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(Imperfect Self-Defense)).</w:t>
            </w:r>
          </w:p>
          <w:p w:rsidR="004729FB" w:rsidRDefault="004729FB" w:rsidP="00713DA5">
            <w:pPr>
              <w:spacing w:before="200" w:line="260" w:lineRule="atLeast"/>
              <w:ind w:left="60" w:right="360"/>
              <w:jc w:val="both"/>
            </w:pPr>
            <w:r>
              <w:rPr>
                <w:rFonts w:ascii="Arial" w:eastAsia="Arial" w:hAnsi="Arial" w:cs="Arial"/>
                <w:color w:val="000000"/>
                <w:sz w:val="20"/>
              </w:rPr>
              <w:t xml:space="preserve">One of the two forms of manslaughter is involuntary manslaughter. One of the two disjunctive methods of establishing involuntary manslaughter is the commission of a criminal homicide as a result of grossly negligent conduct. </w:t>
            </w:r>
            <w:r>
              <w:rPr>
                <w:rFonts w:ascii="Arial" w:eastAsia="Arial" w:hAnsi="Arial" w:cs="Arial"/>
                <w:i/>
                <w:color w:val="000000"/>
                <w:sz w:val="20"/>
              </w:rPr>
              <w:t>See generally</w:t>
            </w:r>
            <w:r>
              <w:rPr>
                <w:rFonts w:ascii="Arial" w:eastAsia="Arial" w:hAnsi="Arial" w:cs="Arial"/>
                <w:color w:val="000000"/>
                <w:sz w:val="20"/>
              </w:rPr>
              <w:t xml:space="preserve"> WAYNE R. LAFAVE, CRIMINAL LAW § 15.4, at 837-38 (5th ed. 2010); ROLLIN M. PERKINS &amp; RONALD N. BOYCE, CRIMINAL LAW § 2.1, at 105-08 (3d ed. 1982). This conduct may be in the form of an otherwise lawful act performed in a grossly negligent manner or gross negligence in the failure to perform a legal duty. </w:t>
            </w:r>
            <w:r>
              <w:rPr>
                <w:rFonts w:ascii="Arial" w:eastAsia="Arial" w:hAnsi="Arial" w:cs="Arial"/>
                <w:i/>
                <w:color w:val="000000"/>
                <w:sz w:val="20"/>
              </w:rPr>
              <w:t>See, e</w:t>
            </w:r>
            <w:r>
              <w:rPr>
                <w:rFonts w:ascii="Arial" w:eastAsia="Arial" w:hAnsi="Arial" w:cs="Arial"/>
                <w:color w:val="000000"/>
                <w:sz w:val="20"/>
              </w:rPr>
              <w:t>.</w:t>
            </w:r>
            <w:r>
              <w:rPr>
                <w:rFonts w:ascii="Arial" w:eastAsia="Arial" w:hAnsi="Arial" w:cs="Arial"/>
                <w:i/>
                <w:color w:val="000000"/>
                <w:sz w:val="20"/>
              </w:rPr>
              <w:t xml:space="preserve">g., </w:t>
            </w:r>
            <w:hyperlink r:id="rId1215" w:history="1">
              <w:r>
                <w:rPr>
                  <w:rFonts w:ascii="Arial" w:eastAsia="Arial" w:hAnsi="Arial" w:cs="Arial"/>
                  <w:i/>
                  <w:color w:val="0077CC"/>
                  <w:sz w:val="20"/>
                  <w:u w:val="single"/>
                </w:rPr>
                <w:t>Palmer v. State, 223 Md. 341, 164 A.2d 467 (1960)</w:t>
              </w:r>
            </w:hyperlink>
            <w:r>
              <w:rPr>
                <w:rFonts w:ascii="Arial" w:eastAsia="Arial" w:hAnsi="Arial" w:cs="Arial"/>
                <w:color w:val="000000"/>
                <w:sz w:val="20"/>
              </w:rPr>
              <w:t xml:space="preserve"> (finding gross negligence where a mother failed to remove her child from her paramour's control notwithstanding severe beatings over a long period of time that eventually caused the child's death); </w:t>
            </w:r>
            <w:hyperlink r:id="rId1216" w:history="1">
              <w:r>
                <w:rPr>
                  <w:rFonts w:ascii="Arial" w:eastAsia="Arial" w:hAnsi="Arial" w:cs="Arial"/>
                  <w:i/>
                  <w:color w:val="0077CC"/>
                  <w:sz w:val="20"/>
                  <w:u w:val="single"/>
                </w:rPr>
                <w:t>Mills v. State, 13 Md. App. 196, 282 A.2d 147 (1971)</w:t>
              </w:r>
            </w:hyperlink>
            <w:r>
              <w:rPr>
                <w:rFonts w:ascii="Arial" w:eastAsia="Arial" w:hAnsi="Arial" w:cs="Arial"/>
                <w:color w:val="000000"/>
                <w:sz w:val="20"/>
              </w:rPr>
              <w:t xml:space="preserve"> (finding gross negligence where, while passing a bottle of liquor among five boys in a small bathroom, the defendant removed a gun and began loading or unloading it, at which time it slipped from his hand or was slapped out of his hand, striking the floor and discharging, killing one of the five),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264 Md. 750 (1972).</w:t>
            </w:r>
          </w:p>
          <w:p w:rsidR="004729FB" w:rsidRDefault="004729FB" w:rsidP="00713DA5">
            <w:pPr>
              <w:spacing w:before="240" w:line="260" w:lineRule="atLeast"/>
              <w:ind w:left="60" w:right="360"/>
              <w:jc w:val="both"/>
            </w:pPr>
            <w:r>
              <w:rPr>
                <w:rFonts w:ascii="Arial" w:eastAsia="Arial" w:hAnsi="Arial" w:cs="Arial"/>
                <w:color w:val="000000"/>
                <w:sz w:val="20"/>
              </w:rPr>
              <w:t xml:space="preserve">Gross negligence means a wanton or reckless disregard for human life. Professor LaFave describes this as a high degree of risk of death or serious bodily harm, usually requiring the defendant to be aware of the risk. LAFAVE, </w:t>
            </w:r>
            <w:r>
              <w:rPr>
                <w:rFonts w:ascii="Arial" w:eastAsia="Arial" w:hAnsi="Arial" w:cs="Arial"/>
                <w:i/>
                <w:color w:val="000000"/>
                <w:sz w:val="20"/>
              </w:rPr>
              <w:t>supra</w:t>
            </w:r>
            <w:r>
              <w:rPr>
                <w:rFonts w:ascii="Arial" w:eastAsia="Arial" w:hAnsi="Arial" w:cs="Arial"/>
                <w:color w:val="000000"/>
                <w:sz w:val="20"/>
              </w:rPr>
              <w:t xml:space="preserve">, § 15.4(a), at 838-41. Both Maryland appellate courts have used the phrase "wanton or reckless" disjunctively when defining gross negligence. </w:t>
            </w:r>
            <w:hyperlink r:id="rId1217" w:history="1">
              <w:r>
                <w:rPr>
                  <w:rFonts w:ascii="Arial" w:eastAsia="Arial" w:hAnsi="Arial" w:cs="Arial"/>
                  <w:i/>
                  <w:color w:val="0077CC"/>
                  <w:sz w:val="20"/>
                  <w:u w:val="single"/>
                </w:rPr>
                <w:t>Craig v. State, 220 Md. 590, 597, 155 A.2d 684, 688-89 (1959);</w:t>
              </w:r>
            </w:hyperlink>
            <w:r>
              <w:rPr>
                <w:rFonts w:ascii="Arial" w:eastAsia="Arial" w:hAnsi="Arial" w:cs="Arial"/>
                <w:color w:val="000000"/>
                <w:sz w:val="20"/>
              </w:rPr>
              <w:t xml:space="preserve"> </w:t>
            </w:r>
            <w:hyperlink r:id="rId1218" w:history="1">
              <w:r>
                <w:rPr>
                  <w:rFonts w:ascii="Arial" w:eastAsia="Arial" w:hAnsi="Arial" w:cs="Arial"/>
                  <w:i/>
                  <w:color w:val="0077CC"/>
                  <w:sz w:val="20"/>
                  <w:u w:val="single"/>
                </w:rPr>
                <w:t>Mills, 13 Md. App. at 200, 282 A.2d at 149.</w:t>
              </w:r>
            </w:hyperlink>
            <w:r>
              <w:rPr>
                <w:rFonts w:ascii="Arial" w:eastAsia="Arial" w:hAnsi="Arial" w:cs="Arial"/>
                <w:color w:val="000000"/>
                <w:sz w:val="20"/>
              </w:rPr>
              <w:t xml:space="preserve"> While recognizing a tremendous variance among the jurisdictions in defining the term "wanton," the Court of Appeals defined "wanton" as "characterized by extreme recklessness and utter disregard for the rights of others." </w:t>
            </w:r>
            <w:r>
              <w:rPr>
                <w:rFonts w:ascii="Arial" w:eastAsia="Arial" w:hAnsi="Arial" w:cs="Arial"/>
                <w:i/>
                <w:color w:val="000000"/>
                <w:sz w:val="20"/>
              </w:rPr>
              <w:t xml:space="preserve">Cf. </w:t>
            </w:r>
            <w:hyperlink r:id="rId1219" w:history="1">
              <w:r>
                <w:rPr>
                  <w:rFonts w:ascii="Arial" w:eastAsia="Arial" w:hAnsi="Arial" w:cs="Arial"/>
                  <w:i/>
                  <w:color w:val="0077CC"/>
                  <w:sz w:val="20"/>
                  <w:u w:val="single"/>
                </w:rPr>
                <w:t>Griffin v. State, 225 Md. 422, 429, 171 A.2d 717, 720 (1961)</w:t>
              </w:r>
            </w:hyperlink>
            <w:r>
              <w:rPr>
                <w:rFonts w:ascii="Arial" w:eastAsia="Arial" w:hAnsi="Arial" w:cs="Arial"/>
                <w:color w:val="000000"/>
                <w:sz w:val="20"/>
              </w:rPr>
              <w:t xml:space="preserve"> (defining wanton trespass upon private land), </w:t>
            </w:r>
            <w:r>
              <w:rPr>
                <w:rFonts w:ascii="Arial" w:eastAsia="Arial" w:hAnsi="Arial" w:cs="Arial"/>
                <w:i/>
                <w:color w:val="000000"/>
                <w:sz w:val="20"/>
              </w:rPr>
              <w:t>rev'd on other grounds</w:t>
            </w:r>
            <w:r>
              <w:rPr>
                <w:rFonts w:ascii="Arial" w:eastAsia="Arial" w:hAnsi="Arial" w:cs="Arial"/>
                <w:color w:val="000000"/>
                <w:sz w:val="20"/>
              </w:rPr>
              <w:t xml:space="preserve">, </w:t>
            </w:r>
            <w:hyperlink r:id="rId1220" w:history="1">
              <w:r>
                <w:rPr>
                  <w:rFonts w:ascii="Arial" w:eastAsia="Arial" w:hAnsi="Arial" w:cs="Arial"/>
                  <w:i/>
                  <w:color w:val="0077CC"/>
                  <w:sz w:val="20"/>
                  <w:u w:val="single"/>
                </w:rPr>
                <w:t>378 U.S. 130 (1964).</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State v. Albrecht</w:t>
            </w:r>
            <w:r>
              <w:rPr>
                <w:rFonts w:ascii="Arial" w:eastAsia="Arial" w:hAnsi="Arial" w:cs="Arial"/>
                <w:color w:val="000000"/>
                <w:sz w:val="20"/>
              </w:rPr>
              <w:t xml:space="preserve">, the Court of Appeals affirmed the involuntary manslaughter conviction of a police officer who was found to have unintentionally discharged his shotgun during a felony stop, resulting in the death of a citizen. </w:t>
            </w:r>
            <w:hyperlink r:id="rId1221" w:history="1">
              <w:r>
                <w:rPr>
                  <w:rFonts w:ascii="Arial" w:eastAsia="Arial" w:hAnsi="Arial" w:cs="Arial"/>
                  <w:i/>
                  <w:color w:val="0077CC"/>
                  <w:sz w:val="20"/>
                  <w:u w:val="single"/>
                </w:rPr>
                <w:t>336 Md. 475, 649 A.2d 336 (1994).</w:t>
              </w:r>
            </w:hyperlink>
            <w:r>
              <w:rPr>
                <w:rFonts w:ascii="Arial" w:eastAsia="Arial" w:hAnsi="Arial" w:cs="Arial"/>
                <w:color w:val="000000"/>
                <w:sz w:val="20"/>
              </w:rPr>
              <w:t xml:space="preserve"> The Court stated:</w:t>
            </w:r>
          </w:p>
          <w:p w:rsidR="004729FB" w:rsidRDefault="004729FB" w:rsidP="00713DA5">
            <w:pPr>
              <w:spacing w:before="200" w:line="260" w:lineRule="atLeast"/>
              <w:ind w:left="460" w:right="360"/>
              <w:jc w:val="both"/>
            </w:pPr>
            <w:r>
              <w:rPr>
                <w:rFonts w:ascii="Arial" w:eastAsia="Arial" w:hAnsi="Arial" w:cs="Arial"/>
                <w:color w:val="000000"/>
                <w:sz w:val="20"/>
              </w:rPr>
              <w:t xml:space="preserve">The State adduced sufficient testimony from which the trial court could have concluded that a reasonable Montgomery County police officer would not have acted as Albrecht did on this occasion, in drawing and racking a shotgun fitted with a bandolier and bringing it to bear, </w:t>
            </w:r>
            <w:r>
              <w:rPr>
                <w:rFonts w:ascii="Arial" w:eastAsia="Arial" w:hAnsi="Arial" w:cs="Arial"/>
                <w:i/>
                <w:color w:val="000000"/>
                <w:sz w:val="20"/>
              </w:rPr>
              <w:t>with his finger on the trigger</w:t>
            </w:r>
            <w:r>
              <w:rPr>
                <w:rFonts w:ascii="Arial" w:eastAsia="Arial" w:hAnsi="Arial" w:cs="Arial"/>
                <w:color w:val="000000"/>
                <w:sz w:val="20"/>
              </w:rPr>
              <w:t>, on an unarmed individual, who did not present a threat to the officer or to any third parties, in a situation where nearby bystanders were exposed.</w:t>
            </w:r>
          </w:p>
          <w:p w:rsidR="004729FB" w:rsidRDefault="004729FB" w:rsidP="00713DA5">
            <w:pPr>
              <w:spacing w:before="240" w:line="260" w:lineRule="atLeast"/>
              <w:ind w:left="60" w:right="360"/>
              <w:jc w:val="both"/>
            </w:pPr>
            <w:hyperlink r:id="rId1222" w:history="1">
              <w:r>
                <w:rPr>
                  <w:rFonts w:ascii="Arial" w:eastAsia="Arial" w:hAnsi="Arial" w:cs="Arial"/>
                  <w:i/>
                  <w:color w:val="0077CC"/>
                  <w:sz w:val="20"/>
                  <w:u w:val="single"/>
                </w:rPr>
                <w:t>Id. at 505, 649 A.2d at 350-51</w:t>
              </w:r>
            </w:hyperlink>
            <w:r>
              <w:rPr>
                <w:rFonts w:ascii="Arial" w:eastAsia="Arial" w:hAnsi="Arial" w:cs="Arial"/>
                <w:color w:val="000000"/>
                <w:sz w:val="20"/>
              </w:rPr>
              <w:t xml:space="preserve"> (emphasis in original).</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Dishman v. State</w:t>
            </w:r>
            <w:r>
              <w:rPr>
                <w:rFonts w:ascii="Arial" w:eastAsia="Arial" w:hAnsi="Arial" w:cs="Arial"/>
                <w:color w:val="000000"/>
                <w:sz w:val="20"/>
              </w:rPr>
              <w:t xml:space="preserve">, the Court of Appeals distinguished depraved heart murder and grossly negligent involuntary manslaughter. </w:t>
            </w:r>
            <w:hyperlink r:id="rId1223" w:history="1">
              <w:r>
                <w:rPr>
                  <w:rFonts w:ascii="Arial" w:eastAsia="Arial" w:hAnsi="Arial" w:cs="Arial"/>
                  <w:i/>
                  <w:color w:val="0077CC"/>
                  <w:sz w:val="20"/>
                  <w:u w:val="single"/>
                </w:rPr>
                <w:t>352 Md. 279, 721 A.2d 699 (1998).</w:t>
              </w:r>
            </w:hyperlink>
            <w:r>
              <w:rPr>
                <w:rFonts w:ascii="Arial" w:eastAsia="Arial" w:hAnsi="Arial" w:cs="Arial"/>
                <w:color w:val="000000"/>
                <w:sz w:val="20"/>
              </w:rPr>
              <w:t xml:space="preserve"> The victim had died of asphyxiation. </w:t>
            </w:r>
            <w:hyperlink r:id="rId1224" w:history="1">
              <w:r>
                <w:rPr>
                  <w:rFonts w:ascii="Arial" w:eastAsia="Arial" w:hAnsi="Arial" w:cs="Arial"/>
                  <w:i/>
                  <w:color w:val="0077CC"/>
                  <w:sz w:val="20"/>
                  <w:u w:val="single"/>
                </w:rPr>
                <w:t>Id. at 283, 721 A.2d at 701.</w:t>
              </w:r>
            </w:hyperlink>
            <w:r>
              <w:rPr>
                <w:rFonts w:ascii="Arial" w:eastAsia="Arial" w:hAnsi="Arial" w:cs="Arial"/>
                <w:color w:val="000000"/>
                <w:sz w:val="20"/>
              </w:rPr>
              <w:t xml:space="preserve"> Defendant admitted grabbing her by the collar of her jacket and putting tape over her mouth. </w:t>
            </w:r>
            <w:hyperlink r:id="rId1225" w:history="1">
              <w:r>
                <w:rPr>
                  <w:rFonts w:ascii="Arial" w:eastAsia="Arial" w:hAnsi="Arial" w:cs="Arial"/>
                  <w:i/>
                  <w:color w:val="0077CC"/>
                  <w:sz w:val="20"/>
                  <w:u w:val="single"/>
                </w:rPr>
                <w:t>Id. at 295, 721 A.2d at 706.</w:t>
              </w:r>
            </w:hyperlink>
            <w:r>
              <w:rPr>
                <w:rFonts w:ascii="Arial" w:eastAsia="Arial" w:hAnsi="Arial" w:cs="Arial"/>
                <w:color w:val="000000"/>
                <w:sz w:val="20"/>
              </w:rPr>
              <w:t xml:space="preserve"> The issue was whether, in addition to depraved heart murder, the judge should have instructed the jury on gross negligence involuntary manslaughter. The Court of Appeals concluded that it should have, saying:</w:t>
            </w:r>
          </w:p>
          <w:p w:rsidR="004729FB" w:rsidRDefault="004729FB" w:rsidP="00713DA5">
            <w:pPr>
              <w:spacing w:before="200" w:line="260" w:lineRule="atLeast"/>
              <w:ind w:left="460" w:right="360"/>
              <w:jc w:val="both"/>
            </w:pPr>
            <w:r>
              <w:rPr>
                <w:rFonts w:ascii="Arial" w:eastAsia="Arial" w:hAnsi="Arial" w:cs="Arial"/>
                <w:color w:val="000000"/>
                <w:sz w:val="20"/>
              </w:rPr>
              <w:t xml:space="preserve">While our cases have not drawn a precise line between depraved heart murder and involuntary manslaughter and we are not called upon to do so in this case, we observe that the difference is one of the degree of culpability. In defining both crimes we have used the term "reckless." The subtlety between the offenses is evident in the Maryland pattern jury instructions. Depraved heart murder requires that the defendant must "act[] with extreme disregard of the life-endangering consequences" and with a "very high degree of risk to … life," while involuntary manslaughter requires that the </w:t>
            </w:r>
            <w:r>
              <w:rPr>
                <w:rFonts w:ascii="Arial" w:eastAsia="Arial" w:hAnsi="Arial" w:cs="Arial"/>
                <w:color w:val="000000"/>
                <w:sz w:val="20"/>
              </w:rPr>
              <w:lastRenderedPageBreak/>
              <w:t xml:space="preserve">defendant act in a "grossly negligent manner… that created a high degree of risk to human life." MPJI-Cr 4:17.8(B), at 258-59 (1997). Both crimes require that the defendant be conscious of the risk to human life of his or her conduct. </w:t>
            </w:r>
            <w:r>
              <w:rPr>
                <w:rFonts w:ascii="Arial" w:eastAsia="Arial" w:hAnsi="Arial" w:cs="Arial"/>
                <w:i/>
                <w:color w:val="000000"/>
                <w:sz w:val="20"/>
              </w:rPr>
              <w:t>See id.</w:t>
            </w:r>
            <w:r>
              <w:rPr>
                <w:rFonts w:ascii="Arial" w:eastAsia="Arial" w:hAnsi="Arial" w:cs="Arial"/>
                <w:color w:val="000000"/>
                <w:sz w:val="20"/>
              </w:rPr>
              <w:t xml:space="preserve"> As Professors LaFave and Scott have observed: "The distinctions between an unreasonable risk and a high degree of risk and a very high degree of risk are, of course, matters of degree, and there is no exact boundary line between each category; they shade gradually like a spectrum from one group to another."</w:t>
            </w:r>
          </w:p>
          <w:p w:rsidR="004729FB" w:rsidRDefault="004729FB" w:rsidP="00713DA5">
            <w:pPr>
              <w:spacing w:before="240" w:line="260" w:lineRule="atLeast"/>
              <w:ind w:left="60" w:right="360"/>
              <w:jc w:val="both"/>
            </w:pPr>
            <w:hyperlink r:id="rId1226" w:history="1">
              <w:r>
                <w:rPr>
                  <w:rFonts w:ascii="Arial" w:eastAsia="Arial" w:hAnsi="Arial" w:cs="Arial"/>
                  <w:i/>
                  <w:color w:val="0077CC"/>
                  <w:sz w:val="20"/>
                  <w:u w:val="single"/>
                </w:rPr>
                <w:t>Id. at 299-300, 721 A.2d at 708</w:t>
              </w:r>
            </w:hyperlink>
            <w:r>
              <w:rPr>
                <w:rFonts w:ascii="Arial" w:eastAsia="Arial" w:hAnsi="Arial" w:cs="Arial"/>
                <w:color w:val="000000"/>
                <w:sz w:val="20"/>
              </w:rPr>
              <w:t xml:space="preserve"> (some citations omitted).</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Pagotto v. State</w:t>
            </w:r>
            <w:r>
              <w:rPr>
                <w:rFonts w:ascii="Arial" w:eastAsia="Arial" w:hAnsi="Arial" w:cs="Arial"/>
                <w:color w:val="000000"/>
                <w:sz w:val="20"/>
              </w:rPr>
              <w:t xml:space="preserve">, the Court of Special Appeals further distinguished depraved heart murder from gross negligence involuntary manslaughter by sorting the culpability of non-intentional homicides into three categories: (1) "mere civil liability for a wrongful death," i.e., "non-criminal" homicide, which it put at "the bottom end of the culpability scale"; (2) "'gross deviations' from the standard of care used by an ordinary person where the negligent conduct can reasonably be said to manifest 'a wanton or reckless disregard of human life,'" which it said was "involuntary manslaughter of the gross negligence variety" and belonged "[h]igher up the ascending scale of blameworthy negligence," and (3) "those acts of a lifeendangering nature so reckless that they manifest a wanton indifference to human life" and "constitute[] second-degree murder of the depraved-heart variety," the most blameworthy of non-intentional homicides. </w:t>
            </w:r>
            <w:hyperlink r:id="rId1227" w:history="1">
              <w:r>
                <w:rPr>
                  <w:rFonts w:ascii="Arial" w:eastAsia="Arial" w:hAnsi="Arial" w:cs="Arial"/>
                  <w:i/>
                  <w:color w:val="0077CC"/>
                  <w:sz w:val="20"/>
                  <w:u w:val="single"/>
                </w:rPr>
                <w:t>127 Md. App. 271, 276-77, 732 A.2d 920, 923 (1999),</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28" w:history="1">
              <w:r>
                <w:rPr>
                  <w:rFonts w:ascii="Arial" w:eastAsia="Arial" w:hAnsi="Arial" w:cs="Arial"/>
                  <w:i/>
                  <w:color w:val="0077CC"/>
                  <w:sz w:val="20"/>
                  <w:u w:val="single"/>
                </w:rPr>
                <w:t>361 Md. 528, 762 A.2d 97 (2000).</w:t>
              </w:r>
            </w:hyperlink>
            <w:r>
              <w:rPr>
                <w:rFonts w:ascii="Arial" w:eastAsia="Arial" w:hAnsi="Arial" w:cs="Arial"/>
                <w:color w:val="000000"/>
                <w:sz w:val="20"/>
              </w:rPr>
              <w:t xml:space="preserve"> The court reversed the defendant police officer's involuntary manslaughter conviction because his simple negligence, in accidentally firing his gun, did not meet the higher test for gross negligence. </w:t>
            </w:r>
            <w:hyperlink r:id="rId1229" w:history="1">
              <w:r>
                <w:rPr>
                  <w:rFonts w:ascii="Arial" w:eastAsia="Arial" w:hAnsi="Arial" w:cs="Arial"/>
                  <w:i/>
                  <w:color w:val="0077CC"/>
                  <w:sz w:val="20"/>
                  <w:u w:val="single"/>
                </w:rPr>
                <w:t>Id. at 364-65, 732 A.2d at 969.</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The other method of establishing involuntary manslaughter is the commission of a criminal homicide during the perpetration of an unlawful act, which is sometimes referred to as misdemeanor manslaughter. </w:t>
            </w:r>
            <w:r>
              <w:rPr>
                <w:rFonts w:ascii="Arial" w:eastAsia="Arial" w:hAnsi="Arial" w:cs="Arial"/>
                <w:i/>
                <w:color w:val="000000"/>
                <w:sz w:val="20"/>
              </w:rPr>
              <w:t>See generally</w:t>
            </w:r>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xml:space="preserve">, § 15.5, at 844-47; PERKINS &amp; BOYCE, </w:t>
            </w:r>
            <w:r>
              <w:rPr>
                <w:rFonts w:ascii="Arial" w:eastAsia="Arial" w:hAnsi="Arial" w:cs="Arial"/>
                <w:i/>
                <w:color w:val="000000"/>
                <w:sz w:val="20"/>
              </w:rPr>
              <w:t>supra</w:t>
            </w:r>
            <w:r>
              <w:rPr>
                <w:rFonts w:ascii="Arial" w:eastAsia="Arial" w:hAnsi="Arial" w:cs="Arial"/>
                <w:color w:val="000000"/>
                <w:sz w:val="20"/>
              </w:rPr>
              <w:t xml:space="preserve">, § 2.1, at 108-14. In </w:t>
            </w:r>
            <w:hyperlink r:id="rId1230" w:history="1">
              <w:r>
                <w:rPr>
                  <w:rFonts w:ascii="Arial" w:eastAsia="Arial" w:hAnsi="Arial" w:cs="Arial"/>
                  <w:i/>
                  <w:color w:val="0077CC"/>
                  <w:sz w:val="20"/>
                  <w:u w:val="single"/>
                </w:rPr>
                <w:t>Schlossman v. State, 105 Md. App. 277, 288, 659 A.2d 371, 376 (1995),</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1231" w:history="1">
              <w:r>
                <w:rPr>
                  <w:rFonts w:ascii="Arial" w:eastAsia="Arial" w:hAnsi="Arial" w:cs="Arial"/>
                  <w:i/>
                  <w:color w:val="0077CC"/>
                  <w:sz w:val="20"/>
                  <w:u w:val="single"/>
                </w:rPr>
                <w:t>Bailey v. State, 355 Md. 287, 734 A.2d 684 (1999),</w:t>
              </w:r>
            </w:hyperlink>
            <w:r>
              <w:rPr>
                <w:rFonts w:ascii="Arial" w:eastAsia="Arial" w:hAnsi="Arial" w:cs="Arial"/>
                <w:color w:val="000000"/>
                <w:sz w:val="20"/>
              </w:rPr>
              <w:t xml:space="preserve"> the Court of Special Appeals stated that a homicide resulting from the perpetration of a malum in se unlawful act not amounting to a felony is manslaughter, regardless of whether the unlawful act was "dangerous to life." </w:t>
            </w:r>
            <w:r>
              <w:rPr>
                <w:rFonts w:ascii="Arial" w:eastAsia="Arial" w:hAnsi="Arial" w:cs="Arial"/>
                <w:i/>
                <w:color w:val="000000"/>
                <w:sz w:val="20"/>
              </w:rPr>
              <w:t xml:space="preserve">See also </w:t>
            </w:r>
            <w:hyperlink r:id="rId1232" w:history="1">
              <w:r>
                <w:rPr>
                  <w:rFonts w:ascii="Arial" w:eastAsia="Arial" w:hAnsi="Arial" w:cs="Arial"/>
                  <w:i/>
                  <w:color w:val="0077CC"/>
                  <w:sz w:val="20"/>
                  <w:u w:val="single"/>
                </w:rPr>
                <w:t>Mills, 13 Md. App. at 200, 282 A.2d at 149;</w:t>
              </w:r>
            </w:hyperlink>
            <w:r>
              <w:rPr>
                <w:rFonts w:ascii="Arial" w:eastAsia="Arial" w:hAnsi="Arial" w:cs="Arial"/>
                <w:color w:val="000000"/>
                <w:sz w:val="20"/>
              </w:rPr>
              <w:t xml:space="preserve"> </w:t>
            </w:r>
            <w:hyperlink r:id="rId1233" w:history="1">
              <w:r>
                <w:rPr>
                  <w:rFonts w:ascii="Arial" w:eastAsia="Arial" w:hAnsi="Arial" w:cs="Arial"/>
                  <w:i/>
                  <w:color w:val="0077CC"/>
                  <w:sz w:val="20"/>
                  <w:u w:val="single"/>
                </w:rPr>
                <w:t>Rolfes v. State, 10 Md. App. 204, 205-09, 268 A.2d 795, 796-97 (1970);</w:t>
              </w:r>
            </w:hyperlink>
            <w:r>
              <w:rPr>
                <w:rFonts w:ascii="Arial" w:eastAsia="Arial" w:hAnsi="Arial" w:cs="Arial"/>
                <w:color w:val="000000"/>
                <w:sz w:val="20"/>
              </w:rPr>
              <w:t xml:space="preserve"> </w:t>
            </w:r>
            <w:hyperlink r:id="rId1234" w:history="1">
              <w:r>
                <w:rPr>
                  <w:rFonts w:ascii="Arial" w:eastAsia="Arial" w:hAnsi="Arial" w:cs="Arial"/>
                  <w:i/>
                  <w:color w:val="0077CC"/>
                  <w:sz w:val="20"/>
                  <w:u w:val="single"/>
                </w:rPr>
                <w:t>State v. Gibson, 4 Md. App. 236, 242, 242 A.2d 575, 579 (1968),</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35" w:history="1">
              <w:r>
                <w:rPr>
                  <w:rFonts w:ascii="Arial" w:eastAsia="Arial" w:hAnsi="Arial" w:cs="Arial"/>
                  <w:i/>
                  <w:color w:val="0077CC"/>
                  <w:sz w:val="20"/>
                  <w:u w:val="single"/>
                </w:rPr>
                <w:t>254 Md. 399, 254 A.2d 691 (1969).</w:t>
              </w:r>
            </w:hyperlink>
            <w:r>
              <w:rPr>
                <w:rFonts w:ascii="Arial" w:eastAsia="Arial" w:hAnsi="Arial" w:cs="Arial"/>
                <w:color w:val="000000"/>
                <w:sz w:val="20"/>
              </w:rPr>
              <w:t xml:space="preserve"> Professor Perkins also has stated that unlawful acts means acts that are mala in se. </w:t>
            </w:r>
            <w:r>
              <w:rPr>
                <w:rFonts w:ascii="Arial" w:eastAsia="Arial" w:hAnsi="Arial" w:cs="Arial"/>
                <w:i/>
                <w:color w:val="000000"/>
                <w:sz w:val="20"/>
              </w:rPr>
              <w:t>See generally</w:t>
            </w:r>
            <w:r>
              <w:rPr>
                <w:rFonts w:ascii="Arial" w:eastAsia="Arial" w:hAnsi="Arial" w:cs="Arial"/>
                <w:color w:val="000000"/>
                <w:sz w:val="20"/>
              </w:rPr>
              <w:t xml:space="preserve"> PERKINS &amp; BOYCE, </w:t>
            </w:r>
            <w:r>
              <w:rPr>
                <w:rFonts w:ascii="Arial" w:eastAsia="Arial" w:hAnsi="Arial" w:cs="Arial"/>
                <w:i/>
                <w:color w:val="000000"/>
                <w:sz w:val="20"/>
              </w:rPr>
              <w:t>supra</w:t>
            </w:r>
            <w:r>
              <w:rPr>
                <w:rFonts w:ascii="Arial" w:eastAsia="Arial" w:hAnsi="Arial" w:cs="Arial"/>
                <w:color w:val="000000"/>
                <w:sz w:val="20"/>
              </w:rPr>
              <w:t xml:space="preserve">, § 2.1, at 108-12. Mala in se acts are felonies, plus misdemeanors that are a breach of the public order or are injurious to persons or property. </w:t>
            </w:r>
            <w:r>
              <w:rPr>
                <w:rFonts w:ascii="Arial" w:eastAsia="Arial" w:hAnsi="Arial" w:cs="Arial"/>
                <w:i/>
                <w:color w:val="000000"/>
                <w:sz w:val="20"/>
              </w:rPr>
              <w:t>See id.</w:t>
            </w:r>
            <w:r>
              <w:rPr>
                <w:rFonts w:ascii="Arial" w:eastAsia="Arial" w:hAnsi="Arial" w:cs="Arial"/>
                <w:color w:val="000000"/>
                <w:sz w:val="20"/>
              </w:rPr>
              <w:t xml:space="preserve"> This approach, although not including all unlawful acts, includes many unlawful acts that are not dangerous to human life. </w:t>
            </w:r>
            <w:r>
              <w:rPr>
                <w:rFonts w:ascii="Arial" w:eastAsia="Arial" w:hAnsi="Arial" w:cs="Arial"/>
                <w:i/>
                <w:color w:val="000000"/>
                <w:sz w:val="20"/>
              </w:rPr>
              <w:t>Id.</w:t>
            </w:r>
            <w:r>
              <w:rPr>
                <w:rFonts w:ascii="Arial" w:eastAsia="Arial" w:hAnsi="Arial" w:cs="Arial"/>
                <w:color w:val="000000"/>
                <w:sz w:val="20"/>
              </w:rPr>
              <w:t xml:space="preserve"> Professor LaFave even includes in his definition unlawful acts that are merely mala prohibita if death is a foreseeable consequence. </w:t>
            </w:r>
            <w:r>
              <w:rPr>
                <w:rFonts w:ascii="Arial" w:eastAsia="Arial" w:hAnsi="Arial" w:cs="Arial"/>
                <w:i/>
                <w:color w:val="000000"/>
                <w:sz w:val="20"/>
              </w:rPr>
              <w:t>See generally</w:t>
            </w:r>
            <w:r>
              <w:rPr>
                <w:rFonts w:ascii="Arial" w:eastAsia="Arial" w:hAnsi="Arial" w:cs="Arial"/>
                <w:color w:val="000000"/>
                <w:sz w:val="20"/>
              </w:rPr>
              <w:t xml:space="preserve"> LAFAVE, </w:t>
            </w:r>
            <w:r>
              <w:rPr>
                <w:rFonts w:ascii="Arial" w:eastAsia="Arial" w:hAnsi="Arial" w:cs="Arial"/>
                <w:i/>
                <w:color w:val="000000"/>
                <w:sz w:val="20"/>
              </w:rPr>
              <w:t>supra</w:t>
            </w:r>
            <w:r>
              <w:rPr>
                <w:rFonts w:ascii="Arial" w:eastAsia="Arial" w:hAnsi="Arial" w:cs="Arial"/>
                <w:color w:val="000000"/>
                <w:sz w:val="20"/>
              </w:rPr>
              <w:t>, at 594-600. Mala prohibita acts are those that are wrong only because the legislature has so provided.</w:t>
            </w:r>
          </w:p>
          <w:p w:rsidR="004729FB" w:rsidRDefault="004729FB" w:rsidP="00713DA5">
            <w:pPr>
              <w:spacing w:before="200" w:line="260" w:lineRule="atLeast"/>
              <w:ind w:left="60" w:right="360"/>
              <w:jc w:val="both"/>
            </w:pPr>
            <w:r>
              <w:rPr>
                <w:rFonts w:ascii="Arial" w:eastAsia="Arial" w:hAnsi="Arial" w:cs="Arial"/>
                <w:color w:val="000000"/>
                <w:sz w:val="20"/>
              </w:rPr>
              <w:t xml:space="preserve">In sum, unlawful act misdemeanor manslaughter is akin to felony murder in that it requires only proof of the underlying unlawful act and the causal connection between that act and the resulting death. Thus, there is no requirement to independently show gross negligence on the part of the defendant. </w:t>
            </w:r>
            <w:r>
              <w:rPr>
                <w:rFonts w:ascii="Arial" w:eastAsia="Arial" w:hAnsi="Arial" w:cs="Arial"/>
                <w:i/>
                <w:color w:val="000000"/>
                <w:sz w:val="20"/>
              </w:rPr>
              <w:t xml:space="preserve">But see </w:t>
            </w:r>
            <w:hyperlink r:id="rId1236" w:history="1">
              <w:r>
                <w:rPr>
                  <w:rFonts w:ascii="Arial" w:eastAsia="Arial" w:hAnsi="Arial" w:cs="Arial"/>
                  <w:i/>
                  <w:color w:val="0077CC"/>
                  <w:sz w:val="20"/>
                  <w:u w:val="single"/>
                </w:rPr>
                <w:t>Gibson, 4 Md. App. at 244-45, 242 A.2d at 580-81.</w:t>
              </w:r>
            </w:hyperlink>
            <w:r>
              <w:rPr>
                <w:rFonts w:ascii="Arial" w:eastAsia="Arial" w:hAnsi="Arial" w:cs="Arial"/>
                <w:color w:val="000000"/>
                <w:sz w:val="20"/>
              </w:rPr>
              <w:t xml:space="preserve"> There is a fine line between the wanton or reckless disregard mens rea of involuntary manslaughter and the extreme disregard mens rea of depraved heart murder. </w:t>
            </w:r>
            <w:hyperlink r:id="rId1237" w:history="1">
              <w:r>
                <w:rPr>
                  <w:rFonts w:ascii="Arial" w:eastAsia="Arial" w:hAnsi="Arial" w:cs="Arial"/>
                  <w:i/>
                  <w:color w:val="0077CC"/>
                  <w:sz w:val="20"/>
                  <w:u w:val="single"/>
                </w:rPr>
                <w:t>Blackwell v. State, 34 Md. App. 547, 556-58, 369 A.2d 153, 159-60,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280 Md. 728, 735 (1977).</w:t>
            </w:r>
            <w:r>
              <w:rPr>
                <w:rFonts w:ascii="Arial" w:eastAsia="Arial" w:hAnsi="Arial" w:cs="Arial"/>
                <w:color w:val="000000"/>
                <w:sz w:val="20"/>
              </w:rPr>
              <w:t xml:space="preserve"> Between these two close points on a continuum of culpability is the malice line, separating murder from manslaughter.</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3" style="position:absolute;z-index:25186611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lastRenderedPageBreak/>
        <w:t>MPJI-Cr 4:17.2, MPJI-Cr 4:17.3, MPJI-Cr 4:17.4, MPJI-Cr 4:17.5, MPJI-Cr 4:17.8, MPJI-Cr 4:17.10, MPJI-Cr 4:17.11.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3" style="position:absolute;left:0;text-align:left;z-index:2518763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0" name="Picture 7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244" w:history="1">
        <w:r>
          <w:rPr>
            <w:rFonts w:ascii="Arial" w:eastAsia="Arial" w:hAnsi="Arial" w:cs="Arial"/>
            <w:b/>
            <w:bCs/>
            <w:i/>
            <w:color w:val="0077CC"/>
            <w:kern w:val="32"/>
            <w:sz w:val="28"/>
            <w:szCs w:val="32"/>
            <w:u w:val="single"/>
          </w:rPr>
          <w:t>MPJI-Cr 4:17.10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HOMICIDE--MANSLAUGHTER BY MOTOR VEHICLE</w:t>
      </w:r>
    </w:p>
    <w:p w:rsidR="004729FB" w:rsidRDefault="004729FB" w:rsidP="004729FB">
      <w:pPr>
        <w:keepNext/>
        <w:spacing w:before="240" w:line="340" w:lineRule="atLeast"/>
      </w:pPr>
      <w:r>
        <w:br/>
      </w:r>
      <w:r>
        <w:rPr>
          <w:rFonts w:ascii="Arial" w:eastAsia="Arial" w:hAnsi="Arial" w:cs="Arial"/>
          <w:b/>
          <w:color w:val="000000"/>
          <w:sz w:val="28"/>
        </w:rPr>
        <w:t>4:17.10Homicide--Manslaughter By Motor Vehicle</w:t>
      </w:r>
    </w:p>
    <w:p w:rsidR="004729FB" w:rsidRDefault="004729FB" w:rsidP="004729FB">
      <w:pPr>
        <w:spacing w:line="60" w:lineRule="exact"/>
      </w:pPr>
      <w:r>
        <w:pict>
          <v:line id="_x0000_s1234" style="position:absolute;z-index:25185689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MANSLAUGHTER BY MOTOR VEHICLE--GROSSLY NEGLIGENT DRIVING</w:t>
      </w:r>
    </w:p>
    <w:p w:rsidR="004729FB" w:rsidRDefault="004729FB" w:rsidP="004729FB">
      <w:pPr>
        <w:spacing w:before="200" w:line="260" w:lineRule="atLeast"/>
        <w:jc w:val="both"/>
      </w:pPr>
      <w:r>
        <w:rPr>
          <w:rFonts w:ascii="Arial" w:eastAsia="Arial" w:hAnsi="Arial" w:cs="Arial"/>
          <w:b/>
          <w:color w:val="000000"/>
          <w:sz w:val="20"/>
        </w:rPr>
        <w:t>The defendant is charged with the crime of manslaughter by motor vehicle.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drove in a grossly negligent manner, and</w:t>
      </w:r>
    </w:p>
    <w:p w:rsidR="004729FB" w:rsidRDefault="004729FB" w:rsidP="004729FB">
      <w:pPr>
        <w:spacing w:before="200" w:line="260" w:lineRule="atLeast"/>
        <w:ind w:left="400"/>
        <w:jc w:val="both"/>
      </w:pPr>
      <w:r>
        <w:rPr>
          <w:rFonts w:ascii="Arial" w:eastAsia="Arial" w:hAnsi="Arial" w:cs="Arial"/>
          <w:b/>
          <w:color w:val="000000"/>
          <w:sz w:val="20"/>
        </w:rPr>
        <w:t>(3) that this grossly negligent driving caused the death of (name)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driver's conduct is grossly negligent if [he] [she] drives a motor vehicle in a way that creates a high degree of risk to, and shows a reckless disregard for, human life, and the driver is [either] aware that his or her driving has created that risk [or, as a result of self-induced intoxication, is unaware that his or her driving has created that risk]</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CRIMINALLY NEGLIGENT MANSLAUGHTER</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criminally negligent manslaughter.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drove in a criminally negligent manner; and</w:t>
      </w:r>
    </w:p>
    <w:p w:rsidR="004729FB" w:rsidRDefault="004729FB" w:rsidP="004729FB">
      <w:pPr>
        <w:spacing w:before="200" w:line="260" w:lineRule="atLeast"/>
        <w:ind w:left="400"/>
        <w:jc w:val="both"/>
      </w:pPr>
      <w:r>
        <w:rPr>
          <w:rFonts w:ascii="Arial" w:eastAsia="Arial" w:hAnsi="Arial" w:cs="Arial"/>
          <w:b/>
          <w:color w:val="000000"/>
          <w:sz w:val="20"/>
        </w:rPr>
        <w:t>(3) that this criminally negligent driving caused the death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"Criminally negligent" means that the defendant should have been aware but failed to perceive that [his] [her] manner of driving created a substantial and unjustifiable risk to human life. This failure to perceive the risks must have been a gross departure from the conduct of a reasonable person under similar circumstances. Simple carelessness is insufficient to establish defendant's guilt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lastRenderedPageBreak/>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4:17 (Homicide--First Degree Premeditated Murder and Second Degree Specific Intent Murder (No Justification or Mitigation Generated)); MPJI-Cr 4:17.2 (Homicide--First Degree Premeditated Murder, Second Degree Specific Intent Murder and Voluntary Manslaughter (Imperfect Self-Defense)); MPJI-Cr 4:17.9 (Homicide--Involuntary Manslaughter (Grossly Negligent Act and Unlawful Act)).</w:t>
            </w:r>
          </w:p>
          <w:p w:rsidR="004729FB" w:rsidRDefault="004729FB" w:rsidP="00713DA5">
            <w:pPr>
              <w:spacing w:before="200" w:line="260" w:lineRule="atLeast"/>
              <w:ind w:left="60" w:right="360"/>
              <w:jc w:val="both"/>
            </w:pPr>
            <w:r>
              <w:rPr>
                <w:rFonts w:ascii="Arial" w:eastAsia="Arial" w:hAnsi="Arial" w:cs="Arial"/>
                <w:color w:val="000000"/>
                <w:sz w:val="20"/>
              </w:rPr>
              <w:t>There now are two forms of criminally negligent manslaughter by motor vehicle in Maryland, the earlier established crime prohibited by CRIM. LAW I § 2-209 (2012), and a new crime, created in 2011, established by CRIM. LAW I § 2-210. The case law, to date, deals with the first crime.</w:t>
            </w:r>
          </w:p>
          <w:p w:rsidR="004729FB" w:rsidRDefault="004729FB" w:rsidP="00713DA5">
            <w:pPr>
              <w:spacing w:before="200" w:line="260" w:lineRule="atLeast"/>
              <w:ind w:left="60" w:right="360"/>
              <w:jc w:val="both"/>
            </w:pPr>
            <w:r>
              <w:rPr>
                <w:rFonts w:ascii="Arial" w:eastAsia="Arial" w:hAnsi="Arial" w:cs="Arial"/>
                <w:color w:val="000000"/>
                <w:sz w:val="20"/>
              </w:rPr>
              <w:t xml:space="preserve">Prior to enactment of the 2011 statute, involuntary manslaughter committed as a result of driving, operating, or controlling a motor vehicle, motorboat, train, or streetcar was controlled by the statutory misdemeanor known as manslaughter by motor vehicle. CRIM. LAW I § 2-209; </w:t>
            </w:r>
            <w:r>
              <w:rPr>
                <w:rFonts w:ascii="Arial" w:eastAsia="Arial" w:hAnsi="Arial" w:cs="Arial"/>
                <w:i/>
                <w:color w:val="000000"/>
                <w:sz w:val="20"/>
              </w:rPr>
              <w:t xml:space="preserve">see </w:t>
            </w:r>
            <w:hyperlink r:id="rId1245" w:history="1">
              <w:r>
                <w:rPr>
                  <w:rFonts w:ascii="Arial" w:eastAsia="Arial" w:hAnsi="Arial" w:cs="Arial"/>
                  <w:i/>
                  <w:color w:val="0077CC"/>
                  <w:sz w:val="20"/>
                  <w:u w:val="single"/>
                </w:rPr>
                <w:t>Forbes v. State, 324 Md. 335, 597 A.2d 427 (1991);</w:t>
              </w:r>
            </w:hyperlink>
            <w:r>
              <w:rPr>
                <w:rFonts w:ascii="Arial" w:eastAsia="Arial" w:hAnsi="Arial" w:cs="Arial"/>
                <w:color w:val="000000"/>
                <w:sz w:val="20"/>
              </w:rPr>
              <w:t xml:space="preserve"> </w:t>
            </w:r>
            <w:hyperlink r:id="rId1246" w:history="1">
              <w:r>
                <w:rPr>
                  <w:rFonts w:ascii="Arial" w:eastAsia="Arial" w:hAnsi="Arial" w:cs="Arial"/>
                  <w:i/>
                  <w:color w:val="0077CC"/>
                  <w:sz w:val="20"/>
                  <w:u w:val="single"/>
                </w:rPr>
                <w:t>Tipton v. State, 39 Md. App. 578, 582-86, 387 A.2d 628, 631-33,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247" w:history="1">
              <w:r>
                <w:rPr>
                  <w:rFonts w:ascii="Arial" w:eastAsia="Arial" w:hAnsi="Arial" w:cs="Arial"/>
                  <w:i/>
                  <w:color w:val="0077CC"/>
                  <w:sz w:val="20"/>
                  <w:u w:val="single"/>
                </w:rPr>
                <w:t>283 Md. 739 (1978);</w:t>
              </w:r>
            </w:hyperlink>
            <w:r>
              <w:rPr>
                <w:rFonts w:ascii="Arial" w:eastAsia="Arial" w:hAnsi="Arial" w:cs="Arial"/>
                <w:color w:val="000000"/>
                <w:sz w:val="20"/>
              </w:rPr>
              <w:t xml:space="preserve"> </w:t>
            </w:r>
            <w:hyperlink r:id="rId1248" w:history="1">
              <w:r>
                <w:rPr>
                  <w:rFonts w:ascii="Arial" w:eastAsia="Arial" w:hAnsi="Arial" w:cs="Arial"/>
                  <w:i/>
                  <w:color w:val="0077CC"/>
                  <w:sz w:val="20"/>
                  <w:u w:val="single"/>
                </w:rPr>
                <w:t>State v. Gibson, 4 Md. App. 236, 242 A.2d 575 (1968),</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49" w:history="1">
              <w:r>
                <w:rPr>
                  <w:rFonts w:ascii="Arial" w:eastAsia="Arial" w:hAnsi="Arial" w:cs="Arial"/>
                  <w:i/>
                  <w:color w:val="0077CC"/>
                  <w:sz w:val="20"/>
                  <w:u w:val="single"/>
                </w:rPr>
                <w:t>254 Md. 399, 254 A.2d 691 (1969).</w:t>
              </w:r>
            </w:hyperlink>
            <w:r>
              <w:rPr>
                <w:rFonts w:ascii="Arial" w:eastAsia="Arial" w:hAnsi="Arial" w:cs="Arial"/>
                <w:color w:val="000000"/>
                <w:sz w:val="20"/>
              </w:rPr>
              <w:t xml:space="preserve"> In </w:t>
            </w:r>
            <w:hyperlink r:id="rId1250" w:history="1">
              <w:r>
                <w:rPr>
                  <w:rFonts w:ascii="Arial" w:eastAsia="Arial" w:hAnsi="Arial" w:cs="Arial"/>
                  <w:i/>
                  <w:color w:val="0077CC"/>
                  <w:sz w:val="20"/>
                  <w:u w:val="single"/>
                </w:rPr>
                <w:t>Blackwell v. State, 34 Md. App. 547, 560-66, 369 A.2d 153, 161-65,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280 Md. 728, 735 (1977),</w:t>
            </w:r>
            <w:r>
              <w:rPr>
                <w:rFonts w:ascii="Arial" w:eastAsia="Arial" w:hAnsi="Arial" w:cs="Arial"/>
                <w:color w:val="000000"/>
                <w:sz w:val="20"/>
              </w:rPr>
              <w:t xml:space="preserve"> the Court of Special Appeals held that one who drives while intoxicated may be inferred to have wantonly and recklessly disregarded human life. Thus, if driving while intoxicated results in the death of another, the fact of driving while intoxicated establishes a prima facie case of gross negligence sufficient for manslaughter by motor vehicle. </w:t>
            </w:r>
            <w:r>
              <w:rPr>
                <w:rFonts w:ascii="Arial" w:eastAsia="Arial" w:hAnsi="Arial" w:cs="Arial"/>
                <w:i/>
                <w:color w:val="000000"/>
                <w:sz w:val="20"/>
              </w:rPr>
              <w:t xml:space="preserve">See </w:t>
            </w:r>
            <w:hyperlink r:id="rId1251" w:history="1">
              <w:r>
                <w:rPr>
                  <w:rFonts w:ascii="Arial" w:eastAsia="Arial" w:hAnsi="Arial" w:cs="Arial"/>
                  <w:i/>
                  <w:color w:val="0077CC"/>
                  <w:sz w:val="20"/>
                  <w:u w:val="single"/>
                </w:rPr>
                <w:t>Willis v. State, 55 Md. App. 65, 70-71, 460 A.2d 1043, 1046,</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52" w:history="1">
              <w:r>
                <w:rPr>
                  <w:rFonts w:ascii="Arial" w:eastAsia="Arial" w:hAnsi="Arial" w:cs="Arial"/>
                  <w:i/>
                  <w:color w:val="0077CC"/>
                  <w:sz w:val="20"/>
                  <w:u w:val="single"/>
                </w:rPr>
                <w:t>302 Md. 363, 488 A.2d 171 (1985).</w:t>
              </w:r>
            </w:hyperlink>
            <w:r>
              <w:rPr>
                <w:rFonts w:ascii="Arial" w:eastAsia="Arial" w:hAnsi="Arial" w:cs="Arial"/>
                <w:color w:val="000000"/>
                <w:sz w:val="20"/>
              </w:rPr>
              <w:t xml:space="preserve"> In </w:t>
            </w:r>
            <w:r>
              <w:rPr>
                <w:rFonts w:ascii="Arial" w:eastAsia="Arial" w:hAnsi="Arial" w:cs="Arial"/>
                <w:i/>
                <w:color w:val="000000"/>
                <w:sz w:val="20"/>
              </w:rPr>
              <w:t>State v. Kramer</w:t>
            </w:r>
            <w:r>
              <w:rPr>
                <w:rFonts w:ascii="Arial" w:eastAsia="Arial" w:hAnsi="Arial" w:cs="Arial"/>
                <w:color w:val="000000"/>
                <w:sz w:val="20"/>
              </w:rPr>
              <w:t>, the Court of Appeals explained the mental state of gross negligence, i.e., the wanton and reckless disregard for human life, as follows:</w:t>
            </w:r>
          </w:p>
          <w:p w:rsidR="004729FB" w:rsidRDefault="004729FB" w:rsidP="00713DA5">
            <w:pPr>
              <w:spacing w:before="60" w:line="260" w:lineRule="atLeast"/>
              <w:ind w:left="460" w:right="360"/>
              <w:jc w:val="both"/>
            </w:pPr>
            <w:r>
              <w:rPr>
                <w:rFonts w:ascii="Arial" w:eastAsia="Arial" w:hAnsi="Arial" w:cs="Arial"/>
                <w:color w:val="000000"/>
                <w:sz w:val="20"/>
              </w:rPr>
              <w:t>Only conduct that is of extraordinary or outrageous character will be sufficient to imply this state of mind. Simple negligence will not be sufficient--even reckless driving may not be enough. Reckless driving may be a strong indication, but unless it is of extraordinary or outrageous character, it will ordinarily not be sufficient.</w:t>
            </w:r>
          </w:p>
          <w:p w:rsidR="004729FB" w:rsidRDefault="004729FB" w:rsidP="00713DA5">
            <w:pPr>
              <w:spacing w:before="200" w:line="260" w:lineRule="atLeast"/>
              <w:ind w:left="60" w:right="360"/>
              <w:jc w:val="both"/>
            </w:pPr>
            <w:hyperlink r:id="rId1253" w:history="1">
              <w:r>
                <w:rPr>
                  <w:rFonts w:ascii="Arial" w:eastAsia="Arial" w:hAnsi="Arial" w:cs="Arial"/>
                  <w:i/>
                  <w:color w:val="0077CC"/>
                  <w:sz w:val="20"/>
                  <w:u w:val="single"/>
                </w:rPr>
                <w:t>318 Md. 576, 590, 569 A.2d 674, 681 (1990);</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254" w:history="1">
              <w:r>
                <w:rPr>
                  <w:rFonts w:ascii="Arial" w:eastAsia="Arial" w:hAnsi="Arial" w:cs="Arial"/>
                  <w:i/>
                  <w:color w:val="0077CC"/>
                  <w:sz w:val="20"/>
                  <w:u w:val="single"/>
                </w:rPr>
                <w:t>Burlas v. State, 185 Md. App. 559, 577, 971 A.2d 937, 947-48</w:t>
              </w:r>
            </w:hyperlink>
            <w:r>
              <w:rPr>
                <w:rFonts w:ascii="Arial" w:eastAsia="Arial" w:hAnsi="Arial" w:cs="Arial"/>
                <w:color w:val="000000"/>
                <w:sz w:val="20"/>
              </w:rPr>
              <w:t xml:space="preserve"> ("stating that [t]he nature of the area in which the collision occurred is… significant" in determining whether the driver acted wantonly),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410 Md. 166, 978 A.2d 245 (2009);</w:t>
            </w:r>
            <w:r>
              <w:rPr>
                <w:rFonts w:ascii="Arial" w:eastAsia="Arial" w:hAnsi="Arial" w:cs="Arial"/>
                <w:color w:val="000000"/>
                <w:sz w:val="20"/>
              </w:rPr>
              <w:t xml:space="preserve"> </w:t>
            </w:r>
            <w:hyperlink r:id="rId1255" w:history="1">
              <w:r>
                <w:rPr>
                  <w:rFonts w:ascii="Arial" w:eastAsia="Arial" w:hAnsi="Arial" w:cs="Arial"/>
                  <w:i/>
                  <w:color w:val="0077CC"/>
                  <w:sz w:val="20"/>
                  <w:u w:val="single"/>
                </w:rPr>
                <w:t>Skidmore v. State, 166 Md. App. 82, 90, 887 A.2d 92, 97 (2005)</w:t>
              </w:r>
            </w:hyperlink>
            <w:r>
              <w:rPr>
                <w:rFonts w:ascii="Arial" w:eastAsia="Arial" w:hAnsi="Arial" w:cs="Arial"/>
                <w:color w:val="000000"/>
                <w:sz w:val="20"/>
              </w:rPr>
              <w:t xml:space="preserve"> (finding that driver's recognition of his "extreme drowsiness" and his "deliberate decision to ignore the risk of falling asleep at the wheel as he continued driving" were sufficient evidence of gross negligence); </w:t>
            </w:r>
            <w:hyperlink r:id="rId1256" w:history="1">
              <w:r>
                <w:rPr>
                  <w:rFonts w:ascii="Arial" w:eastAsia="Arial" w:hAnsi="Arial" w:cs="Arial"/>
                  <w:i/>
                  <w:color w:val="0077CC"/>
                  <w:sz w:val="20"/>
                  <w:u w:val="single"/>
                </w:rPr>
                <w:t>Plummer v. State, 118 Md. App. 244, 702 A.2d 453 (1997)</w:t>
              </w:r>
            </w:hyperlink>
            <w:r>
              <w:rPr>
                <w:rFonts w:ascii="Arial" w:eastAsia="Arial" w:hAnsi="Arial" w:cs="Arial"/>
                <w:color w:val="000000"/>
                <w:sz w:val="20"/>
              </w:rPr>
              <w:t xml:space="preserve"> (finding that brief inattention did not rise to the level of gross negligence required for automobile manslaughter),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349 Md. 104, 707 A.2d 90 (1998);</w:t>
            </w:r>
            <w:r>
              <w:rPr>
                <w:rFonts w:ascii="Arial" w:eastAsia="Arial" w:hAnsi="Arial" w:cs="Arial"/>
                <w:color w:val="000000"/>
                <w:sz w:val="20"/>
              </w:rPr>
              <w:t xml:space="preserve"> </w:t>
            </w:r>
            <w:hyperlink r:id="rId1257" w:history="1">
              <w:r>
                <w:rPr>
                  <w:rFonts w:ascii="Arial" w:eastAsia="Arial" w:hAnsi="Arial" w:cs="Arial"/>
                  <w:i/>
                  <w:color w:val="0077CC"/>
                  <w:sz w:val="20"/>
                  <w:u w:val="single"/>
                </w:rPr>
                <w:t>Taylor v. State, 83 Md. App. 399, 403, 574 A.2d 928, 930 (1990)</w:t>
              </w:r>
            </w:hyperlink>
            <w:r>
              <w:rPr>
                <w:rFonts w:ascii="Arial" w:eastAsia="Arial" w:hAnsi="Arial" w:cs="Arial"/>
                <w:color w:val="000000"/>
                <w:sz w:val="20"/>
              </w:rPr>
              <w:t xml:space="preserve"> (stating that the object of disregard must be human life and not merely human safety or property). Speed alone is ordinarily insufficient, and the care required must be proportioned to the danger. The issue is "whether, by reason of the speed in the environment, there was a lessening of the control of the vehicle to the point where such lack of effective control is likely at any moment to bring harm to another." </w:t>
            </w:r>
            <w:hyperlink r:id="rId1258" w:history="1">
              <w:r>
                <w:rPr>
                  <w:rFonts w:ascii="Arial" w:eastAsia="Arial" w:hAnsi="Arial" w:cs="Arial"/>
                  <w:i/>
                  <w:color w:val="0077CC"/>
                  <w:sz w:val="20"/>
                  <w:u w:val="single"/>
                </w:rPr>
                <w:t>Kramer, 318 Md. at 591, 569 A.2d at 681</w:t>
              </w:r>
            </w:hyperlink>
            <w:r>
              <w:rPr>
                <w:rFonts w:ascii="Arial" w:eastAsia="Arial" w:hAnsi="Arial" w:cs="Arial"/>
                <w:color w:val="000000"/>
                <w:sz w:val="20"/>
              </w:rPr>
              <w:t xml:space="preserve"> (quoting </w:t>
            </w:r>
            <w:hyperlink r:id="rId1259" w:history="1">
              <w:r>
                <w:rPr>
                  <w:rFonts w:ascii="Arial" w:eastAsia="Arial" w:hAnsi="Arial" w:cs="Arial"/>
                  <w:i/>
                  <w:color w:val="0077CC"/>
                  <w:sz w:val="20"/>
                  <w:u w:val="single"/>
                </w:rPr>
                <w:t>Duren v. State, 203 Md. 584, 592, 102 A.2d 277, 281 (1954)).</w:t>
              </w:r>
            </w:hyperlink>
            <w:r>
              <w:rPr>
                <w:rFonts w:ascii="Arial" w:eastAsia="Arial" w:hAnsi="Arial" w:cs="Arial"/>
                <w:color w:val="000000"/>
                <w:sz w:val="20"/>
              </w:rPr>
              <w:t xml:space="preserve"> In </w:t>
            </w:r>
            <w:r>
              <w:rPr>
                <w:rFonts w:ascii="Arial" w:eastAsia="Arial" w:hAnsi="Arial" w:cs="Arial"/>
                <w:i/>
                <w:color w:val="000000"/>
                <w:sz w:val="20"/>
              </w:rPr>
              <w:t>Kramer</w:t>
            </w:r>
            <w:r>
              <w:rPr>
                <w:rFonts w:ascii="Arial" w:eastAsia="Arial" w:hAnsi="Arial" w:cs="Arial"/>
                <w:color w:val="000000"/>
                <w:sz w:val="20"/>
              </w:rPr>
              <w:t xml:space="preserve">, the Court of Appeals held that a speed of 70 miles per hour in a 55 mile-per-hour rural zone, when coupled with a lack of attention, was legally sufficient to constitute "a state of mind amounting to criminal indifference to consequences. </w:t>
            </w:r>
            <w:hyperlink r:id="rId1260" w:history="1">
              <w:r>
                <w:rPr>
                  <w:rFonts w:ascii="Arial" w:eastAsia="Arial" w:hAnsi="Arial" w:cs="Arial"/>
                  <w:i/>
                  <w:color w:val="0077CC"/>
                  <w:sz w:val="20"/>
                  <w:u w:val="single"/>
                </w:rPr>
                <w:t>Id. at 593, 569 A.2d at 682;</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261" w:history="1">
              <w:r>
                <w:rPr>
                  <w:rFonts w:ascii="Arial" w:eastAsia="Arial" w:hAnsi="Arial" w:cs="Arial"/>
                  <w:i/>
                  <w:color w:val="0077CC"/>
                  <w:sz w:val="20"/>
                  <w:u w:val="single"/>
                </w:rPr>
                <w:t>Taylor, 83 Md. App. at 404, 574 A.2d at 930</w:t>
              </w:r>
            </w:hyperlink>
            <w:r>
              <w:rPr>
                <w:rFonts w:ascii="Arial" w:eastAsia="Arial" w:hAnsi="Arial" w:cs="Arial"/>
                <w:color w:val="000000"/>
                <w:sz w:val="20"/>
              </w:rPr>
              <w:t xml:space="preserve"> (finding that speed, erratic driving, disregard of a red light, and force of impact constitute sufficient evidence of gross negligence). Contributory negligence of the victim is not a defense to criminal liability for the grossly negligent act. </w:t>
            </w:r>
            <w:hyperlink r:id="rId1262" w:history="1">
              <w:r>
                <w:rPr>
                  <w:rFonts w:ascii="Arial" w:eastAsia="Arial" w:hAnsi="Arial" w:cs="Arial"/>
                  <w:i/>
                  <w:color w:val="0077CC"/>
                  <w:sz w:val="20"/>
                  <w:u w:val="single"/>
                </w:rPr>
                <w:t>Wilson v. State, 74 Md. App. 204, 213, 536 A.2d 1192, 1196,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313 Md. 9, 542 A.2d 845 (1988).</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Pineta v. State</w:t>
            </w:r>
            <w:r>
              <w:rPr>
                <w:rFonts w:ascii="Arial" w:eastAsia="Arial" w:hAnsi="Arial" w:cs="Arial"/>
                <w:color w:val="000000"/>
                <w:sz w:val="20"/>
              </w:rPr>
              <w:t xml:space="preserve">, the Court of Special Appeals held that if a third person has been killed as a direct consequence of the illegal racing of motor vehicles, any driver participating in the race may be convicted of manslaughter by automobile under the predecessor to § 2-209, regardless of which driver actually collided with the victim or the victim's vehicle, resulting in the victim's death. </w:t>
            </w:r>
            <w:hyperlink r:id="rId1263" w:history="1">
              <w:r>
                <w:rPr>
                  <w:rFonts w:ascii="Arial" w:eastAsia="Arial" w:hAnsi="Arial" w:cs="Arial"/>
                  <w:i/>
                  <w:color w:val="0077CC"/>
                  <w:sz w:val="20"/>
                  <w:u w:val="single"/>
                </w:rPr>
                <w:t xml:space="preserve">98 Md. App. 614, 626, 634 A.2d 982, </w:t>
              </w:r>
              <w:r>
                <w:rPr>
                  <w:rFonts w:ascii="Arial" w:eastAsia="Arial" w:hAnsi="Arial" w:cs="Arial"/>
                  <w:i/>
                  <w:color w:val="0077CC"/>
                  <w:sz w:val="20"/>
                  <w:u w:val="single"/>
                </w:rPr>
                <w:lastRenderedPageBreak/>
                <w:t>988 (1993)</w:t>
              </w:r>
            </w:hyperlink>
            <w:r>
              <w:rPr>
                <w:rFonts w:ascii="Arial" w:eastAsia="Arial" w:hAnsi="Arial" w:cs="Arial"/>
                <w:color w:val="000000"/>
                <w:sz w:val="20"/>
              </w:rPr>
              <w:t xml:space="preserve"> (finding that the existence of a drag race agreement and 70-mileper-hour speed constituted aiding and abetting the conduct that was the proximate cause of death); </w:t>
            </w:r>
            <w:r>
              <w:rPr>
                <w:rFonts w:ascii="Arial" w:eastAsia="Arial" w:hAnsi="Arial" w:cs="Arial"/>
                <w:i/>
                <w:color w:val="000000"/>
                <w:sz w:val="20"/>
              </w:rPr>
              <w:t xml:space="preserve">see </w:t>
            </w:r>
            <w:hyperlink r:id="rId1264" w:history="1">
              <w:r>
                <w:rPr>
                  <w:rFonts w:ascii="Arial" w:eastAsia="Arial" w:hAnsi="Arial" w:cs="Arial"/>
                  <w:i/>
                  <w:color w:val="0077CC"/>
                  <w:sz w:val="20"/>
                  <w:u w:val="single"/>
                </w:rPr>
                <w:t>Goldring v. State, 103 Md. App. 728, 654 A.2d 939 (1995)</w:t>
              </w:r>
            </w:hyperlink>
            <w:r>
              <w:rPr>
                <w:rFonts w:ascii="Arial" w:eastAsia="Arial" w:hAnsi="Arial" w:cs="Arial"/>
                <w:color w:val="000000"/>
                <w:sz w:val="20"/>
              </w:rPr>
              <w:t xml:space="preserve"> (holding that a participant in a drag race can be held criminally liable for the death of his co-participant as well as the deaths of spectators).</w:t>
            </w:r>
          </w:p>
          <w:p w:rsidR="004729FB" w:rsidRDefault="004729FB" w:rsidP="00713DA5">
            <w:pPr>
              <w:spacing w:before="200" w:line="260" w:lineRule="atLeast"/>
              <w:ind w:left="60" w:right="360"/>
              <w:jc w:val="both"/>
            </w:pPr>
            <w:r>
              <w:rPr>
                <w:rFonts w:ascii="Arial" w:eastAsia="Arial" w:hAnsi="Arial" w:cs="Arial"/>
                <w:color w:val="000000"/>
                <w:sz w:val="20"/>
              </w:rPr>
              <w:t>In 2011, the Maryland legislature created a new offense, criminally negligent manslaughter. CRIM. LAW I § 2-210. CRIMINAL LAW I § 2-210(b) states: "A person may not cause the death of another as the result of the person's driving, operating, or controlling a vehicle or vessel in a criminally negligent manner." "Criminal negligence" is defined as follows: "(1) the person should be aware, but fails to perceive, that the person's conduct creates a substantial and unjustifiable risk that such a result will occur; and (2) the failure to perceive constitutes a substantial gross deviation from the standard of care that would be exercised by a reasonable person." CRIM. LAW I § 2-210(c)(1)-(2).</w:t>
            </w:r>
          </w:p>
          <w:p w:rsidR="004729FB" w:rsidRDefault="004729FB" w:rsidP="00713DA5">
            <w:pPr>
              <w:spacing w:before="200" w:line="260" w:lineRule="atLeast"/>
              <w:ind w:left="60" w:right="360"/>
              <w:jc w:val="both"/>
            </w:pPr>
            <w:r>
              <w:rPr>
                <w:rFonts w:ascii="Arial" w:eastAsia="Arial" w:hAnsi="Arial" w:cs="Arial"/>
                <w:color w:val="000000"/>
                <w:sz w:val="20"/>
              </w:rPr>
              <w:t>Subsection (d) makes it clear that simple negligence does not violate § 2-210. It says: "It is not a violation of this section for a person to cause the death of another as the result of the person's driving, operating, or controlling a vehicle or vessel in a negligent manner." CRIM. LAW I § 2-210(b). Moreover, the enacting legislation provides that "it is the intent of the General Assembly that the term 'gross deviation from the standard of care' in § 2-210(c)(2) of the CRIMINAL LAW I Article, as enacted by Section 1 of this Act:</w:t>
            </w:r>
          </w:p>
          <w:p w:rsidR="004729FB" w:rsidRDefault="004729FB" w:rsidP="00713DA5">
            <w:pPr>
              <w:spacing w:before="60" w:line="260" w:lineRule="atLeast"/>
              <w:ind w:left="460" w:right="360"/>
              <w:jc w:val="both"/>
            </w:pPr>
            <w:r>
              <w:rPr>
                <w:rFonts w:ascii="Arial" w:eastAsia="Arial" w:hAnsi="Arial" w:cs="Arial"/>
                <w:color w:val="000000"/>
                <w:sz w:val="20"/>
              </w:rPr>
              <w:t>(1) be interpreted synonymously with the term "gross deviation from the standard of care" under § 2.02(2)(d) of the Model Penal Code of the American Law Institute; and</w:t>
            </w:r>
          </w:p>
          <w:p w:rsidR="004729FB" w:rsidRDefault="004729FB" w:rsidP="00713DA5">
            <w:pPr>
              <w:spacing w:before="60" w:line="260" w:lineRule="atLeast"/>
              <w:ind w:left="460" w:right="360"/>
              <w:jc w:val="both"/>
            </w:pPr>
            <w:r>
              <w:rPr>
                <w:rFonts w:ascii="Arial" w:eastAsia="Arial" w:hAnsi="Arial" w:cs="Arial"/>
                <w:color w:val="000000"/>
                <w:sz w:val="20"/>
              </w:rPr>
              <w:t>(2) is a separate and distinct standard from the "gross negligence" standard that is used by and interpreted under § 2-209 of the Criminal Law Article.</w:t>
            </w:r>
          </w:p>
          <w:p w:rsidR="004729FB" w:rsidRDefault="004729FB" w:rsidP="00713DA5">
            <w:pPr>
              <w:spacing w:before="60" w:line="260" w:lineRule="atLeast"/>
              <w:ind w:left="60" w:right="360"/>
              <w:jc w:val="both"/>
            </w:pPr>
            <w:r>
              <w:rPr>
                <w:rFonts w:ascii="Arial" w:eastAsia="Arial" w:hAnsi="Arial" w:cs="Arial"/>
                <w:color w:val="000000"/>
                <w:sz w:val="20"/>
              </w:rPr>
              <w:t>2011 Md. Laws Ch. 334, (H.B. 363).</w:t>
            </w:r>
          </w:p>
          <w:p w:rsidR="004729FB" w:rsidRDefault="004729FB" w:rsidP="00713DA5">
            <w:pPr>
              <w:spacing w:before="200" w:line="260" w:lineRule="atLeast"/>
              <w:ind w:left="60" w:right="360"/>
              <w:jc w:val="both"/>
            </w:pPr>
            <w:r>
              <w:rPr>
                <w:rFonts w:ascii="Arial" w:eastAsia="Arial" w:hAnsi="Arial" w:cs="Arial"/>
                <w:color w:val="000000"/>
                <w:sz w:val="20"/>
              </w:rPr>
              <w:t>The MODEL PENAL CODE, in turn, provides:</w:t>
            </w:r>
          </w:p>
          <w:p w:rsidR="004729FB" w:rsidRDefault="004729FB" w:rsidP="00713DA5">
            <w:pPr>
              <w:spacing w:before="60" w:line="260" w:lineRule="atLeast"/>
              <w:ind w:left="460" w:right="360"/>
              <w:jc w:val="both"/>
            </w:pPr>
            <w:r>
              <w:rPr>
                <w:rFonts w:ascii="Arial" w:eastAsia="Arial" w:hAnsi="Arial" w:cs="Arial"/>
                <w:color w:val="000000"/>
                <w:sz w:val="20"/>
              </w:rPr>
              <w:t>(2) Kinds of Culpability Defined.</w:t>
            </w:r>
          </w:p>
          <w:p w:rsidR="004729FB" w:rsidRDefault="004729FB" w:rsidP="00713DA5">
            <w:pPr>
              <w:spacing w:before="60" w:line="260" w:lineRule="atLeast"/>
              <w:ind w:left="460" w:right="360"/>
              <w:jc w:val="both"/>
            </w:pPr>
            <w:r>
              <w:rPr>
                <w:rFonts w:ascii="Arial" w:eastAsia="Arial" w:hAnsi="Arial" w:cs="Arial"/>
                <w:color w:val="000000"/>
                <w:sz w:val="20"/>
              </w:rPr>
              <w:t>…</w:t>
            </w:r>
          </w:p>
          <w:p w:rsidR="004729FB" w:rsidRDefault="004729FB" w:rsidP="00713DA5">
            <w:pPr>
              <w:spacing w:before="60" w:line="260" w:lineRule="atLeast"/>
              <w:ind w:left="460" w:right="360"/>
              <w:jc w:val="both"/>
            </w:pPr>
            <w:r>
              <w:rPr>
                <w:rFonts w:ascii="Arial" w:eastAsia="Arial" w:hAnsi="Arial" w:cs="Arial"/>
                <w:color w:val="000000"/>
                <w:sz w:val="20"/>
              </w:rPr>
              <w:t>(d) Negligently.</w:t>
            </w:r>
          </w:p>
          <w:p w:rsidR="004729FB" w:rsidRDefault="004729FB" w:rsidP="00713DA5">
            <w:pPr>
              <w:spacing w:before="60" w:line="260" w:lineRule="atLeast"/>
              <w:ind w:left="460" w:right="360"/>
              <w:jc w:val="both"/>
            </w:pPr>
            <w:r>
              <w:rPr>
                <w:rFonts w:ascii="Arial" w:eastAsia="Arial" w:hAnsi="Arial" w:cs="Arial"/>
                <w:color w:val="000000"/>
                <w:sz w:val="20"/>
              </w:rPr>
              <w:t>A person acts negligently with respect to a material element of an offense when he should be aware of a substantial and unjustifiable risk that the material element exists or will result from his conduct. The risk must be of such a nature and degree that the actor's failure to perceive it, considering the nature and purpose of his conduct and the circumstances known to him, involves a gross deviation from the standard of care that a reasonable person would observe in the actor's situation.</w:t>
            </w:r>
          </w:p>
          <w:p w:rsidR="004729FB" w:rsidRDefault="004729FB" w:rsidP="00713DA5">
            <w:pPr>
              <w:spacing w:before="60" w:line="260" w:lineRule="atLeast"/>
              <w:ind w:left="60" w:right="360"/>
              <w:jc w:val="both"/>
            </w:pPr>
            <w:r>
              <w:rPr>
                <w:rFonts w:ascii="Arial" w:eastAsia="Arial" w:hAnsi="Arial" w:cs="Arial"/>
                <w:color w:val="000000"/>
                <w:sz w:val="20"/>
              </w:rPr>
              <w:t>MODEL PENAL CODE § 2.02(2)(d) (Proposed Official Draft 1962).</w:t>
            </w:r>
          </w:p>
          <w:p w:rsidR="004729FB" w:rsidRDefault="004729FB" w:rsidP="00713DA5">
            <w:pPr>
              <w:spacing w:before="200" w:line="260" w:lineRule="atLeast"/>
              <w:ind w:left="60" w:right="360"/>
              <w:jc w:val="both"/>
            </w:pPr>
            <w:r>
              <w:rPr>
                <w:rFonts w:ascii="Arial" w:eastAsia="Arial" w:hAnsi="Arial" w:cs="Arial"/>
                <w:color w:val="000000"/>
                <w:sz w:val="20"/>
              </w:rPr>
              <w:t>Thus, it is clear that the General Assembly, in enacting CRIM. LAW I § 2-210, intended to create a new crime with a standard of "gross negligence" that comports with the MODEL PENAL CODE requirement of a "gross deviation from the standard of care that a reasonable person would observe in the actor's situation."</w:t>
            </w:r>
          </w:p>
          <w:p w:rsidR="004729FB" w:rsidRDefault="004729FB" w:rsidP="00713DA5">
            <w:pPr>
              <w:spacing w:before="200" w:line="260" w:lineRule="atLeast"/>
              <w:ind w:left="60" w:right="360"/>
              <w:jc w:val="both"/>
            </w:pPr>
            <w:r>
              <w:rPr>
                <w:rFonts w:ascii="Arial" w:eastAsia="Arial" w:hAnsi="Arial" w:cs="Arial"/>
                <w:color w:val="000000"/>
                <w:sz w:val="20"/>
              </w:rPr>
              <w:t>Both the older (§ 2-209) and newer (§ 2-210) crimes are effective today.</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4" style="position:absolute;z-index:25186713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4:17.2, MPJI-Cr 4:17.3, MPJI-Cr 4:17.4, MPJI-Cr 4:17.5, MPJI-Cr 4:17.9, MPJI-Cr 4:17.11.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lastRenderedPageBreak/>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4" style="position:absolute;left:0;text-align:left;z-index:25187737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265"/>
          <w:headerReference w:type="default" r:id="rId1266"/>
          <w:footerReference w:type="even" r:id="rId1267"/>
          <w:footerReference w:type="default" r:id="rId1268"/>
          <w:headerReference w:type="first" r:id="rId1269"/>
          <w:footerReference w:type="first" r:id="rId127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9" name="Picture 6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271" w:history="1">
        <w:r>
          <w:rPr>
            <w:rFonts w:ascii="Arial" w:eastAsia="Arial" w:hAnsi="Arial" w:cs="Arial"/>
            <w:b/>
            <w:bCs/>
            <w:i/>
            <w:color w:val="0077CC"/>
            <w:kern w:val="32"/>
            <w:sz w:val="28"/>
            <w:szCs w:val="32"/>
            <w:u w:val="single"/>
          </w:rPr>
          <w:t>MPJI-Cr 4:17.12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 OF A VIABLEFETUS--FIRST DEGREE PREMEDITATED MURDER; SECOND DEGREE SPECIFIC INTENT MURDER (NO JUSTIFICATION OR MITIGATION GENERATED); SECOND DEGREE DEPRAVED HEART MURDER; AND INVOLUNTARY MANSLAUGHTER (WANTON OR RECKLESS ACT)</w:t>
      </w:r>
    </w:p>
    <w:p w:rsidR="004729FB" w:rsidRDefault="004729FB" w:rsidP="004729FB">
      <w:pPr>
        <w:keepNext/>
        <w:spacing w:before="240" w:line="340" w:lineRule="atLeast"/>
      </w:pPr>
      <w:r>
        <w:br/>
      </w:r>
      <w:r>
        <w:rPr>
          <w:rFonts w:ascii="Arial" w:eastAsia="Arial" w:hAnsi="Arial" w:cs="Arial"/>
          <w:b/>
          <w:color w:val="000000"/>
          <w:sz w:val="28"/>
        </w:rPr>
        <w:t>4:17.12Homicide of a Viable Fetus--First Degree Premeditated Murder; Second Degree Specific Intent Murder (No Justification or Mitigation Generated); Second Degree Depraved Heart Murder; and Involuntary Manslaughter (Wanton or Reckless Act)</w:t>
      </w:r>
    </w:p>
    <w:p w:rsidR="004729FB" w:rsidRDefault="004729FB" w:rsidP="004729FB">
      <w:pPr>
        <w:spacing w:line="60" w:lineRule="exact"/>
      </w:pPr>
      <w:r>
        <w:pict>
          <v:line id="_x0000_s1235" style="position:absolute;z-index:25185792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murder of a viable fetus. This charge includes first degree murder, second degree murder, and involuntary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FIRST DEGREE MURDER</w:t>
      </w:r>
    </w:p>
    <w:p w:rsidR="004729FB" w:rsidRDefault="004729FB" w:rsidP="004729FB">
      <w:pPr>
        <w:spacing w:before="200" w:line="260" w:lineRule="atLeast"/>
        <w:jc w:val="both"/>
      </w:pPr>
      <w:r>
        <w:rPr>
          <w:rFonts w:ascii="Arial" w:eastAsia="Arial" w:hAnsi="Arial" w:cs="Arial"/>
          <w:b/>
          <w:color w:val="000000"/>
          <w:sz w:val="20"/>
        </w:rPr>
        <w:t>First degree murder of a viable fetus is the intentional killing of a viable fetus with willfulness, deliberation, and premeditation. In order to convict the defendant of first degree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conduct of the defendant caused the death of the fetus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fetus was viable; and</w:t>
      </w:r>
    </w:p>
    <w:p w:rsidR="004729FB" w:rsidRDefault="004729FB" w:rsidP="004729FB">
      <w:pPr>
        <w:spacing w:before="200" w:line="260" w:lineRule="atLeast"/>
        <w:ind w:left="400"/>
        <w:jc w:val="both"/>
      </w:pPr>
      <w:r>
        <w:rPr>
          <w:rFonts w:ascii="Arial" w:eastAsia="Arial" w:hAnsi="Arial" w:cs="Arial"/>
          <w:b/>
          <w:color w:val="000000"/>
          <w:sz w:val="20"/>
        </w:rPr>
        <w:t>(3) that the killing of the fetus was willful, deliberate, and premeditated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viable fetus is one that has a reasonable likelihood of sustained survival outside of the womb</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Willful means that the defendant actually intended to kill the viable fetus. Deliberate means that the defendant was conscious of the intent to kill. Premeditated means that the defendant thought about the killing and that there was enough time before the killing, though it may only have been brief, for the defendant to consider the decision whether or not to kill and enough time to weigh the reasons for and against the choice. The premeditated intent to kill must be formed before the killing of the viable fetus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SECOND DEGREE SPECIFIC INTENT MURDER</w:t>
      </w:r>
    </w:p>
    <w:p w:rsidR="004729FB" w:rsidRDefault="004729FB" w:rsidP="004729FB">
      <w:pPr>
        <w:spacing w:before="200" w:line="260" w:lineRule="atLeast"/>
        <w:jc w:val="both"/>
      </w:pPr>
      <w:r>
        <w:rPr>
          <w:rFonts w:ascii="Arial" w:eastAsia="Arial" w:hAnsi="Arial" w:cs="Arial"/>
          <w:b/>
          <w:color w:val="000000"/>
          <w:sz w:val="20"/>
        </w:rPr>
        <w:t xml:space="preserve">Second degree murder of a viable fetus is the killing of a viable fetus with either the intent to kill or the intent to inflict such serious physical injury to the viable fetus that death would be the likely result. Second </w:t>
      </w:r>
      <w:r>
        <w:rPr>
          <w:rFonts w:ascii="Arial" w:eastAsia="Arial" w:hAnsi="Arial" w:cs="Arial"/>
          <w:b/>
          <w:color w:val="000000"/>
          <w:sz w:val="20"/>
        </w:rPr>
        <w:lastRenderedPageBreak/>
        <w:t>degree murder does not require premeditation or deliberation. In order to convict the defendant of second degree murder,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conduct of the defendant caused the death of the fetus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fetus was viable; and</w:t>
      </w:r>
    </w:p>
    <w:p w:rsidR="004729FB" w:rsidRDefault="004729FB" w:rsidP="004729FB">
      <w:pPr>
        <w:spacing w:before="200" w:line="260" w:lineRule="atLeast"/>
        <w:ind w:left="400"/>
        <w:jc w:val="both"/>
      </w:pPr>
      <w:r>
        <w:rPr>
          <w:rFonts w:ascii="Arial" w:eastAsia="Arial" w:hAnsi="Arial" w:cs="Arial"/>
          <w:b/>
          <w:color w:val="000000"/>
          <w:sz w:val="20"/>
        </w:rPr>
        <w:t>(3) that the defendant engaged in the deadly conduct either with the intent to kill the fetus or with the intent to inflict such serious physical injury on the fetus that death would be the likely result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viable fetus is one that has a reasonable likelihood of sustained survival outside of the womb</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SECOND DEGREE DEPRAVED HEART MURDER</w:t>
      </w:r>
    </w:p>
    <w:p w:rsidR="004729FB" w:rsidRDefault="004729FB" w:rsidP="004729FB">
      <w:pPr>
        <w:spacing w:before="200" w:line="260" w:lineRule="atLeast"/>
        <w:jc w:val="both"/>
      </w:pPr>
      <w:r>
        <w:rPr>
          <w:rFonts w:ascii="Arial" w:eastAsia="Arial" w:hAnsi="Arial" w:cs="Arial"/>
          <w:b/>
          <w:color w:val="000000"/>
          <w:sz w:val="20"/>
        </w:rPr>
        <w:t>Second degree depraved heart murder of a viable fetus is the killing of a viable fetus while acting with extreme disregard for human life. In order to convict the defendant of second degree depraved heart murder of a fetus,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conduct of the defendant caused the death of the fetus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fetus was viable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defendant's conduct created a very high degree of risk to the life of the fetus; and</w:t>
      </w:r>
    </w:p>
    <w:p w:rsidR="004729FB" w:rsidRDefault="004729FB" w:rsidP="004729FB">
      <w:pPr>
        <w:spacing w:before="200" w:line="260" w:lineRule="atLeast"/>
        <w:ind w:left="400"/>
        <w:jc w:val="both"/>
      </w:pPr>
      <w:r>
        <w:rPr>
          <w:rFonts w:ascii="Arial" w:eastAsia="Arial" w:hAnsi="Arial" w:cs="Arial"/>
          <w:b/>
          <w:color w:val="000000"/>
          <w:sz w:val="20"/>
        </w:rPr>
        <w:t>(4) that the defendant, conscious of such risk to the fetus, acted with extreme disregard of the life-endangering consequences to the fetus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viable fetus is one that has a reasonable likelihood of sustained survival outside of the womb</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INVOLUNTARY MANSLAUGHTER/WANTON OR RECKLESS ACT</w:t>
      </w:r>
    </w:p>
    <w:p w:rsidR="004729FB" w:rsidRDefault="004729FB" w:rsidP="004729FB">
      <w:pPr>
        <w:spacing w:before="200" w:line="260" w:lineRule="atLeast"/>
        <w:jc w:val="both"/>
      </w:pPr>
      <w:r>
        <w:rPr>
          <w:rFonts w:ascii="Arial" w:eastAsia="Arial" w:hAnsi="Arial" w:cs="Arial"/>
          <w:b/>
          <w:color w:val="000000"/>
          <w:sz w:val="20"/>
        </w:rPr>
        <w:t>Involuntary manslaughter of a viable fetus is the killing of a viable fetus while acting with wanton or reckless disregard of the likely consequences of one's actions. In order to convict the defendant of involuntary manslaughter of a viable fetus,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conduct of the defendant caused the death of the fetus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fetus was viable; and</w:t>
      </w:r>
    </w:p>
    <w:p w:rsidR="004729FB" w:rsidRDefault="004729FB" w:rsidP="004729FB">
      <w:pPr>
        <w:spacing w:before="200" w:line="260" w:lineRule="atLeast"/>
        <w:ind w:left="400"/>
        <w:jc w:val="both"/>
      </w:pPr>
      <w:r>
        <w:rPr>
          <w:rFonts w:ascii="Arial" w:eastAsia="Arial" w:hAnsi="Arial" w:cs="Arial"/>
          <w:b/>
          <w:color w:val="000000"/>
          <w:sz w:val="20"/>
        </w:rPr>
        <w:t>(3) that the defendant, conscious of the risk to the fetus, wantonly or recklessly disregarded the likelihood that the defendant's actions would cause the death of the fetus or cause serious physical injury to the fetus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viable fetus is one that has a reasonable likelihood of sustained survival outside of the womb</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Wantonly means conduct that is characterized by extreme recklessness and utter disregard for the rights of others. Recklessly means that the defendant is aware that his conduct might cause the result, though that result is not substantially certain to happen</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In 2005, the legislature enacted House Bill 398, prohibiting feticide. Entitled "Murder and Manslaughter--Viable Fetus," it was added to CRIM. LAW I § 2-103. The Act makes it the crime of murder or manslaughter to terminate a viable fetus if done with (1) the intent to cause death or serious physical injury to the fetus, or (2) a wanton or reckless disregard for the likelihood of death or serious physical injury to the fetus. CRIM. LAW I § 2-103(c). The statute exempts from prosecution (1) the woman carrying the fetus, or (2) a licensed medical professional in the course of administering lawful medical care. </w:t>
            </w:r>
            <w:r>
              <w:rPr>
                <w:rFonts w:ascii="Arial" w:eastAsia="Arial" w:hAnsi="Arial" w:cs="Arial"/>
                <w:i/>
                <w:color w:val="000000"/>
                <w:sz w:val="20"/>
              </w:rPr>
              <w:t>Id.</w:t>
            </w:r>
            <w:r>
              <w:rPr>
                <w:rFonts w:ascii="Arial" w:eastAsia="Arial" w:hAnsi="Arial" w:cs="Arial"/>
                <w:color w:val="000000"/>
                <w:sz w:val="20"/>
              </w:rPr>
              <w:t xml:space="preserve"> § 2-103(e)-(f). The statute provides that it does not confer human status or rights on a fetus. </w:t>
            </w:r>
            <w:r>
              <w:rPr>
                <w:rFonts w:ascii="Arial" w:eastAsia="Arial" w:hAnsi="Arial" w:cs="Arial"/>
                <w:i/>
                <w:color w:val="000000"/>
                <w:sz w:val="20"/>
              </w:rPr>
              <w:t>See id.</w:t>
            </w:r>
            <w:r>
              <w:rPr>
                <w:rFonts w:ascii="Arial" w:eastAsia="Arial" w:hAnsi="Arial" w:cs="Arial"/>
                <w:color w:val="000000"/>
                <w:sz w:val="20"/>
              </w:rPr>
              <w:t xml:space="preserve"> § 2-103(g).</w:t>
            </w:r>
          </w:p>
          <w:p w:rsidR="004729FB" w:rsidRDefault="004729FB" w:rsidP="00713DA5">
            <w:pPr>
              <w:spacing w:before="200" w:line="260" w:lineRule="atLeast"/>
              <w:ind w:left="60" w:right="360"/>
              <w:jc w:val="both"/>
            </w:pPr>
            <w:r>
              <w:rPr>
                <w:rFonts w:ascii="Arial" w:eastAsia="Arial" w:hAnsi="Arial" w:cs="Arial"/>
                <w:color w:val="000000"/>
                <w:sz w:val="20"/>
              </w:rPr>
              <w:t xml:space="preserve">Part A (first degree murder) and Part B (second degree murder) of this instruction track the general instructions for first degree premeditated and second degree specific intent murder when no justification or mitigation is generated. </w:t>
            </w:r>
            <w:r>
              <w:rPr>
                <w:rFonts w:ascii="Arial" w:eastAsia="Arial" w:hAnsi="Arial" w:cs="Arial"/>
                <w:i/>
                <w:color w:val="000000"/>
                <w:sz w:val="20"/>
              </w:rPr>
              <w:t>See</w:t>
            </w:r>
            <w:r>
              <w:rPr>
                <w:rFonts w:ascii="Arial" w:eastAsia="Arial" w:hAnsi="Arial" w:cs="Arial"/>
                <w:color w:val="000000"/>
                <w:sz w:val="20"/>
              </w:rPr>
              <w:t xml:space="preserve"> MPJI-Cr 4:17. Part C of this instruction tracks the general instruction for second degree depraved heart murder. </w:t>
            </w:r>
            <w:r>
              <w:rPr>
                <w:rFonts w:ascii="Arial" w:eastAsia="Arial" w:hAnsi="Arial" w:cs="Arial"/>
                <w:i/>
                <w:color w:val="000000"/>
                <w:sz w:val="20"/>
              </w:rPr>
              <w:t>See</w:t>
            </w:r>
            <w:r>
              <w:rPr>
                <w:rFonts w:ascii="Arial" w:eastAsia="Arial" w:hAnsi="Arial" w:cs="Arial"/>
                <w:color w:val="000000"/>
                <w:sz w:val="20"/>
              </w:rPr>
              <w:t xml:space="preserve"> MPJI-Cr 4:17.8(A). Part D, however, differs, at least semantically, from the general instruction for involuntary manslaughter in MPJI-Cr 4:17.8(B). Under Part D, the defendant's action must be "wanton or reckless," while under MPJI-Cr 4:17.8(B), it must be "grossly negligent." The "wanton or reckless act" language in Part D comes directly from CRIM. LAW I § 2-103(c). We doubt, however, that there is any real substantive difference between the two differing formulations. </w:t>
            </w:r>
            <w:r>
              <w:rPr>
                <w:rFonts w:ascii="Arial" w:eastAsia="Arial" w:hAnsi="Arial" w:cs="Arial"/>
                <w:i/>
                <w:color w:val="000000"/>
                <w:sz w:val="20"/>
              </w:rPr>
              <w:t>See</w:t>
            </w:r>
            <w:r>
              <w:rPr>
                <w:rFonts w:ascii="Arial" w:eastAsia="Arial" w:hAnsi="Arial" w:cs="Arial"/>
                <w:color w:val="000000"/>
                <w:sz w:val="20"/>
              </w:rPr>
              <w:t xml:space="preserve"> RICHARD P. GILBERT &amp; CHARLES E. MOYLAN, JR., MARYLAND CRIMINAL LAW: PRACTICE &amp; PROCEDURE, § 1.8-1, at 26 (1983 &amp; Supp. 1990) (roughly equating gross negligence and wanton and reckless conduct in Maryland, and stating that "[t]he negligence needed to support a [homicide] conviction must be shown to be gross or criminal, such as a wanton or reckless disregard for human life").</w:t>
            </w:r>
          </w:p>
          <w:p w:rsidR="004729FB" w:rsidRDefault="004729FB" w:rsidP="00713DA5">
            <w:pPr>
              <w:spacing w:before="200" w:line="260" w:lineRule="atLeast"/>
              <w:ind w:left="60" w:right="360"/>
              <w:jc w:val="both"/>
            </w:pPr>
            <w:r>
              <w:rPr>
                <w:rFonts w:ascii="Arial" w:eastAsia="Arial" w:hAnsi="Arial" w:cs="Arial"/>
                <w:color w:val="000000"/>
                <w:sz w:val="20"/>
              </w:rPr>
              <w:t>In drafting this instruction, the Committee grappled with the statutory definition of a "viable" fetus. Under § 2-103(a), "viable" has the meaning stated in § 20-209 of the HEALTH--GENERAL Article. That section states:</w:t>
            </w:r>
          </w:p>
          <w:p w:rsidR="004729FB" w:rsidRDefault="004729FB" w:rsidP="00713DA5">
            <w:pPr>
              <w:spacing w:before="60" w:line="260" w:lineRule="atLeast"/>
              <w:ind w:left="460" w:right="360"/>
              <w:jc w:val="both"/>
            </w:pPr>
            <w:r>
              <w:rPr>
                <w:rFonts w:ascii="Arial" w:eastAsia="Arial" w:hAnsi="Arial" w:cs="Arial"/>
                <w:color w:val="000000"/>
                <w:sz w:val="20"/>
              </w:rPr>
              <w:t>"[V]iable" means that stage when, in the best medical judgment of the attending physician based on the particular facts of the case before the physician, there is a reasonable likelihood of the fetus's sustained survival outside the womb.</w:t>
            </w:r>
          </w:p>
          <w:p w:rsidR="004729FB" w:rsidRDefault="004729FB" w:rsidP="00713DA5">
            <w:pPr>
              <w:spacing w:before="240" w:line="260" w:lineRule="atLeast"/>
              <w:ind w:left="60" w:right="360"/>
              <w:jc w:val="both"/>
            </w:pPr>
            <w:r>
              <w:rPr>
                <w:rFonts w:ascii="Arial" w:eastAsia="Arial" w:hAnsi="Arial" w:cs="Arial"/>
                <w:color w:val="000000"/>
                <w:sz w:val="20"/>
              </w:rPr>
              <w:t xml:space="preserve">MD. CODE ANN., HEALTH-GENERAL II § 20-209(a) (2015 &amp; Supp. 2018) (hereinafter HEALTH-GEN. I or II § ___ ). In the fiscal and policy note for House Bill 398, as well as in the House of Delegates' floor report, the definition of "viable" largely tracks the second part of the definition in HEALTH-GEN. II § 20-209, but omits the first part. The note and report state: "A viable fetus is one that has a reasonable likelihood of surviving outside of the womb." 2005 Md. Laws Ch. 546 (H.B. 398). Until Maryland's courts address the issues arising under the Act, the Committee offers, as a guide for trial judges, the definition that it believes best comports with the statutory text and the legislative intent behind it. </w:t>
            </w:r>
            <w:r>
              <w:rPr>
                <w:rFonts w:ascii="Arial" w:eastAsia="Arial" w:hAnsi="Arial" w:cs="Arial"/>
                <w:i/>
                <w:color w:val="000000"/>
                <w:sz w:val="20"/>
              </w:rPr>
              <w:t xml:space="preserve">Cf. </w:t>
            </w:r>
            <w:hyperlink r:id="rId1272" w:history="1">
              <w:r>
                <w:rPr>
                  <w:rFonts w:ascii="Arial" w:eastAsia="Arial" w:hAnsi="Arial" w:cs="Arial"/>
                  <w:i/>
                  <w:color w:val="0077CC"/>
                  <w:sz w:val="20"/>
                  <w:u w:val="single"/>
                </w:rPr>
                <w:t>Kilmon v. State, 394 Md. 168, 905 A.2d 306 (2006)</w:t>
              </w:r>
            </w:hyperlink>
            <w:r>
              <w:rPr>
                <w:rFonts w:ascii="Arial" w:eastAsia="Arial" w:hAnsi="Arial" w:cs="Arial"/>
                <w:color w:val="000000"/>
                <w:sz w:val="20"/>
              </w:rPr>
              <w:t xml:space="preserve"> (holding that a pregnant woman who ingested cocaine did not commit the crime of reckless endangerment, and pointing out that § 2-103 does not criminalize the acts or failures to act of the pregnant woman).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5" style="position:absolute;z-index:25186816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 MPJI-Cr 4:17.1, MPJI-Cr 4:17.2, MPJI-Cr 4:17.3, MPJI-Cr 4:17.4, MPJI-Cr 4:17.5, MPJI-Cr 4:17.6, MPJI-Cr 4:17.7, MPJI-Cr 4:17.8, MPJI-Cr 4:17.9.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5" style="position:absolute;left:0;text-align:left;z-index:2518784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8" name="Picture 6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279" w:history="1">
        <w:r>
          <w:rPr>
            <w:rFonts w:ascii="Arial" w:eastAsia="Arial" w:hAnsi="Arial" w:cs="Arial"/>
            <w:b/>
            <w:bCs/>
            <w:i/>
            <w:color w:val="0077CC"/>
            <w:kern w:val="32"/>
            <w:sz w:val="28"/>
            <w:szCs w:val="32"/>
            <w:u w:val="single"/>
          </w:rPr>
          <w:t>MPJI-Cr 4:17.11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 BY MOTOR VEHICLE WHILE UNDER THE INFLUENCE OF ALCOHOL, WHILE UNDER THE INFLUENCE OF ALCOHOL PER SE, AND WHILE IMPAIRED BY ALCOHOL</w:t>
      </w:r>
    </w:p>
    <w:p w:rsidR="004729FB" w:rsidRDefault="004729FB" w:rsidP="004729FB">
      <w:pPr>
        <w:keepNext/>
        <w:spacing w:before="240" w:line="340" w:lineRule="atLeast"/>
      </w:pPr>
      <w:r>
        <w:br/>
      </w:r>
      <w:r>
        <w:rPr>
          <w:rFonts w:ascii="Arial" w:eastAsia="Arial" w:hAnsi="Arial" w:cs="Arial"/>
          <w:b/>
          <w:color w:val="000000"/>
          <w:sz w:val="28"/>
        </w:rPr>
        <w:t>4:17.11Homicide by Motor Vehicle While Under the Influence of Alcohol, While Under the Influence of Alcohol Per Se, and While Impaired by Alcohol</w:t>
      </w:r>
    </w:p>
    <w:p w:rsidR="004729FB" w:rsidRDefault="004729FB" w:rsidP="004729FB">
      <w:pPr>
        <w:spacing w:line="60" w:lineRule="exact"/>
      </w:pPr>
      <w:r>
        <w:pict>
          <v:line id="_x0000_s1236" style="position:absolute;z-index:25185894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HOMICIDE BY MOTOR VEHICLE WHILE UNDER THE INFLUENCE OF ALCOHOL AND WHILE IMPAIRED BY ALCOHOL</w:t>
      </w:r>
    </w:p>
    <w:p w:rsidR="004729FB" w:rsidRDefault="004729FB" w:rsidP="004729FB">
      <w:pPr>
        <w:spacing w:before="200" w:line="260" w:lineRule="atLeast"/>
        <w:jc w:val="both"/>
      </w:pPr>
      <w:r>
        <w:rPr>
          <w:rFonts w:ascii="Arial" w:eastAsia="Arial" w:hAnsi="Arial" w:cs="Arial"/>
          <w:b/>
          <w:color w:val="000000"/>
          <w:sz w:val="20"/>
        </w:rPr>
        <w:t>The defendant is charged with two crimes: homicide by motor vehicle while under the influence of alcohol and homicide by motor vehicle while impaired by alcohol.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[controlled]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[drove] [operated] [controlled] the vehicle in a negligent manner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negligent [driving] [operation] [controlling] of the vehicle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at the time of the incident, the defendant either was under the influence of alcohol or was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phrase "in a negligent manner" means to [drive] [operate] [control] a vehicle without the exercise of reasonable care. Reasonable care is the same degree of caution, attention, or skill that a reasonable person would use under similar circumstances. It is negligent to do something that a person using reasonable care would not do. It also is negligent to fail to do something that a person using reasonable care would do</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Homicide while under the influence of alcohol is the more serious crime. It requires that the alcohol the defendant consumed substantially reduced the defendant's coordination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Homicide while impaired by alcohol requires that the alcohol the defendant consumed reduced the defendant's normal coordination to some extent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To convict the defendant of either offense, you must find that the defendant's coordination was reduced by the consumption of alcohol. The difference between being under the influence of alcohol, the more serious crime, and being impaired by alcohol is the extent to which the person's coordination is reduced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Even if the defendant consumed alcohol, you may not convict the defendant unless you find that the defendant was under the influence of alcohol or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B</w:t>
      </w:r>
    </w:p>
    <w:p w:rsidR="004729FB" w:rsidRDefault="004729FB" w:rsidP="004729FB">
      <w:pPr>
        <w:spacing w:before="200" w:line="260" w:lineRule="atLeast"/>
        <w:jc w:val="both"/>
      </w:pPr>
      <w:r>
        <w:rPr>
          <w:rFonts w:ascii="Arial" w:eastAsia="Arial" w:hAnsi="Arial" w:cs="Arial"/>
          <w:b/>
          <w:color w:val="000000"/>
          <w:sz w:val="20"/>
        </w:rPr>
        <w:t>HOMICIDE BY MOTOR VEHICLE WHILE UNDER THE INFLUENCE OF ALCOHOL PER SE</w:t>
      </w:r>
    </w:p>
    <w:p w:rsidR="004729FB" w:rsidRDefault="004729FB" w:rsidP="004729FB">
      <w:pPr>
        <w:spacing w:before="200" w:line="260" w:lineRule="atLeast"/>
        <w:jc w:val="both"/>
      </w:pPr>
      <w:r>
        <w:rPr>
          <w:rFonts w:ascii="Arial" w:eastAsia="Arial" w:hAnsi="Arial" w:cs="Arial"/>
          <w:b/>
          <w:color w:val="000000"/>
          <w:sz w:val="20"/>
        </w:rPr>
        <w:t>The defendant is charged with the crime of homicide by motor vehicle while under the influence of alcohol per se.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[controlled]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[drove] [operated] [controlled] the vehicle in a negligent manner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negligent [driving] [operation] [controlling] of the vehicle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at the time of testing, the defendant had an alcohol level of 0.08 or more, as measured by grams of alcohol per 100 milliliters of blood or grams of alcohol per 210 liters of breath</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phrase "in a negligent manner" means to [drive] [operate] [control] a vehicle without the exercise of reasonable care. Reasonable care is the same degree of caution, attention, or skill that a reasonable person would use under similar circumstances. It is negligent to do something that a person using reasonable care would not do. It also is negligent to fail to do something that a person using reasonable care would do</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HOMICIDE BY MOTOR VEHICLE WHILE IMPAIRED BY ALCOHOL</w:t>
      </w:r>
    </w:p>
    <w:p w:rsidR="004729FB" w:rsidRDefault="004729FB" w:rsidP="004729FB">
      <w:pPr>
        <w:spacing w:before="200" w:line="260" w:lineRule="atLeast"/>
        <w:jc w:val="both"/>
      </w:pPr>
      <w:r>
        <w:rPr>
          <w:rFonts w:ascii="Arial" w:eastAsia="Arial" w:hAnsi="Arial" w:cs="Arial"/>
          <w:b/>
          <w:color w:val="000000"/>
          <w:sz w:val="20"/>
        </w:rPr>
        <w:t>The defendant is charged with the crime of homicide by motor vehicle while impaired by alcohol.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[drove] [operated] [controlled] a motor vehicle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[drove] [operated] [controlled] the vehicle in a negligent manner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negligent [driving] [operation] [controlling] of the vehicle caused the death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at the time of the incident, the defendant was impaired by alcohol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phrase "in a negligent manner" means to [drive] [operate] [control] a vehicle without the exercise of reasonable care. Reasonable care is the same degree of caution, attention, or skill that a reasonable person would use under similar circumstances. It is negligent to do something that a person using reasonable care would not do. It also is negligent to fail to do something that a person using reasonable care would do</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person is impaired by alcohol when the alcohol that the person consumed reduced the person's coordination to some extent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Even if the defendant consumed alcohol, you may not convict the defendant unless you find that the defendant was impaired by alcohol</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4:10 (Driving Under the Influence of Alcohol and Driving While Impaired by Alcohol); MPJI-Cr 4:10.2 (Driving--Actual Physical Control); MPJI-Cr 4:17 (Homicide--First Degree Premeditated Murder and Second Degree Specific Intent Murder (No Justification or Mitigation Generated)); MPJI-Cr 4:17.2 (Homicide--First Degree Premeditated Murder, Second Degree Specific Intent Murder and Voluntary Manslaughter (Imperfect Self-Defense)); MPJI-Cr 4:17.9 (Homicide--Involuntary Manslaughter </w:t>
            </w:r>
            <w:r>
              <w:rPr>
                <w:rFonts w:ascii="Arial" w:eastAsia="Arial" w:hAnsi="Arial" w:cs="Arial"/>
                <w:color w:val="000000"/>
                <w:sz w:val="20"/>
              </w:rPr>
              <w:lastRenderedPageBreak/>
              <w:t>(Grossly Negligent Act and Unlawful Act)); MPJI-Cr 4:17.10 (Homicide--Manslaughter by Motor Vehicle).</w:t>
            </w:r>
          </w:p>
          <w:p w:rsidR="004729FB" w:rsidRDefault="004729FB" w:rsidP="00713DA5">
            <w:pPr>
              <w:spacing w:before="200" w:line="260" w:lineRule="atLeast"/>
              <w:ind w:left="60" w:right="360"/>
              <w:jc w:val="both"/>
            </w:pPr>
            <w:r>
              <w:rPr>
                <w:rFonts w:ascii="Arial" w:eastAsia="Arial" w:hAnsi="Arial" w:cs="Arial"/>
                <w:color w:val="000000"/>
                <w:sz w:val="20"/>
              </w:rPr>
              <w:t xml:space="preserve">In 2002, the legislature revised the vehicular homicide laws as part of recodification, substituting "while under the influence of alcohol" for "while intoxicated" and "while under the influence of alcohol per se" for "while intoxicated per se," </w:t>
            </w:r>
            <w:r>
              <w:rPr>
                <w:rFonts w:ascii="Arial" w:eastAsia="Arial" w:hAnsi="Arial" w:cs="Arial"/>
                <w:i/>
                <w:color w:val="000000"/>
                <w:sz w:val="20"/>
              </w:rPr>
              <w:t>compare</w:t>
            </w:r>
            <w:r>
              <w:rPr>
                <w:rFonts w:ascii="Arial" w:eastAsia="Arial" w:hAnsi="Arial" w:cs="Arial"/>
                <w:color w:val="000000"/>
                <w:sz w:val="20"/>
              </w:rPr>
              <w:t xml:space="preserve"> CRIM. LAW I § 2-503, </w:t>
            </w:r>
            <w:r>
              <w:rPr>
                <w:rFonts w:ascii="Arial" w:eastAsia="Arial" w:hAnsi="Arial" w:cs="Arial"/>
                <w:i/>
                <w:color w:val="000000"/>
                <w:sz w:val="20"/>
              </w:rPr>
              <w:t>with</w:t>
            </w:r>
            <w:r>
              <w:rPr>
                <w:rFonts w:ascii="Arial" w:eastAsia="Arial" w:hAnsi="Arial" w:cs="Arial"/>
                <w:color w:val="000000"/>
                <w:sz w:val="20"/>
              </w:rPr>
              <w:t xml:space="preserve"> MD. CODE ANN., ART. 27, § 388A(b) (1996 Repl. Vol.) (hereinafter ART. ___, § ___ ), and substituting "while impaired by alcohol" for "while under the influence of alcohol," </w:t>
            </w:r>
            <w:r>
              <w:rPr>
                <w:rFonts w:ascii="Arial" w:eastAsia="Arial" w:hAnsi="Arial" w:cs="Arial"/>
                <w:i/>
                <w:color w:val="000000"/>
                <w:sz w:val="20"/>
              </w:rPr>
              <w:t>compare</w:t>
            </w:r>
            <w:r>
              <w:rPr>
                <w:rFonts w:ascii="Arial" w:eastAsia="Arial" w:hAnsi="Arial" w:cs="Arial"/>
                <w:color w:val="000000"/>
                <w:sz w:val="20"/>
              </w:rPr>
              <w:t xml:space="preserve"> CRIM. LAW I § 2-504, </w:t>
            </w:r>
            <w:r>
              <w:rPr>
                <w:rFonts w:ascii="Arial" w:eastAsia="Arial" w:hAnsi="Arial" w:cs="Arial"/>
                <w:i/>
                <w:color w:val="000000"/>
                <w:sz w:val="20"/>
              </w:rPr>
              <w:t>with</w:t>
            </w:r>
            <w:r>
              <w:rPr>
                <w:rFonts w:ascii="Arial" w:eastAsia="Arial" w:hAnsi="Arial" w:cs="Arial"/>
                <w:color w:val="000000"/>
                <w:sz w:val="20"/>
              </w:rPr>
              <w:t xml:space="preserve"> ART. 27, § 388A(c). These changes conformed the vehicular homicide laws to the drunk driving laws. </w:t>
            </w:r>
            <w:r>
              <w:rPr>
                <w:rFonts w:ascii="Arial" w:eastAsia="Arial" w:hAnsi="Arial" w:cs="Arial"/>
                <w:i/>
                <w:color w:val="000000"/>
                <w:sz w:val="20"/>
              </w:rPr>
              <w:t xml:space="preserve">See </w:t>
            </w:r>
            <w:hyperlink r:id="rId1280" w:history="1">
              <w:r>
                <w:rPr>
                  <w:rFonts w:ascii="Arial" w:eastAsia="Arial" w:hAnsi="Arial" w:cs="Arial"/>
                  <w:i/>
                  <w:color w:val="0077CC"/>
                  <w:sz w:val="20"/>
                  <w:u w:val="single"/>
                </w:rPr>
                <w:t>Todd v. State, 161 Md. App. 332, 336 n.1, 868 A.2d 944, 947 n.1 (2005).</w:t>
              </w:r>
            </w:hyperlink>
            <w:r>
              <w:rPr>
                <w:rFonts w:ascii="Arial" w:eastAsia="Arial" w:hAnsi="Arial" w:cs="Arial"/>
                <w:color w:val="000000"/>
                <w:sz w:val="20"/>
              </w:rPr>
              <w:t xml:space="preserve"> Because these revisions were not substantive, the prior case law remains authoritative. </w:t>
            </w:r>
            <w:r>
              <w:rPr>
                <w:rFonts w:ascii="Arial" w:eastAsia="Arial" w:hAnsi="Arial" w:cs="Arial"/>
                <w:i/>
                <w:color w:val="000000"/>
                <w:sz w:val="20"/>
              </w:rPr>
              <w:t>See</w:t>
            </w:r>
            <w:r>
              <w:rPr>
                <w:rFonts w:ascii="Arial" w:eastAsia="Arial" w:hAnsi="Arial" w:cs="Arial"/>
                <w:color w:val="000000"/>
                <w:sz w:val="20"/>
              </w:rPr>
              <w:t xml:space="preserve"> Comment to MPJI-Cr 4:10.</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2-503 prohibits homicide by motor vehicle while under the influence of alcohol and while under the influence of alcohol per se, and § 2-504 prohibits homicide by motor vehicle while impaired by alcohol. These offenses differ from manslaughter by motor vehicle in two respects. First, unlike common law involuntary manslaughter and manslaughter by motor vehicle, which require gross negligence, homicide by motor vehicle while under the influence, under the influence per se, and while impaired require only negligence. Second, unlike manslaughter by motor vehicle, which permits proof of intoxication as a means of establishing a prima facie case, homicide by motor vehicle while under the influence, under the influence per se, and while impaired, require proof of these conditions as elements of the crimes. </w:t>
            </w:r>
            <w:r>
              <w:rPr>
                <w:rFonts w:ascii="Arial" w:eastAsia="Arial" w:hAnsi="Arial" w:cs="Arial"/>
                <w:i/>
                <w:color w:val="000000"/>
                <w:sz w:val="20"/>
              </w:rPr>
              <w:t xml:space="preserve">See </w:t>
            </w:r>
            <w:hyperlink r:id="rId1281" w:history="1">
              <w:r>
                <w:rPr>
                  <w:rFonts w:ascii="Arial" w:eastAsia="Arial" w:hAnsi="Arial" w:cs="Arial"/>
                  <w:i/>
                  <w:color w:val="0077CC"/>
                  <w:sz w:val="20"/>
                  <w:u w:val="single"/>
                </w:rPr>
                <w:t>Loscomb v. State, 45 Md. App. 598, 609, 416 A.2d 1276, 1282 (1980),</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282" w:history="1">
              <w:r>
                <w:rPr>
                  <w:rFonts w:ascii="Arial" w:eastAsia="Arial" w:hAnsi="Arial" w:cs="Arial"/>
                  <w:i/>
                  <w:color w:val="0077CC"/>
                  <w:sz w:val="20"/>
                  <w:u w:val="single"/>
                </w:rPr>
                <w:t>291 Md. 424, 435 A.2d 764 (1981),</w:t>
              </w:r>
            </w:hyperlink>
            <w:r>
              <w:rPr>
                <w:rFonts w:ascii="Arial" w:eastAsia="Arial" w:hAnsi="Arial" w:cs="Arial"/>
                <w:color w:val="000000"/>
                <w:sz w:val="20"/>
              </w:rPr>
              <w:t xml:space="preserve"> </w:t>
            </w:r>
            <w:r>
              <w:rPr>
                <w:rFonts w:ascii="Arial" w:eastAsia="Arial" w:hAnsi="Arial" w:cs="Arial"/>
                <w:i/>
                <w:color w:val="000000"/>
                <w:sz w:val="20"/>
              </w:rPr>
              <w:t xml:space="preserve">superseded by statute on other grounds as stated in </w:t>
            </w:r>
            <w:hyperlink r:id="rId1283" w:history="1">
              <w:r>
                <w:rPr>
                  <w:rFonts w:ascii="Arial" w:eastAsia="Arial" w:hAnsi="Arial" w:cs="Arial"/>
                  <w:i/>
                  <w:color w:val="0077CC"/>
                  <w:sz w:val="20"/>
                  <w:u w:val="single"/>
                </w:rPr>
                <w:t>Meaner v. State, 364 Md. 511, 774 A.2d 394 (2001).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addition to proving these conditions, for all three crimes, the State must prove that the defendant "cause[d] the death of another as the result of the person's negligently driving, operating, or controlling a motor vehicle ...." CRIM. LAW I §§ 2-503(a), 2-504(a). In </w:t>
            </w:r>
            <w:hyperlink r:id="rId1284" w:history="1">
              <w:r>
                <w:rPr>
                  <w:rFonts w:ascii="Arial" w:eastAsia="Arial" w:hAnsi="Arial" w:cs="Arial"/>
                  <w:i/>
                  <w:color w:val="0077CC"/>
                  <w:sz w:val="20"/>
                  <w:u w:val="single"/>
                </w:rPr>
                <w:t>Webber v. State, 320 Md. 238, 245-47, 577 A.2d 58, 61-63 (1990),</w:t>
              </w:r>
            </w:hyperlink>
            <w:r>
              <w:rPr>
                <w:rFonts w:ascii="Arial" w:eastAsia="Arial" w:hAnsi="Arial" w:cs="Arial"/>
                <w:color w:val="000000"/>
                <w:sz w:val="20"/>
              </w:rPr>
              <w:t xml:space="preserve"> the Court of Appeals held that there must be a causal relationship between the motorist's negligence and the death of the victim. It is insufficient to prove that the motorist was under the influence of, or impaired by alcohol, and that the death resulted from the act of driving; it must result from negligent driving. </w:t>
            </w:r>
            <w:hyperlink r:id="rId1285" w:history="1">
              <w:r>
                <w:rPr>
                  <w:rFonts w:ascii="Arial" w:eastAsia="Arial" w:hAnsi="Arial" w:cs="Arial"/>
                  <w:i/>
                  <w:color w:val="0077CC"/>
                  <w:sz w:val="20"/>
                  <w:u w:val="single"/>
                </w:rPr>
                <w:t>Id. at 245-47, 577 A.2d at 61-62.</w:t>
              </w:r>
            </w:hyperlink>
            <w:r>
              <w:rPr>
                <w:rFonts w:ascii="Arial" w:eastAsia="Arial" w:hAnsi="Arial" w:cs="Arial"/>
                <w:color w:val="000000"/>
                <w:sz w:val="20"/>
              </w:rPr>
              <w:t xml:space="preserve"> In </w:t>
            </w:r>
            <w:r>
              <w:rPr>
                <w:rFonts w:ascii="Arial" w:eastAsia="Arial" w:hAnsi="Arial" w:cs="Arial"/>
                <w:i/>
                <w:color w:val="000000"/>
                <w:sz w:val="20"/>
              </w:rPr>
              <w:t>Webber</w:t>
            </w:r>
            <w:r>
              <w:rPr>
                <w:rFonts w:ascii="Arial" w:eastAsia="Arial" w:hAnsi="Arial" w:cs="Arial"/>
                <w:color w:val="000000"/>
                <w:sz w:val="20"/>
              </w:rPr>
              <w:t xml:space="preserve">, the defendant's speed was "reasonable" and the only evidence of negligence was the defendant's intoxication. Thus, without evidence that a sober driver with normal reflexes would have been able to avoid hitting the victim, the requisite causal relationship was not established. </w:t>
            </w:r>
            <w:hyperlink r:id="rId1286" w:history="1">
              <w:r>
                <w:rPr>
                  <w:rFonts w:ascii="Arial" w:eastAsia="Arial" w:hAnsi="Arial" w:cs="Arial"/>
                  <w:i/>
                  <w:color w:val="0077CC"/>
                  <w:sz w:val="20"/>
                  <w:u w:val="single"/>
                </w:rPr>
                <w:t>Id. at 248, 577 A.2d at 63.</w:t>
              </w:r>
            </w:hyperlink>
            <w:r>
              <w:rPr>
                <w:rFonts w:ascii="Arial" w:eastAsia="Arial" w:hAnsi="Arial" w:cs="Arial"/>
                <w:color w:val="000000"/>
                <w:sz w:val="20"/>
              </w:rPr>
              <w:t xml:space="preserve"> In </w:t>
            </w:r>
            <w:hyperlink r:id="rId1287" w:history="1">
              <w:r>
                <w:rPr>
                  <w:rFonts w:ascii="Arial" w:eastAsia="Arial" w:hAnsi="Arial" w:cs="Arial"/>
                  <w:i/>
                  <w:color w:val="0077CC"/>
                  <w:sz w:val="20"/>
                  <w:u w:val="single"/>
                </w:rPr>
                <w:t>Coates v. State, 90 Md. App. 105, 600 A.2d 856 (1992),</w:t>
              </w:r>
            </w:hyperlink>
            <w:r>
              <w:rPr>
                <w:rFonts w:ascii="Arial" w:eastAsia="Arial" w:hAnsi="Arial" w:cs="Arial"/>
                <w:color w:val="000000"/>
                <w:sz w:val="20"/>
              </w:rPr>
              <w:t xml:space="preserve"> the Court of Special Appeals held that, even though the trial judge was correct in excluding evidence of the victims' intoxication as it related to contributory negligence, she was incorrect in excluding it as it related to the defendant's theory of causation.</w:t>
            </w:r>
          </w:p>
          <w:p w:rsidR="004729FB" w:rsidRDefault="004729FB" w:rsidP="00713DA5">
            <w:pPr>
              <w:spacing w:before="200" w:line="260" w:lineRule="atLeast"/>
              <w:ind w:left="60" w:right="360"/>
              <w:jc w:val="both"/>
            </w:pPr>
            <w:r>
              <w:rPr>
                <w:rFonts w:ascii="Arial" w:eastAsia="Arial" w:hAnsi="Arial" w:cs="Arial"/>
                <w:color w:val="000000"/>
                <w:sz w:val="20"/>
              </w:rPr>
              <w:t xml:space="preserve">A person is guilty of homicide by motor vehicle while impaired by drugs if that person "cause[s] the death of another as the result of the person's negligently driving, operating, or controlling a motor vehicle or vessel while the person is so far impaired by a drug, a combination of drugs, or a combination of one or more drugs and alcohol that the person cannot drive, operate, or control a motor vehicle or vessel safely." CRIM. LAW I § 2-505(a); </w:t>
            </w:r>
            <w:r>
              <w:rPr>
                <w:rFonts w:ascii="Arial" w:eastAsia="Arial" w:hAnsi="Arial" w:cs="Arial"/>
                <w:i/>
                <w:color w:val="000000"/>
                <w:sz w:val="20"/>
              </w:rPr>
              <w:t>see also id.</w:t>
            </w:r>
            <w:r>
              <w:rPr>
                <w:rFonts w:ascii="Arial" w:eastAsia="Arial" w:hAnsi="Arial" w:cs="Arial"/>
                <w:color w:val="000000"/>
                <w:sz w:val="20"/>
              </w:rPr>
              <w:t xml:space="preserve"> § 2-506 (homicide by motor vehicle while impaired by a controlled dangerous substance).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6" style="position:absolute;z-index:25186918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4:10, MPJI-Cr 4:10.1, MPJI-Cr 4:10.2, MPJI-Cr 4:10.3, MPJI-Cr 4:10.4, MPJI-Cr 4:17, MPJI-Cr 4:17.2, MPJI-Cr 4:17.9, MPJICr 4:17.10.</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56" style="position:absolute;left:0;text-align:left;z-index:2518794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67" name="Picture 6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294" w:history="1">
        <w:r>
          <w:rPr>
            <w:rFonts w:ascii="Arial" w:eastAsia="Arial" w:hAnsi="Arial" w:cs="Arial"/>
            <w:b/>
            <w:bCs/>
            <w:i/>
            <w:color w:val="0077CC"/>
            <w:kern w:val="32"/>
            <w:sz w:val="28"/>
            <w:szCs w:val="32"/>
            <w:u w:val="single"/>
          </w:rPr>
          <w:t>MPJI-Cr 4:17.13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HOMICIDE--ATTEMPTED FIRST DEGREE MURDER, AND ATTEMPTED SECOND DEGREE MURDER (NO JUSTIFICATION OR MITIGATION GENERATED)</w:t>
      </w:r>
    </w:p>
    <w:p w:rsidR="004729FB" w:rsidRDefault="004729FB" w:rsidP="004729FB">
      <w:pPr>
        <w:keepNext/>
        <w:spacing w:before="240" w:line="340" w:lineRule="atLeast"/>
      </w:pPr>
      <w:r>
        <w:br/>
      </w:r>
      <w:r>
        <w:rPr>
          <w:rFonts w:ascii="Arial" w:eastAsia="Arial" w:hAnsi="Arial" w:cs="Arial"/>
          <w:b/>
          <w:color w:val="000000"/>
          <w:sz w:val="28"/>
        </w:rPr>
        <w:t>4:17.13Homicide--Attempted First Degree Murder, and Attempted Second Degree Murder (No Justification or Mitigation Generated)</w:t>
      </w:r>
    </w:p>
    <w:p w:rsidR="004729FB" w:rsidRDefault="004729FB" w:rsidP="004729FB">
      <w:pPr>
        <w:spacing w:line="60" w:lineRule="exact"/>
      </w:pPr>
      <w:r>
        <w:pict>
          <v:line id="_x0000_s1237" style="position:absolute;z-index:2518599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attempted murder. This charge includes attempted first degree murder and attempted second degree murder. Attempt is a substantial step, beyond mere preparation, toward the commission of a crime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ATTEMPTED FIRST DEGREE MURDER</w:t>
      </w:r>
    </w:p>
    <w:p w:rsidR="004729FB" w:rsidRDefault="004729FB" w:rsidP="004729FB">
      <w:pPr>
        <w:spacing w:before="200" w:line="260" w:lineRule="atLeast"/>
        <w:jc w:val="both"/>
      </w:pPr>
      <w:r>
        <w:rPr>
          <w:rFonts w:ascii="Arial" w:eastAsia="Arial" w:hAnsi="Arial" w:cs="Arial"/>
          <w:b/>
          <w:color w:val="000000"/>
          <w:sz w:val="20"/>
        </w:rPr>
        <w:t>Attempted first degree murder is a substantial step, beyond mere preparation, toward the commission of murder in the first degree. In order to convict the defendant of attempted murder in the first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took a substantial step, beyond mere preparation, toward the commission of murder in the first degree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had the apparent ability, at that time, to commit the crime of murder in the first degree; and</w:t>
      </w:r>
    </w:p>
    <w:p w:rsidR="004729FB" w:rsidRDefault="004729FB" w:rsidP="004729FB">
      <w:pPr>
        <w:spacing w:before="200" w:line="260" w:lineRule="atLeast"/>
        <w:ind w:left="400"/>
        <w:jc w:val="both"/>
      </w:pPr>
      <w:r>
        <w:rPr>
          <w:rFonts w:ascii="Arial" w:eastAsia="Arial" w:hAnsi="Arial" w:cs="Arial"/>
          <w:b/>
          <w:color w:val="000000"/>
          <w:sz w:val="20"/>
        </w:rPr>
        <w:t>(3) that the defendant willfully, and with premeditation and deliberation,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though it may only have been brief, for the defendant to consider the decision whether or not to kill and enough time to weigh the reasons for and against the choice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ATTEMPTED SECOND DEGREE MURDER</w:t>
      </w:r>
    </w:p>
    <w:p w:rsidR="004729FB" w:rsidRDefault="004729FB" w:rsidP="004729FB">
      <w:pPr>
        <w:spacing w:before="200" w:line="260" w:lineRule="atLeast"/>
        <w:jc w:val="both"/>
      </w:pPr>
      <w:r>
        <w:rPr>
          <w:rFonts w:ascii="Arial" w:eastAsia="Arial" w:hAnsi="Arial" w:cs="Arial"/>
          <w:b/>
          <w:color w:val="000000"/>
          <w:sz w:val="20"/>
        </w:rPr>
        <w:t>Attempted second degree murder is a substantial step, beyond mere preparation, toward the commission of murder in the second degree. Second degree murder does not require premeditation or deliberation. In order to convict the defendant of attempted murder in the second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took a substantial step, beyond mere preparation, toward the commission of murder in the second degree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(2) that the defendant had the apparent ability, at that time, to commit the crime of murder in the second degree; and</w:t>
      </w:r>
    </w:p>
    <w:p w:rsidR="004729FB" w:rsidRDefault="004729FB" w:rsidP="004729FB">
      <w:pPr>
        <w:spacing w:before="200" w:line="260" w:lineRule="atLeast"/>
        <w:ind w:left="400"/>
        <w:jc w:val="both"/>
      </w:pPr>
      <w:r>
        <w:rPr>
          <w:rFonts w:ascii="Arial" w:eastAsia="Arial" w:hAnsi="Arial" w:cs="Arial"/>
          <w:b/>
          <w:color w:val="000000"/>
          <w:sz w:val="20"/>
        </w:rPr>
        <w:t>(3) that the defendant actually intended to kill (name)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4:02 (Attempt).</w:t>
            </w:r>
          </w:p>
          <w:p w:rsidR="004729FB" w:rsidRDefault="004729FB" w:rsidP="00713DA5">
            <w:pPr>
              <w:spacing w:before="240" w:line="260" w:lineRule="atLeast"/>
              <w:ind w:left="60" w:right="360"/>
              <w:jc w:val="both"/>
            </w:pPr>
            <w:r>
              <w:rPr>
                <w:rFonts w:ascii="Arial" w:eastAsia="Arial" w:hAnsi="Arial" w:cs="Arial"/>
                <w:color w:val="000000"/>
                <w:sz w:val="20"/>
              </w:rPr>
              <w:t xml:space="preserve">For homicide offenses, the intended consequence of the attempt must be the death of the victim. </w:t>
            </w:r>
            <w:hyperlink r:id="rId1295" w:history="1">
              <w:r>
                <w:rPr>
                  <w:rFonts w:ascii="Arial" w:eastAsia="Arial" w:hAnsi="Arial" w:cs="Arial"/>
                  <w:i/>
                  <w:color w:val="0077CC"/>
                  <w:sz w:val="20"/>
                  <w:u w:val="single"/>
                </w:rPr>
                <w:t>State v. Selby, 319 Md. 174, 178, 571 A.2d 1236, 1238 (1990)</w:t>
              </w:r>
            </w:hyperlink>
            <w:r>
              <w:rPr>
                <w:rFonts w:ascii="Arial" w:eastAsia="Arial" w:hAnsi="Arial" w:cs="Arial"/>
                <w:color w:val="000000"/>
                <w:sz w:val="20"/>
              </w:rPr>
              <w:t xml:space="preserve"> (attempted murder); </w:t>
            </w:r>
            <w:hyperlink r:id="rId1296" w:history="1">
              <w:r>
                <w:rPr>
                  <w:rFonts w:ascii="Arial" w:eastAsia="Arial" w:hAnsi="Arial" w:cs="Arial"/>
                  <w:i/>
                  <w:color w:val="0077CC"/>
                  <w:sz w:val="20"/>
                  <w:u w:val="single"/>
                </w:rPr>
                <w:t>Cox v. State, 311 Md. 326, 331-32, 534 A.2d 1333 (1988)</w:t>
              </w:r>
            </w:hyperlink>
            <w:r>
              <w:rPr>
                <w:rFonts w:ascii="Arial" w:eastAsia="Arial" w:hAnsi="Arial" w:cs="Arial"/>
                <w:color w:val="000000"/>
                <w:sz w:val="20"/>
              </w:rPr>
              <w:t xml:space="preserve"> (attempted voluntary manslaughter). An intent to kill may be inferred from infliction of grievous bodily harm. An intent to merely inflict grievous bodily harm, however, is legally insufficient for attempted murder. </w:t>
            </w:r>
            <w:hyperlink r:id="rId1297" w:history="1">
              <w:r>
                <w:rPr>
                  <w:rFonts w:ascii="Arial" w:eastAsia="Arial" w:hAnsi="Arial" w:cs="Arial"/>
                  <w:i/>
                  <w:color w:val="0077CC"/>
                  <w:sz w:val="20"/>
                  <w:u w:val="single"/>
                </w:rPr>
                <w:t>State v. Earp, 319 Md. 156, 161-67, 571 A.2d 1227, 1230-33 (1990)</w:t>
              </w:r>
            </w:hyperlink>
            <w:r>
              <w:rPr>
                <w:rFonts w:ascii="Arial" w:eastAsia="Arial" w:hAnsi="Arial" w:cs="Arial"/>
                <w:color w:val="000000"/>
                <w:sz w:val="20"/>
              </w:rPr>
              <w:t xml:space="preserve"> (finding that, even though there was sufficient evidence to find an intent to kill, the trial judge's actual finding of an intent to inflict grievous bodily harm could not sustain attempted murder); </w:t>
            </w:r>
            <w:r>
              <w:rPr>
                <w:rFonts w:ascii="Arial" w:eastAsia="Arial" w:hAnsi="Arial" w:cs="Arial"/>
                <w:i/>
                <w:color w:val="000000"/>
                <w:sz w:val="20"/>
              </w:rPr>
              <w:t xml:space="preserve">see </w:t>
            </w:r>
            <w:hyperlink r:id="rId1298" w:history="1">
              <w:r>
                <w:rPr>
                  <w:rFonts w:ascii="Arial" w:eastAsia="Arial" w:hAnsi="Arial" w:cs="Arial"/>
                  <w:i/>
                  <w:color w:val="0077CC"/>
                  <w:sz w:val="20"/>
                  <w:u w:val="single"/>
                </w:rPr>
                <w:t>Selby, 319 Md. at 178-79, 571 A.2d at 1238-39</w:t>
              </w:r>
            </w:hyperlink>
            <w:r>
              <w:rPr>
                <w:rFonts w:ascii="Arial" w:eastAsia="Arial" w:hAnsi="Arial" w:cs="Arial"/>
                <w:color w:val="000000"/>
                <w:sz w:val="20"/>
              </w:rPr>
              <w:t xml:space="preserve"> (holding that lying in wait cannot substitute for a specific intent to kill).</w:t>
            </w:r>
          </w:p>
          <w:p w:rsidR="004729FB" w:rsidRDefault="004729FB" w:rsidP="00713DA5">
            <w:pPr>
              <w:spacing w:before="200" w:line="260" w:lineRule="atLeast"/>
              <w:ind w:left="60" w:right="360"/>
              <w:jc w:val="both"/>
            </w:pPr>
            <w:r>
              <w:rPr>
                <w:rFonts w:ascii="Arial" w:eastAsia="Arial" w:hAnsi="Arial" w:cs="Arial"/>
                <w:color w:val="000000"/>
                <w:sz w:val="20"/>
              </w:rPr>
              <w:t xml:space="preserve">In attempted murder, the intent must be not just to kill, but to murder, i.e., an intent to kill without justification, excuse, or mitigation. In </w:t>
            </w:r>
            <w:r>
              <w:rPr>
                <w:rFonts w:ascii="Arial" w:eastAsia="Arial" w:hAnsi="Arial" w:cs="Arial"/>
                <w:i/>
                <w:color w:val="000000"/>
                <w:sz w:val="20"/>
              </w:rPr>
              <w:t>Earp</w:t>
            </w:r>
            <w:r>
              <w:rPr>
                <w:rFonts w:ascii="Arial" w:eastAsia="Arial" w:hAnsi="Arial" w:cs="Arial"/>
                <w:color w:val="000000"/>
                <w:sz w:val="20"/>
              </w:rPr>
              <w:t>, the Court of Appeals stated:</w:t>
            </w:r>
          </w:p>
          <w:p w:rsidR="004729FB" w:rsidRDefault="004729FB" w:rsidP="00713DA5">
            <w:pPr>
              <w:spacing w:before="200" w:line="260" w:lineRule="atLeast"/>
              <w:ind w:left="460" w:right="360"/>
              <w:jc w:val="both"/>
            </w:pPr>
            <w:r>
              <w:rPr>
                <w:rFonts w:ascii="Arial" w:eastAsia="Arial" w:hAnsi="Arial" w:cs="Arial"/>
                <w:color w:val="000000"/>
                <w:sz w:val="20"/>
              </w:rPr>
              <w:t xml:space="preserve">The better practice, particularly in a case involving a legal issue of justification, excuse, or mitigation, would be to instruct the jury that the attempt must be accompanied by a specific intent to kill </w:t>
            </w:r>
            <w:r>
              <w:rPr>
                <w:rFonts w:ascii="Arial" w:eastAsia="Arial" w:hAnsi="Arial" w:cs="Arial"/>
                <w:i/>
                <w:color w:val="000000"/>
                <w:sz w:val="20"/>
              </w:rPr>
              <w:t>and</w:t>
            </w:r>
            <w:r>
              <w:rPr>
                <w:rFonts w:ascii="Arial" w:eastAsia="Arial" w:hAnsi="Arial" w:cs="Arial"/>
                <w:color w:val="000000"/>
                <w:sz w:val="20"/>
              </w:rPr>
              <w:t xml:space="preserve"> must occur under circumstances that would not legally justify or excuse the killing or mitigate it to manslaughter if death should result.</w:t>
            </w:r>
          </w:p>
          <w:p w:rsidR="004729FB" w:rsidRDefault="004729FB" w:rsidP="00713DA5">
            <w:pPr>
              <w:spacing w:before="240" w:line="260" w:lineRule="atLeast"/>
              <w:ind w:left="60" w:right="360"/>
              <w:jc w:val="both"/>
            </w:pPr>
            <w:hyperlink r:id="rId1299" w:history="1">
              <w:r>
                <w:rPr>
                  <w:rFonts w:ascii="Arial" w:eastAsia="Arial" w:hAnsi="Arial" w:cs="Arial"/>
                  <w:i/>
                  <w:color w:val="0077CC"/>
                  <w:sz w:val="20"/>
                  <w:u w:val="single"/>
                </w:rPr>
                <w:t>319 Md. at 164, 571 A.2d at 1231</w:t>
              </w:r>
            </w:hyperlink>
            <w:r>
              <w:rPr>
                <w:rFonts w:ascii="Arial" w:eastAsia="Arial" w:hAnsi="Arial" w:cs="Arial"/>
                <w:color w:val="000000"/>
                <w:sz w:val="20"/>
              </w:rPr>
              <w:t xml:space="preserve"> (emphasis in original). Accordingly, if the attempt includes a specific intent to kill, but under mitigated circumstances, the result is attempted voluntary manslaughter, </w:t>
            </w:r>
            <w:hyperlink r:id="rId1300" w:history="1">
              <w:r>
                <w:rPr>
                  <w:rFonts w:ascii="Arial" w:eastAsia="Arial" w:hAnsi="Arial" w:cs="Arial"/>
                  <w:i/>
                  <w:color w:val="0077CC"/>
                  <w:sz w:val="20"/>
                  <w:u w:val="single"/>
                </w:rPr>
                <w:t>Cox, 311 Md. at 331, 534 A.2d at 1335.</w:t>
              </w:r>
            </w:hyperlink>
            <w:r>
              <w:rPr>
                <w:rFonts w:ascii="Arial" w:eastAsia="Arial" w:hAnsi="Arial" w:cs="Arial"/>
                <w:color w:val="000000"/>
                <w:sz w:val="20"/>
              </w:rPr>
              <w:t xml:space="preserve"> Attempted murder can be in the first or second degree. </w:t>
            </w:r>
            <w:hyperlink r:id="rId1301" w:history="1">
              <w:r>
                <w:rPr>
                  <w:rFonts w:ascii="Arial" w:eastAsia="Arial" w:hAnsi="Arial" w:cs="Arial"/>
                  <w:i/>
                  <w:color w:val="0077CC"/>
                  <w:sz w:val="20"/>
                  <w:u w:val="single"/>
                </w:rPr>
                <w:t>State v. Holmes, 310 Md. 260, 268, 528 A.2d 1279, 1282-83 (1987).</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Because an attempted homicide requires an intent to kill, only intentional homicides can have an attempt version. Thus, there is no such crime as attempted felony murder, </w:t>
            </w:r>
            <w:hyperlink r:id="rId1302" w:history="1">
              <w:r>
                <w:rPr>
                  <w:rFonts w:ascii="Arial" w:eastAsia="Arial" w:hAnsi="Arial" w:cs="Arial"/>
                  <w:i/>
                  <w:color w:val="0077CC"/>
                  <w:sz w:val="20"/>
                  <w:u w:val="single"/>
                </w:rPr>
                <w:t>Bruce v. State, 317 Md. 642, 566 A.2d 103 (1989),</w:t>
              </w:r>
            </w:hyperlink>
            <w:r>
              <w:rPr>
                <w:rFonts w:ascii="Arial" w:eastAsia="Arial" w:hAnsi="Arial" w:cs="Arial"/>
                <w:color w:val="000000"/>
                <w:sz w:val="20"/>
              </w:rPr>
              <w:t xml:space="preserve"> or attempted involuntary manslaughter, </w:t>
            </w:r>
            <w:hyperlink r:id="rId1303" w:history="1">
              <w:r>
                <w:rPr>
                  <w:rFonts w:ascii="Arial" w:eastAsia="Arial" w:hAnsi="Arial" w:cs="Arial"/>
                  <w:i/>
                  <w:color w:val="0077CC"/>
                  <w:sz w:val="20"/>
                  <w:u w:val="single"/>
                </w:rPr>
                <w:t>Cox, 311 Md. 326, 534 A.2d 1333.</w:t>
              </w:r>
            </w:hyperlink>
            <w:r>
              <w:rPr>
                <w:rFonts w:ascii="Arial" w:eastAsia="Arial" w:hAnsi="Arial" w:cs="Arial"/>
                <w:color w:val="000000"/>
                <w:sz w:val="20"/>
              </w:rPr>
              <w:t xml:space="preserve"> </w:t>
            </w:r>
            <w:hyperlink r:id="rId1304" w:history="1">
              <w:r>
                <w:rPr>
                  <w:rFonts w:ascii="Arial" w:eastAsia="Arial" w:hAnsi="Arial" w:cs="Arial"/>
                  <w:i/>
                  <w:color w:val="0077CC"/>
                  <w:sz w:val="20"/>
                  <w:u w:val="single"/>
                </w:rPr>
                <w:t>Poe v. State, 341 Md. 523, 529, 671 A.2d 501, 504 (1996)</w:t>
              </w:r>
            </w:hyperlink>
            <w:r>
              <w:rPr>
                <w:rFonts w:ascii="Arial" w:eastAsia="Arial" w:hAnsi="Arial" w:cs="Arial"/>
                <w:color w:val="000000"/>
                <w:sz w:val="20"/>
              </w:rPr>
              <w:t xml:space="preserve"> (stating that "the doctrine of transferred intent does not apply to attempted murder when there is no death"). Likewise, the doctrine of transferred intent does not apply to attempted murder. </w:t>
            </w:r>
            <w:hyperlink r:id="rId1305" w:history="1">
              <w:r>
                <w:rPr>
                  <w:rFonts w:ascii="Arial" w:eastAsia="Arial" w:hAnsi="Arial" w:cs="Arial"/>
                  <w:i/>
                  <w:color w:val="0077CC"/>
                  <w:sz w:val="20"/>
                  <w:u w:val="single"/>
                </w:rPr>
                <w:t>Ford v. State, 330 Md. 682, 711-18, 625 A.2d 984, 998-1001 (1993)</w:t>
              </w:r>
            </w:hyperlink>
            <w:r>
              <w:rPr>
                <w:rFonts w:ascii="Arial" w:eastAsia="Arial" w:hAnsi="Arial" w:cs="Arial"/>
                <w:color w:val="000000"/>
                <w:sz w:val="20"/>
              </w:rPr>
              <w:t xml:space="preserve"> (distinguishing transferred intent from concurrent intent where the defendant actually intended to kill everyone in an area in order to kill his primary target), </w:t>
            </w:r>
            <w:r>
              <w:rPr>
                <w:rFonts w:ascii="Arial" w:eastAsia="Arial" w:hAnsi="Arial" w:cs="Arial"/>
                <w:i/>
                <w:color w:val="000000"/>
                <w:sz w:val="20"/>
              </w:rPr>
              <w:t xml:space="preserve">superseded by statute on other grounds as stated in </w:t>
            </w:r>
            <w:hyperlink r:id="rId1306" w:history="1">
              <w:r>
                <w:rPr>
                  <w:rFonts w:ascii="Arial" w:eastAsia="Arial" w:hAnsi="Arial" w:cs="Arial"/>
                  <w:i/>
                  <w:color w:val="0077CC"/>
                  <w:sz w:val="20"/>
                  <w:u w:val="single"/>
                </w:rPr>
                <w:t>Robinson v. State, 353 Md. 683, 728 A.2d 698 (1999).</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47" style="position:absolute;z-index:25187020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4:02, MPJI-Cr 4:17, MPJI-Cr 4:17.1, MPJI-Cr 4:17.2, MPJICr 4:17.3, MPJI-Cr 4:17.4, MPJI-Cr 4:17.5, MPJI-Cr 4:17.14.</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257" style="position:absolute;left:0;text-align:left;z-index:251880448;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10:49:00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77923631</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307" w:history="1">
        <w:r>
          <w:rPr>
            <w:rFonts w:ascii="Arial" w:eastAsia="Arial" w:hAnsi="Arial" w:cs="Arial"/>
            <w:color w:val="000000"/>
            <w:sz w:val="20"/>
            <w:u w:val="single"/>
          </w:rPr>
          <w:t xml:space="preserve"> </w:t>
        </w:r>
      </w:hyperlink>
      <w:hyperlink r:id="rId1308" w:history="1">
        <w:r>
          <w:rPr>
            <w:rFonts w:ascii="Arial" w:eastAsia="Arial" w:hAnsi="Arial" w:cs="Arial"/>
            <w:i/>
            <w:color w:val="0077CC"/>
            <w:sz w:val="20"/>
            <w:u w:val="single"/>
          </w:rPr>
          <w:t>Homicide--Attempted First Degree Murder, Attempted Second Degree Murder, and Attempted Voluntary Manslaughter (Imperfect Self-Defense)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309" w:history="1">
        <w:r>
          <w:rPr>
            <w:rFonts w:ascii="Arial" w:eastAsia="Arial" w:hAnsi="Arial" w:cs="Arial"/>
            <w:color w:val="000000"/>
            <w:sz w:val="20"/>
            <w:u w:val="single"/>
          </w:rPr>
          <w:t xml:space="preserve"> </w:t>
        </w:r>
      </w:hyperlink>
      <w:hyperlink r:id="rId1310" w:history="1">
        <w:r>
          <w:rPr>
            <w:rFonts w:ascii="Arial" w:eastAsia="Arial" w:hAnsi="Arial" w:cs="Arial"/>
            <w:i/>
            <w:color w:val="0077CC"/>
            <w:sz w:val="20"/>
            <w:u w:val="single"/>
          </w:rPr>
          <w:t>Human Trafficking--Prostitution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311" w:history="1">
        <w:r>
          <w:rPr>
            <w:rFonts w:ascii="Arial" w:eastAsia="Arial" w:hAnsi="Arial" w:cs="Arial"/>
            <w:color w:val="000000"/>
            <w:sz w:val="20"/>
            <w:u w:val="single"/>
          </w:rPr>
          <w:t xml:space="preserve"> </w:t>
        </w:r>
      </w:hyperlink>
      <w:hyperlink r:id="rId1312" w:history="1">
        <w:r>
          <w:rPr>
            <w:rFonts w:ascii="Arial" w:eastAsia="Arial" w:hAnsi="Arial" w:cs="Arial"/>
            <w:i/>
            <w:color w:val="0077CC"/>
            <w:sz w:val="20"/>
            <w:u w:val="single"/>
          </w:rPr>
          <w:t>Human Trafficking--Sexually Explicit Performance § 11-303(a)(1)(v))</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313" w:history="1">
        <w:r>
          <w:rPr>
            <w:rFonts w:ascii="Arial" w:eastAsia="Arial" w:hAnsi="Arial" w:cs="Arial"/>
            <w:color w:val="000000"/>
            <w:sz w:val="20"/>
            <w:u w:val="single"/>
          </w:rPr>
          <w:t xml:space="preserve"> </w:t>
        </w:r>
      </w:hyperlink>
      <w:hyperlink r:id="rId1314" w:history="1">
        <w:r>
          <w:rPr>
            <w:rFonts w:ascii="Arial" w:eastAsia="Arial" w:hAnsi="Arial" w:cs="Arial"/>
            <w:i/>
            <w:color w:val="0077CC"/>
            <w:sz w:val="20"/>
            <w:u w:val="single"/>
          </w:rPr>
          <w:t>Human Trafficking--Document Concealment or Destruction (§ 11-303(A)(1)(vi))</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315" w:history="1">
        <w:r>
          <w:rPr>
            <w:rFonts w:ascii="Arial" w:eastAsia="Arial" w:hAnsi="Arial" w:cs="Arial"/>
            <w:color w:val="000000"/>
            <w:sz w:val="20"/>
            <w:u w:val="single"/>
          </w:rPr>
          <w:t xml:space="preserve"> </w:t>
        </w:r>
      </w:hyperlink>
      <w:hyperlink r:id="rId1316" w:history="1">
        <w:r>
          <w:rPr>
            <w:rFonts w:ascii="Arial" w:eastAsia="Arial" w:hAnsi="Arial" w:cs="Arial"/>
            <w:i/>
            <w:color w:val="0077CC"/>
            <w:sz w:val="20"/>
            <w:u w:val="single"/>
          </w:rPr>
          <w:t>Human Trafficking--Parent/Person With Care and Responsibility of Another (§ 11-303(a)(2))</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317" w:history="1">
        <w:r>
          <w:rPr>
            <w:rFonts w:ascii="Arial" w:eastAsia="Arial" w:hAnsi="Arial" w:cs="Arial"/>
            <w:color w:val="000000"/>
            <w:sz w:val="20"/>
            <w:u w:val="single"/>
          </w:rPr>
          <w:t xml:space="preserve"> </w:t>
        </w:r>
      </w:hyperlink>
      <w:hyperlink r:id="rId1318" w:history="1">
        <w:r>
          <w:rPr>
            <w:rFonts w:ascii="Arial" w:eastAsia="Arial" w:hAnsi="Arial" w:cs="Arial"/>
            <w:i/>
            <w:color w:val="0077CC"/>
            <w:sz w:val="20"/>
            <w:u w:val="single"/>
          </w:rPr>
          <w:t>Human Trafficking--Minor (§ 11-303(b)(1))</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319" w:history="1">
        <w:r>
          <w:rPr>
            <w:rFonts w:ascii="Arial" w:eastAsia="Arial" w:hAnsi="Arial" w:cs="Arial"/>
            <w:color w:val="000000"/>
            <w:sz w:val="20"/>
            <w:u w:val="single"/>
          </w:rPr>
          <w:t xml:space="preserve"> </w:t>
        </w:r>
      </w:hyperlink>
      <w:hyperlink r:id="rId1320" w:history="1">
        <w:r>
          <w:rPr>
            <w:rFonts w:ascii="Arial" w:eastAsia="Arial" w:hAnsi="Arial" w:cs="Arial"/>
            <w:i/>
            <w:color w:val="0077CC"/>
            <w:sz w:val="20"/>
            <w:u w:val="single"/>
          </w:rPr>
          <w:t>Identity Fraud (Malicious Use of Interactive Computer Device Disclosing Personal Identification Number)</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321" w:history="1">
        <w:r>
          <w:rPr>
            <w:rFonts w:ascii="Arial" w:eastAsia="Arial" w:hAnsi="Arial" w:cs="Arial"/>
            <w:color w:val="000000"/>
            <w:sz w:val="20"/>
            <w:u w:val="single"/>
          </w:rPr>
          <w:t xml:space="preserve"> </w:t>
        </w:r>
      </w:hyperlink>
      <w:hyperlink r:id="rId1322" w:history="1">
        <w:r>
          <w:rPr>
            <w:rFonts w:ascii="Arial" w:eastAsia="Arial" w:hAnsi="Arial" w:cs="Arial"/>
            <w:i/>
            <w:color w:val="0077CC"/>
            <w:sz w:val="20"/>
            <w:u w:val="single"/>
          </w:rPr>
          <w:t>Incest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323" w:history="1">
        <w:r>
          <w:rPr>
            <w:rFonts w:ascii="Arial" w:eastAsia="Arial" w:hAnsi="Arial" w:cs="Arial"/>
            <w:color w:val="000000"/>
            <w:sz w:val="20"/>
            <w:u w:val="single"/>
          </w:rPr>
          <w:t xml:space="preserve"> </w:t>
        </w:r>
      </w:hyperlink>
      <w:hyperlink r:id="rId1324" w:history="1">
        <w:r>
          <w:rPr>
            <w:rFonts w:ascii="Arial" w:eastAsia="Arial" w:hAnsi="Arial" w:cs="Arial"/>
            <w:i/>
            <w:color w:val="0077CC"/>
            <w:sz w:val="20"/>
            <w:u w:val="single"/>
          </w:rPr>
          <w:t>Identity Fraud (Obtaining Personal Identifying Information Without Consent)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1325" w:history="1">
        <w:r>
          <w:rPr>
            <w:rFonts w:ascii="Arial" w:eastAsia="Arial" w:hAnsi="Arial" w:cs="Arial"/>
            <w:color w:val="000000"/>
            <w:sz w:val="20"/>
            <w:u w:val="single"/>
          </w:rPr>
          <w:t xml:space="preserve"> </w:t>
        </w:r>
      </w:hyperlink>
      <w:hyperlink r:id="rId1326" w:history="1">
        <w:r>
          <w:rPr>
            <w:rFonts w:ascii="Arial" w:eastAsia="Arial" w:hAnsi="Arial" w:cs="Arial"/>
            <w:i/>
            <w:color w:val="0077CC"/>
            <w:sz w:val="20"/>
            <w:u w:val="single"/>
          </w:rPr>
          <w:t>Identity Fraud (Assuming Identity of Another)</w:t>
        </w:r>
      </w:hyperlink>
    </w:p>
    <w:p w:rsidR="004729FB" w:rsidRDefault="004729FB" w:rsidP="004729FB">
      <w:pPr>
        <w:spacing w:before="80" w:line="240" w:lineRule="atLeast"/>
        <w:ind w:left="290"/>
        <w:sectPr w:rsidR="004729FB" w:rsidSect="004729FB">
          <w:headerReference w:type="even" r:id="rId1327"/>
          <w:headerReference w:type="default" r:id="rId1328"/>
          <w:footerReference w:type="even" r:id="rId1329"/>
          <w:footerReference w:type="default" r:id="rId1330"/>
          <w:headerReference w:type="first" r:id="rId1331"/>
          <w:footerReference w:type="first" r:id="rId1332"/>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7" name="Picture 8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39" w:history="1">
        <w:r>
          <w:rPr>
            <w:rFonts w:ascii="Arial" w:eastAsia="Arial" w:hAnsi="Arial" w:cs="Arial"/>
            <w:b/>
            <w:bCs/>
            <w:i/>
            <w:color w:val="0077CC"/>
            <w:kern w:val="32"/>
            <w:sz w:val="28"/>
            <w:szCs w:val="32"/>
            <w:u w:val="single"/>
          </w:rPr>
          <w:t>MPJI-Cr 4:17.14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HOMICIDE--ATTEMPTED FIRST DEGREE MURDER, ATTEMPTED SECOND DEGREE MURDER, AND ATTEMPTED VOLUNTARY MANSLAUGHTER (IMPERFECT SELF-DEFENSE)</w:t>
      </w:r>
    </w:p>
    <w:p w:rsidR="004729FB" w:rsidRDefault="004729FB" w:rsidP="004729FB">
      <w:pPr>
        <w:keepNext/>
        <w:spacing w:before="240" w:line="340" w:lineRule="atLeast"/>
      </w:pPr>
      <w:r>
        <w:br/>
      </w:r>
      <w:r>
        <w:rPr>
          <w:rFonts w:ascii="Arial" w:eastAsia="Arial" w:hAnsi="Arial" w:cs="Arial"/>
          <w:b/>
          <w:color w:val="000000"/>
          <w:sz w:val="28"/>
        </w:rPr>
        <w:t>4:17.14Homicide--Attempted First Degree Murder, Attempted Second Degree Murder, and Attempted Voluntary Manslaughter (Imperfect Self-Defense)</w:t>
      </w:r>
    </w:p>
    <w:p w:rsidR="004729FB" w:rsidRDefault="004729FB" w:rsidP="004729FB">
      <w:pPr>
        <w:spacing w:line="60" w:lineRule="exact"/>
      </w:pPr>
      <w:r>
        <w:pict>
          <v:line id="_x0000_s1258" style="position:absolute;z-index:25188249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attempted murder. This charge includes attempted first degree murder, attempted second degree murder, and attempted voluntary manslaughter. Attempt is a substantial step, beyond mere preparation, toward the commission of a crime combined with an intent to commit the crime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ATTEMPTED FIRST DEGREE MURDER</w:t>
      </w:r>
    </w:p>
    <w:p w:rsidR="004729FB" w:rsidRDefault="004729FB" w:rsidP="004729FB">
      <w:pPr>
        <w:spacing w:before="200" w:line="260" w:lineRule="atLeast"/>
        <w:jc w:val="both"/>
      </w:pPr>
      <w:r>
        <w:rPr>
          <w:rFonts w:ascii="Arial" w:eastAsia="Arial" w:hAnsi="Arial" w:cs="Arial"/>
          <w:b/>
          <w:color w:val="000000"/>
          <w:sz w:val="20"/>
        </w:rPr>
        <w:t>Attempted first degree murder is a substantial step, beyond mere preparation, toward the commission of murder in the first degree combined with an intent to commit the crime. In order to convict the defendant of attempted murder in the first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took a substantial step, beyond mere preparation, toward the commission of murder in the first degree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had the apparent ability, at that time, to commit the crime of murder in the first degree; and</w:t>
      </w:r>
    </w:p>
    <w:p w:rsidR="004729FB" w:rsidRDefault="004729FB" w:rsidP="004729FB">
      <w:pPr>
        <w:spacing w:before="200" w:line="260" w:lineRule="atLeast"/>
        <w:ind w:left="400"/>
        <w:jc w:val="both"/>
      </w:pPr>
      <w:r>
        <w:rPr>
          <w:rFonts w:ascii="Arial" w:eastAsia="Arial" w:hAnsi="Arial" w:cs="Arial"/>
          <w:b/>
          <w:color w:val="000000"/>
          <w:sz w:val="20"/>
        </w:rPr>
        <w:t>(3) that the defendant willfully, and with premeditation and deliberation,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Willful means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 Deliberate means that the defendant was conscious of the intent to kill. Premeditated means that the defendant thought about the killing and that there was enough time, though it may only have been brief, for the defendant to consider the decision whether or not to kill and enough time to weigh the reasons for and against the choice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ATTEMPTED SECOND DEGREE MURDER</w:t>
      </w:r>
    </w:p>
    <w:p w:rsidR="004729FB" w:rsidRDefault="004729FB" w:rsidP="004729FB">
      <w:pPr>
        <w:spacing w:before="200" w:line="260" w:lineRule="atLeast"/>
        <w:jc w:val="both"/>
      </w:pPr>
      <w:r>
        <w:rPr>
          <w:rFonts w:ascii="Arial" w:eastAsia="Arial" w:hAnsi="Arial" w:cs="Arial"/>
          <w:b/>
          <w:color w:val="000000"/>
          <w:sz w:val="20"/>
        </w:rPr>
        <w:t>Attempted second degree murder is a substantial step, beyond mere preparation, toward the commission of murder in the second degree combined with an intent to commit the crime. In order to convict the defendant of attempted murder in the second degree,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took a substantial step, beyond mere preparation, toward the commission of murder in the second degree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(2) that the defendant had the apparent ability, at that time, to commit the crime of murder in the second degree; and</w:t>
      </w:r>
    </w:p>
    <w:p w:rsidR="004729FB" w:rsidRDefault="004729FB" w:rsidP="004729FB">
      <w:pPr>
        <w:spacing w:before="200" w:line="260" w:lineRule="atLeast"/>
        <w:ind w:left="400"/>
        <w:jc w:val="both"/>
      </w:pPr>
      <w:r>
        <w:rPr>
          <w:rFonts w:ascii="Arial" w:eastAsia="Arial" w:hAnsi="Arial" w:cs="Arial"/>
          <w:b/>
          <w:color w:val="000000"/>
          <w:sz w:val="20"/>
        </w:rPr>
        <w:t>(3) that the defendant actually intended to kill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ATTEMPTED VOLUNTARY MANSLAUGHTER (IMPERFECT SELF-DEFENSE)</w:t>
      </w:r>
    </w:p>
    <w:p w:rsidR="004729FB" w:rsidRDefault="004729FB" w:rsidP="004729FB">
      <w:pPr>
        <w:spacing w:before="200" w:line="260" w:lineRule="atLeast"/>
        <w:jc w:val="both"/>
      </w:pPr>
      <w:r>
        <w:rPr>
          <w:rFonts w:ascii="Arial" w:eastAsia="Arial" w:hAnsi="Arial" w:cs="Arial"/>
          <w:b/>
          <w:color w:val="000000"/>
          <w:sz w:val="20"/>
        </w:rPr>
        <w:t>Attempted voluntary manslaughter is a substantial step, beyond mere preparation, toward the intentional taking of a life, which would be attempted murder, but is not attempted murder because the defendant acted in partial selfdefense. Partial self-defense does not result in a verdict of not guilty, but rather reduces the level of guilt from attempted murder to attempted manslaughter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You have heard evidence that the defendant attempted to kill (</w:t>
      </w:r>
      <w:r>
        <w:rPr>
          <w:rFonts w:ascii="Arial" w:eastAsia="Arial" w:hAnsi="Arial" w:cs="Arial"/>
          <w:b/>
          <w:color w:val="000000"/>
          <w:sz w:val="20"/>
          <w:u w:val="single"/>
        </w:rPr>
        <w:t>name</w:t>
      </w:r>
      <w:r>
        <w:rPr>
          <w:rFonts w:ascii="Arial" w:eastAsia="Arial" w:hAnsi="Arial" w:cs="Arial"/>
          <w:b/>
          <w:color w:val="000000"/>
          <w:sz w:val="20"/>
        </w:rPr>
        <w:t>) in self-defense. You must decide whether this is a complete defense, a partial defense, or no defense in this case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of attempted murder, the State must prove that the defendant did not act in either complete selfdefense or partial self-defense. If the defendant did act in complete self-defense, the verdict must be not guilty. If the defendant did not act in complete self-defense, but did act in partial selfdefense, the verdict should be guilty of attempted voluntary manslaughter and not guilty of attempted murder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Self-defense is a complete defense, and you are required to find the defendant not guilty, if all of the following four factors are present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[the defendant was not the aggressor] [although the defendant was the initial aggressor, [he] [she] did not raise the fight to the deadly force level]</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the defendant actually believed that [he] [she] was in immediate or imminent danger of death or serious bodily harm</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the defendant's belief was reasonable; and</w:t>
      </w:r>
    </w:p>
    <w:p w:rsidR="004729FB" w:rsidRDefault="004729FB" w:rsidP="004729FB">
      <w:pPr>
        <w:spacing w:before="200" w:line="260" w:lineRule="atLeast"/>
        <w:ind w:left="400"/>
        <w:jc w:val="both"/>
      </w:pPr>
      <w:r>
        <w:rPr>
          <w:rFonts w:ascii="Arial" w:eastAsia="Arial" w:hAnsi="Arial" w:cs="Arial"/>
          <w:b/>
          <w:color w:val="000000"/>
          <w:sz w:val="20"/>
        </w:rPr>
        <w:t>(4) the defendant used no more force than was reasonably necessary to defend [himself] [herself] in light of the threatened or actual force. [[This limit on the defendant's use of deadly force requires the defendant to make a reasonable effort to retreat. The defendant does not have to retreat if [the defendant was in his or her home] [retreat was unsafe] [the avenue of retreat was unknown to the defendant] [the defendant was being robbed] [the defendant was lawfully arresting the victim]]</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of attempted murder, the State must prove that self-defense does not apply in this case. This means that you are required to find the defendant not guilty, unless the State has persuaded you, beyond a reasonable doubt, that at least one of the four factors of complete self-defense was absent. Even if you find that the defendant did not act in complete self-defense, the defendant may still have acted in partial self-defense. [If the defendant actually believed that [he] [she] was in immediate or imminent danger of death or serious bodily harm, even though a reasonable person would not have so believed, the defendant's actual, though unreasonable, belief is a partial self-defense and the verdict should be guilty of attempted voluntary manslaughter rather than attempted murder.] [If the defendant used greater force than a reasonable person would have used, but the defendant actually believed that the force used was necessary, the defendant's actual, though unreasonable, belief is a partial self-defense and the verdict should be guilty of attempted voluntary manslaughter rather than attempted murder.]</w:t>
      </w:r>
    </w:p>
    <w:p w:rsidR="004729FB" w:rsidRDefault="004729FB" w:rsidP="004729FB">
      <w:pPr>
        <w:spacing w:before="200" w:line="260" w:lineRule="atLeast"/>
        <w:jc w:val="both"/>
      </w:pPr>
      <w:r>
        <w:rPr>
          <w:rFonts w:ascii="Arial" w:eastAsia="Arial" w:hAnsi="Arial" w:cs="Arial"/>
          <w:b/>
          <w:color w:val="000000"/>
          <w:sz w:val="20"/>
        </w:rPr>
        <w:t>In order to convict the defendant of attempted murder, the State must prove that the defendant did not act in complete self-defense or partial self-defense. If the defendant did act in complete self-defense, the verdict must be not guilty. If the defendant did not act in complete self-defense, but did act in partial self-</w:t>
      </w:r>
      <w:r>
        <w:rPr>
          <w:rFonts w:ascii="Arial" w:eastAsia="Arial" w:hAnsi="Arial" w:cs="Arial"/>
          <w:b/>
          <w:color w:val="000000"/>
          <w:sz w:val="20"/>
        </w:rPr>
        <w:lastRenderedPageBreak/>
        <w:t>defense, the verdict should be guilty of attempted voluntary manslaughter and not guilty of attempted murder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4:13 (Homicide--Attempted First Degree Murder and Attempted Second Degree Murder (No Justification or Mitigation Generated)); MPJI-Cr 4:17.2 (Homicide--First Degree Premeditated Murder, Second Degree Specific Intent Murder and Voluntary Manslaughter (Imperfect Self-Defense)); MPJI-Cr 4:17.3 (Homicide--First Degree Premeditated Murder, Second Degree Specific Intent Murder and Voluntary Manslaughter (Imperfect Defense of Others)); MPJI-Cr 4:17.4 (Homicide--First Degree Premeditated Murder, Second Degree Specific Intent Murder and Voluntary Manslaughter (Hot Blooded Response to Legally Adequate Provocation)); MPJI-Cr 4:17.5 (Homicide--First Degree Premeditated Murder, Second Degree Specific Intent Murder and Voluntary Manslaughter (Duress)).</w:t>
            </w:r>
          </w:p>
          <w:p w:rsidR="004729FB" w:rsidRDefault="004729FB" w:rsidP="00713DA5">
            <w:pPr>
              <w:spacing w:before="240" w:line="260" w:lineRule="atLeast"/>
              <w:ind w:left="60" w:right="360"/>
              <w:jc w:val="both"/>
            </w:pPr>
            <w:r>
              <w:rPr>
                <w:rFonts w:ascii="Arial" w:eastAsia="Arial" w:hAnsi="Arial" w:cs="Arial"/>
                <w:color w:val="000000"/>
                <w:sz w:val="20"/>
              </w:rPr>
              <w:t xml:space="preserve">This instruction was updated in June 2018 to comply with the specific direction of the Court of Appeals. </w:t>
            </w:r>
            <w:r>
              <w:rPr>
                <w:rFonts w:ascii="Arial" w:eastAsia="Arial" w:hAnsi="Arial" w:cs="Arial"/>
                <w:i/>
                <w:color w:val="000000"/>
                <w:sz w:val="20"/>
              </w:rPr>
              <w:t xml:space="preserve">See </w:t>
            </w:r>
            <w:hyperlink r:id="rId1340" w:history="1">
              <w:r>
                <w:rPr>
                  <w:rFonts w:ascii="Arial" w:eastAsia="Arial" w:hAnsi="Arial" w:cs="Arial"/>
                  <w:i/>
                  <w:color w:val="0077CC"/>
                  <w:sz w:val="20"/>
                  <w:u w:val="single"/>
                </w:rPr>
                <w:t>Porter v. State, 455 Md. 220, 245 n.6, 166 A.3d 1044, 1059 n.6 (2017)</w:t>
              </w:r>
            </w:hyperlink>
            <w:r>
              <w:rPr>
                <w:rFonts w:ascii="Arial" w:eastAsia="Arial" w:hAnsi="Arial" w:cs="Arial"/>
                <w:color w:val="000000"/>
                <w:sz w:val="20"/>
              </w:rPr>
              <w:t xml:space="preserve"> (noting MPJI-Cr should use the phrase "imminent or immediate" instead of "imminent and immediate" in self-defense instructions).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68" style="position:absolute;z-index:25189273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4:02, MPJI-Cr 4:17, MPJI-Cr 4:17.1, MPJI-Cr 4:17.2, MPJICr 4:17.3, MPJI-Cr 4:17.4, MPJI-Cr 4:17.5, MPJI-Cr 4:17.13, MPJI-Cr 5:07.</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78" style="position:absolute;left:0;text-align:left;z-index:25190297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6" name="Picture 8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47" w:history="1">
        <w:r>
          <w:rPr>
            <w:rFonts w:ascii="Arial" w:eastAsia="Arial" w:hAnsi="Arial" w:cs="Arial"/>
            <w:b/>
            <w:bCs/>
            <w:i/>
            <w:color w:val="0077CC"/>
            <w:kern w:val="32"/>
            <w:sz w:val="28"/>
            <w:szCs w:val="32"/>
            <w:u w:val="single"/>
          </w:rPr>
          <w:t>MPJI-Cr 4:17.15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HUMAN TRAFFICKING--PROSTITUTION</w:t>
      </w:r>
    </w:p>
    <w:p w:rsidR="004729FB" w:rsidRDefault="004729FB" w:rsidP="004729FB">
      <w:pPr>
        <w:keepNext/>
        <w:spacing w:before="240" w:line="340" w:lineRule="atLeast"/>
      </w:pPr>
      <w:r>
        <w:br/>
      </w:r>
      <w:r>
        <w:rPr>
          <w:rFonts w:ascii="Arial" w:eastAsia="Arial" w:hAnsi="Arial" w:cs="Arial"/>
          <w:b/>
          <w:color w:val="000000"/>
          <w:sz w:val="28"/>
        </w:rPr>
        <w:t>4:17.15Human Trafficking--Prostitution</w:t>
      </w:r>
    </w:p>
    <w:p w:rsidR="004729FB" w:rsidRDefault="004729FB" w:rsidP="004729FB">
      <w:pPr>
        <w:spacing w:line="60" w:lineRule="exact"/>
      </w:pPr>
      <w:r>
        <w:pict>
          <v:line id="_x0000_s1259" style="position:absolute;z-index:25188352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PROSTITUTION--TAKING OR PLACING</w:t>
      </w:r>
    </w:p>
    <w:p w:rsidR="004729FB" w:rsidRDefault="004729FB" w:rsidP="004729FB">
      <w:pPr>
        <w:spacing w:before="200" w:line="260" w:lineRule="atLeast"/>
        <w:jc w:val="both"/>
      </w:pPr>
      <w:r>
        <w:rPr>
          <w:rFonts w:ascii="Arial" w:eastAsia="Arial" w:hAnsi="Arial" w:cs="Arial"/>
          <w:b/>
          <w:color w:val="000000"/>
          <w:sz w:val="20"/>
        </w:rPr>
        <w:t>(§ 11-303(a)(1)(i)-(ii))</w:t>
      </w:r>
    </w:p>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In order to convict the defendant of the crime of human trafficking,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[took (</w:t>
      </w:r>
      <w:r>
        <w:rPr>
          <w:rFonts w:ascii="Arial" w:eastAsia="Arial" w:hAnsi="Arial" w:cs="Arial"/>
          <w:b/>
          <w:color w:val="000000"/>
          <w:sz w:val="20"/>
          <w:u w:val="single"/>
        </w:rPr>
        <w:t>name</w:t>
      </w:r>
      <w:r>
        <w:rPr>
          <w:rFonts w:ascii="Arial" w:eastAsia="Arial" w:hAnsi="Arial" w:cs="Arial"/>
          <w:b/>
          <w:color w:val="000000"/>
          <w:sz w:val="20"/>
        </w:rPr>
        <w:t>) to] [caused (</w:t>
      </w:r>
      <w:r>
        <w:rPr>
          <w:rFonts w:ascii="Arial" w:eastAsia="Arial" w:hAnsi="Arial" w:cs="Arial"/>
          <w:b/>
          <w:color w:val="000000"/>
          <w:sz w:val="20"/>
          <w:u w:val="single"/>
        </w:rPr>
        <w:t>name</w:t>
      </w:r>
      <w:r>
        <w:rPr>
          <w:rFonts w:ascii="Arial" w:eastAsia="Arial" w:hAnsi="Arial" w:cs="Arial"/>
          <w:b/>
          <w:color w:val="000000"/>
          <w:sz w:val="20"/>
        </w:rPr>
        <w:t>) to be taken to] [placed (</w:t>
      </w:r>
      <w:r>
        <w:rPr>
          <w:rFonts w:ascii="Arial" w:eastAsia="Arial" w:hAnsi="Arial" w:cs="Arial"/>
          <w:b/>
          <w:color w:val="000000"/>
          <w:sz w:val="20"/>
          <w:u w:val="single"/>
        </w:rPr>
        <w:t>name</w:t>
      </w:r>
      <w:r>
        <w:rPr>
          <w:rFonts w:ascii="Arial" w:eastAsia="Arial" w:hAnsi="Arial" w:cs="Arial"/>
          <w:b/>
          <w:color w:val="000000"/>
          <w:sz w:val="20"/>
        </w:rPr>
        <w:t>) in] [caused (</w:t>
      </w:r>
      <w:r>
        <w:rPr>
          <w:rFonts w:ascii="Arial" w:eastAsia="Arial" w:hAnsi="Arial" w:cs="Arial"/>
          <w:b/>
          <w:color w:val="000000"/>
          <w:sz w:val="20"/>
          <w:u w:val="single"/>
        </w:rPr>
        <w:t>name</w:t>
      </w:r>
      <w:r>
        <w:rPr>
          <w:rFonts w:ascii="Arial" w:eastAsia="Arial" w:hAnsi="Arial" w:cs="Arial"/>
          <w:b/>
          <w:color w:val="000000"/>
          <w:sz w:val="20"/>
        </w:rPr>
        <w:t>) to be placed in] a place; and</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[taken to] [placed in] that place for prostitution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"Prostitution" means a sexual act, sexual contact, or vaginal intercourse for hire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PROSTITUTION--PERSUADING, INCLUDING, ENTICING OR ENCOURAGING (§ 11-303(a)(1)(iii))</w:t>
      </w:r>
    </w:p>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In order to convict the defendant of the crime of human trafficking,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[persuaded (</w:t>
      </w:r>
      <w:r>
        <w:rPr>
          <w:rFonts w:ascii="Arial" w:eastAsia="Arial" w:hAnsi="Arial" w:cs="Arial"/>
          <w:b/>
          <w:color w:val="000000"/>
          <w:sz w:val="20"/>
          <w:u w:val="single"/>
        </w:rPr>
        <w:t>name</w:t>
      </w:r>
      <w:r>
        <w:rPr>
          <w:rFonts w:ascii="Arial" w:eastAsia="Arial" w:hAnsi="Arial" w:cs="Arial"/>
          <w:b/>
          <w:color w:val="000000"/>
          <w:sz w:val="20"/>
        </w:rPr>
        <w:t>)] [induced (</w:t>
      </w:r>
      <w:r>
        <w:rPr>
          <w:rFonts w:ascii="Arial" w:eastAsia="Arial" w:hAnsi="Arial" w:cs="Arial"/>
          <w:b/>
          <w:color w:val="000000"/>
          <w:sz w:val="20"/>
          <w:u w:val="single"/>
        </w:rPr>
        <w:t>name</w:t>
      </w:r>
      <w:r>
        <w:rPr>
          <w:rFonts w:ascii="Arial" w:eastAsia="Arial" w:hAnsi="Arial" w:cs="Arial"/>
          <w:b/>
          <w:color w:val="000000"/>
          <w:sz w:val="20"/>
        </w:rPr>
        <w:t>)] [enticed (</w:t>
      </w:r>
      <w:r>
        <w:rPr>
          <w:rFonts w:ascii="Arial" w:eastAsia="Arial" w:hAnsi="Arial" w:cs="Arial"/>
          <w:b/>
          <w:color w:val="000000"/>
          <w:sz w:val="20"/>
          <w:u w:val="single"/>
        </w:rPr>
        <w:t>name</w:t>
      </w:r>
      <w:r>
        <w:rPr>
          <w:rFonts w:ascii="Arial" w:eastAsia="Arial" w:hAnsi="Arial" w:cs="Arial"/>
          <w:b/>
          <w:color w:val="000000"/>
          <w:sz w:val="20"/>
        </w:rPr>
        <w:t>)] [encouraged (</w:t>
      </w:r>
      <w:r>
        <w:rPr>
          <w:rFonts w:ascii="Arial" w:eastAsia="Arial" w:hAnsi="Arial" w:cs="Arial"/>
          <w:b/>
          <w:color w:val="000000"/>
          <w:sz w:val="20"/>
          <w:u w:val="single"/>
        </w:rPr>
        <w:t>name</w:t>
      </w:r>
      <w:r>
        <w:rPr>
          <w:rFonts w:ascii="Arial" w:eastAsia="Arial" w:hAnsi="Arial" w:cs="Arial"/>
          <w:b/>
          <w:color w:val="000000"/>
          <w:sz w:val="20"/>
        </w:rPr>
        <w:t>)] to be taken to or placed in any place; and</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[persuaded] [induced] [enticed] [encouraged] to go to that place for prostitution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"Prostitution" means a sexual act, sexual contact, or vaginal intercourse for hire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CRIMINAL LAW II § 11-306(a)(1) makes it a crime to knowingly engage in prostitution. Section 11-303 prohibits human trafficking for purposes of prostitution. Section 11-306(c) gives a victim of trafficking an affirmative defense of duress if the trafficker is "charged with violating the prohibition against human trafficking under § 11-303… or under federal law."</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Section 11-301(c) defines "prostitution" as "the performance of a sexual act, sexual contact, or vaginal intercourse for hire." The Maryland Court of Appeals has observed that "[t]he Maryland Code does not define the phrase 'for hire,' as used in CL Section 11-301(c), nor do our precedents elaborate on the term." </w:t>
            </w:r>
            <w:hyperlink r:id="rId1348" w:history="1">
              <w:r>
                <w:rPr>
                  <w:rFonts w:ascii="Arial" w:eastAsia="Arial" w:hAnsi="Arial" w:cs="Arial"/>
                  <w:i/>
                  <w:color w:val="0077CC"/>
                  <w:sz w:val="20"/>
                  <w:u w:val="single"/>
                </w:rPr>
                <w:t>Att'y Grievance Comm'n of Md. v. Marcalus, 414 Md. 501, 518-19, 996 A.2d 350, 360 (2010).</w:t>
              </w:r>
            </w:hyperlink>
            <w:r>
              <w:rPr>
                <w:rFonts w:ascii="Arial" w:eastAsia="Arial" w:hAnsi="Arial" w:cs="Arial"/>
                <w:color w:val="000000"/>
                <w:sz w:val="20"/>
              </w:rPr>
              <w:t xml:space="preserve"> In </w:t>
            </w:r>
            <w:r>
              <w:rPr>
                <w:rFonts w:ascii="Arial" w:eastAsia="Arial" w:hAnsi="Arial" w:cs="Arial"/>
                <w:i/>
                <w:color w:val="000000"/>
                <w:sz w:val="20"/>
              </w:rPr>
              <w:t>Marcalus</w:t>
            </w:r>
            <w:r>
              <w:rPr>
                <w:rFonts w:ascii="Arial" w:eastAsia="Arial" w:hAnsi="Arial" w:cs="Arial"/>
                <w:color w:val="000000"/>
                <w:sz w:val="20"/>
              </w:rPr>
              <w:t xml:space="preserve">, the Court held that the "exchange … [of] an item of value as a quid pro quo for [a] sexual act satisfied the "for hire" test. The Court said: "An exchange need not be for money in order be 'for hire.'" </w:t>
            </w:r>
            <w:hyperlink r:id="rId1349" w:history="1">
              <w:r>
                <w:rPr>
                  <w:rFonts w:ascii="Arial" w:eastAsia="Arial" w:hAnsi="Arial" w:cs="Arial"/>
                  <w:i/>
                  <w:color w:val="0077CC"/>
                  <w:sz w:val="20"/>
                  <w:u w:val="single"/>
                </w:rPr>
                <w:t>Id. at 519, 996 A.2d at 360</w:t>
              </w:r>
            </w:hyperlink>
            <w:r>
              <w:rPr>
                <w:rFonts w:ascii="Arial" w:eastAsia="Arial" w:hAnsi="Arial" w:cs="Arial"/>
                <w:color w:val="000000"/>
                <w:sz w:val="20"/>
              </w:rPr>
              <w:t xml:space="preserve"> (citing </w:t>
            </w:r>
            <w:hyperlink r:id="rId1350" w:history="1">
              <w:r>
                <w:rPr>
                  <w:rFonts w:ascii="Arial" w:eastAsia="Arial" w:hAnsi="Arial" w:cs="Arial"/>
                  <w:i/>
                  <w:color w:val="0077CC"/>
                  <w:sz w:val="20"/>
                  <w:u w:val="single"/>
                </w:rPr>
                <w:t>Muse v. United States, 522 A.2d 888, 891 (D.C. 1987)</w:t>
              </w:r>
            </w:hyperlink>
            <w:r>
              <w:rPr>
                <w:rFonts w:ascii="Arial" w:eastAsia="Arial" w:hAnsi="Arial" w:cs="Arial"/>
                <w:color w:val="000000"/>
                <w:sz w:val="20"/>
              </w:rPr>
              <w:t xml:space="preserve"> (the exchange of a gold necklace for a sexual act constituted prostitution under District of Columbia law)). Marcalus exchanged a controlled dangerous substance, one Vicodin tablet, for oral sex, satisfying the "for hire" test.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69" style="position:absolute;z-index:25189376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4:17.16, MPJI-Cr 4:17.17, MPJI-Cr 4:17.18, MPJI-Cr 4:17.19.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79" style="position:absolute;left:0;text-align:left;z-index:2519040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51"/>
          <w:headerReference w:type="default" r:id="rId1352"/>
          <w:footerReference w:type="even" r:id="rId1353"/>
          <w:footerReference w:type="default" r:id="rId1354"/>
          <w:headerReference w:type="first" r:id="rId1355"/>
          <w:footerReference w:type="first" r:id="rId135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5" name="Picture 8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57" w:history="1">
        <w:r>
          <w:rPr>
            <w:rFonts w:ascii="Arial" w:eastAsia="Arial" w:hAnsi="Arial" w:cs="Arial"/>
            <w:b/>
            <w:bCs/>
            <w:i/>
            <w:color w:val="0077CC"/>
            <w:kern w:val="32"/>
            <w:sz w:val="28"/>
            <w:szCs w:val="32"/>
            <w:u w:val="single"/>
          </w:rPr>
          <w:t>MPJI-Cr 4:17.16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HUMAN TRAFFICKING--SEXUALLY EXPLICIT PERFORMANCE § 11-303(a)(1)(v))</w:t>
      </w:r>
    </w:p>
    <w:p w:rsidR="004729FB" w:rsidRDefault="004729FB" w:rsidP="004729FB">
      <w:pPr>
        <w:keepNext/>
        <w:spacing w:before="240" w:line="340" w:lineRule="atLeast"/>
      </w:pPr>
      <w:r>
        <w:br/>
      </w:r>
      <w:r>
        <w:rPr>
          <w:rFonts w:ascii="Arial" w:eastAsia="Arial" w:hAnsi="Arial" w:cs="Arial"/>
          <w:b/>
          <w:color w:val="000000"/>
          <w:sz w:val="28"/>
        </w:rPr>
        <w:t>4:17.16Human Trafficking--Sexually Explicit Performance § 11-303(a)(1)(v))</w:t>
      </w:r>
    </w:p>
    <w:p w:rsidR="004729FB" w:rsidRDefault="004729FB" w:rsidP="004729FB">
      <w:pPr>
        <w:spacing w:line="60" w:lineRule="exact"/>
      </w:pPr>
      <w:r>
        <w:pict>
          <v:line id="_x0000_s1260" style="position:absolute;z-index:25188454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Human trafficking includes causing a person to engage in a sexually explicit performance.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a scheme or course of conduct, intending to cause (</w:t>
      </w:r>
      <w:r>
        <w:rPr>
          <w:rFonts w:ascii="Arial" w:eastAsia="Arial" w:hAnsi="Arial" w:cs="Arial"/>
          <w:b/>
          <w:color w:val="000000"/>
          <w:sz w:val="20"/>
          <w:u w:val="single"/>
        </w:rPr>
        <w:t>name</w:t>
      </w:r>
      <w:r>
        <w:rPr>
          <w:rFonts w:ascii="Arial" w:eastAsia="Arial" w:hAnsi="Arial" w:cs="Arial"/>
          <w:b/>
          <w:color w:val="000000"/>
          <w:sz w:val="20"/>
        </w:rPr>
        <w:t>) to take part in a sexually explicit performance; and</w:t>
      </w:r>
    </w:p>
    <w:p w:rsidR="004729FB" w:rsidRDefault="004729FB" w:rsidP="004729FB">
      <w:pPr>
        <w:spacing w:before="200" w:line="260" w:lineRule="atLeast"/>
        <w:ind w:left="400"/>
        <w:jc w:val="both"/>
      </w:pPr>
      <w:r>
        <w:rPr>
          <w:rFonts w:ascii="Arial" w:eastAsia="Arial" w:hAnsi="Arial" w:cs="Arial"/>
          <w:b/>
          <w:color w:val="000000"/>
          <w:sz w:val="20"/>
        </w:rPr>
        <w:t>(2) that the defendant intended to cause (</w:t>
      </w:r>
      <w:r>
        <w:rPr>
          <w:rFonts w:ascii="Arial" w:eastAsia="Arial" w:hAnsi="Arial" w:cs="Arial"/>
          <w:b/>
          <w:color w:val="000000"/>
          <w:sz w:val="20"/>
          <w:u w:val="single"/>
        </w:rPr>
        <w:t>name</w:t>
      </w:r>
      <w:r>
        <w:rPr>
          <w:rFonts w:ascii="Arial" w:eastAsia="Arial" w:hAnsi="Arial" w:cs="Arial"/>
          <w:b/>
          <w:color w:val="000000"/>
          <w:sz w:val="20"/>
        </w:rPr>
        <w:t>) to believe that if (</w:t>
      </w:r>
      <w:r>
        <w:rPr>
          <w:rFonts w:ascii="Arial" w:eastAsia="Arial" w:hAnsi="Arial" w:cs="Arial"/>
          <w:b/>
          <w:color w:val="000000"/>
          <w:sz w:val="20"/>
          <w:u w:val="single"/>
        </w:rPr>
        <w:t>name</w:t>
      </w:r>
      <w:r>
        <w:rPr>
          <w:rFonts w:ascii="Arial" w:eastAsia="Arial" w:hAnsi="Arial" w:cs="Arial"/>
          <w:b/>
          <w:color w:val="000000"/>
          <w:sz w:val="20"/>
        </w:rPr>
        <w:t>) did not take part in a sexually explicit performance [(</w:t>
      </w:r>
      <w:r>
        <w:rPr>
          <w:rFonts w:ascii="Arial" w:eastAsia="Arial" w:hAnsi="Arial" w:cs="Arial"/>
          <w:b/>
          <w:color w:val="000000"/>
          <w:sz w:val="20"/>
          <w:u w:val="single"/>
        </w:rPr>
        <w:t>name</w:t>
      </w:r>
      <w:r>
        <w:rPr>
          <w:rFonts w:ascii="Arial" w:eastAsia="Arial" w:hAnsi="Arial" w:cs="Arial"/>
          <w:b/>
          <w:color w:val="000000"/>
          <w:sz w:val="20"/>
        </w:rPr>
        <w:t>)] [a third person], would suffer [physical restraint] [serious physical harm]</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"Sexually explicit performance" means a public or private, live, photographed, recorded, or videotaped act or show in which the performer is nude or partly nude, and which is intended to sexually arouse patrons or viewers</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4:17.15 (Human Trafficking--Prostitution).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0" style="position:absolute;z-index:25189478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4:17.15, MPJI-Cr 4:17.17, MPJI-Cr 4:17.18, MPJI-Cr 4:17.19.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0" style="position:absolute;left:0;text-align:left;z-index:2519050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4" name="Picture 8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64" w:history="1">
        <w:r>
          <w:rPr>
            <w:rFonts w:ascii="Arial" w:eastAsia="Arial" w:hAnsi="Arial" w:cs="Arial"/>
            <w:b/>
            <w:bCs/>
            <w:i/>
            <w:color w:val="0077CC"/>
            <w:kern w:val="32"/>
            <w:sz w:val="28"/>
            <w:szCs w:val="32"/>
            <w:u w:val="single"/>
          </w:rPr>
          <w:t>MPJI-Cr 4:17.17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HUMAN TRAFFICKING--DOCUMENT CONCEALMENT OR DESTRUCTION (§ 11-303(a)(1)(vi))</w:t>
      </w:r>
    </w:p>
    <w:p w:rsidR="004729FB" w:rsidRDefault="004729FB" w:rsidP="004729FB">
      <w:pPr>
        <w:keepNext/>
        <w:spacing w:before="240" w:line="340" w:lineRule="atLeast"/>
      </w:pPr>
      <w:r>
        <w:br/>
      </w:r>
      <w:r>
        <w:rPr>
          <w:rFonts w:ascii="Arial" w:eastAsia="Arial" w:hAnsi="Arial" w:cs="Arial"/>
          <w:b/>
          <w:color w:val="000000"/>
          <w:sz w:val="28"/>
        </w:rPr>
        <w:t>4:17.17Human Trafficking--Document Concealment or Destruction (§ 11-303(A)(1)(vi))</w:t>
      </w:r>
    </w:p>
    <w:p w:rsidR="004729FB" w:rsidRDefault="004729FB" w:rsidP="004729FB">
      <w:pPr>
        <w:spacing w:line="60" w:lineRule="exact"/>
      </w:pPr>
      <w:r>
        <w:pict>
          <v:line id="_x0000_s1261" style="position:absolute;z-index:2518855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Human trafficking includes [destroying documents] [concealing documents] [removing documents] [taking documents] [taking possession of documents].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committed or attempted to commit a form of human trafficking; and</w:t>
      </w:r>
    </w:p>
    <w:p w:rsidR="004729FB" w:rsidRDefault="004729FB" w:rsidP="004729FB">
      <w:pPr>
        <w:spacing w:before="200" w:line="260" w:lineRule="atLeast"/>
        <w:ind w:left="400"/>
        <w:jc w:val="both"/>
      </w:pPr>
      <w:r>
        <w:rPr>
          <w:rFonts w:ascii="Arial" w:eastAsia="Arial" w:hAnsi="Arial" w:cs="Arial"/>
          <w:b/>
          <w:color w:val="000000"/>
          <w:sz w:val="20"/>
        </w:rPr>
        <w:t>(2) that during the attempt or commission of that human trafficking, the defendant knowingly [destroyed] [concealed] [removed] [took] [possessed] an actual or purported [passport] [immigration document] [government identification document] of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4:17.15 (Human Trafficking--Prostitution).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1" style="position:absolute;z-index:25189580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4:17.15, MPJI-Cr 4:17.16, MPJI-Cr 4:17.18, MPJI-Cr 4:17.19.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1" style="position:absolute;left:0;text-align:left;z-index:25190604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3" name="Picture 8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71" w:history="1">
        <w:r>
          <w:rPr>
            <w:rFonts w:ascii="Arial" w:eastAsia="Arial" w:hAnsi="Arial" w:cs="Arial"/>
            <w:b/>
            <w:bCs/>
            <w:i/>
            <w:color w:val="0077CC"/>
            <w:kern w:val="32"/>
            <w:sz w:val="28"/>
            <w:szCs w:val="32"/>
            <w:u w:val="single"/>
          </w:rPr>
          <w:t>MPJI-Cr 4:17.18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HUMAN TRAFFICKING--PARENT/PERSON WITH CARE AND RESPONSIBILITY OF ANOTHER (§ 11-303(a)(2))</w:t>
      </w:r>
    </w:p>
    <w:p w:rsidR="004729FB" w:rsidRDefault="004729FB" w:rsidP="004729FB">
      <w:pPr>
        <w:keepNext/>
        <w:spacing w:before="240" w:line="340" w:lineRule="atLeast"/>
      </w:pPr>
      <w:r>
        <w:br/>
      </w:r>
      <w:r>
        <w:rPr>
          <w:rFonts w:ascii="Arial" w:eastAsia="Arial" w:hAnsi="Arial" w:cs="Arial"/>
          <w:b/>
          <w:color w:val="000000"/>
          <w:sz w:val="28"/>
        </w:rPr>
        <w:t>4:17.18Human Trafficking--Parent/Person With Care and Responsibility of Another (§ 11-303(a)(2))</w:t>
      </w:r>
    </w:p>
    <w:p w:rsidR="004729FB" w:rsidRDefault="004729FB" w:rsidP="004729FB">
      <w:pPr>
        <w:spacing w:line="60" w:lineRule="exact"/>
      </w:pPr>
      <w:r>
        <w:pict>
          <v:line id="_x0000_s1262" style="position:absolute;z-index:25188659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Human trafficking includes a parent or guardian consenting to a person in their care being taken or detained for prostitution.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the defendant is a [parent of] [guardian of] [person who has permanent or temporary care of] [person who has responsibility for supervision of]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the defendant consented to the [taking] [detention] of (</w:t>
      </w:r>
      <w:r>
        <w:rPr>
          <w:rFonts w:ascii="Arial" w:eastAsia="Arial" w:hAnsi="Arial" w:cs="Arial"/>
          <w:b/>
          <w:color w:val="000000"/>
          <w:sz w:val="20"/>
          <w:u w:val="single"/>
        </w:rPr>
        <w:t>name</w:t>
      </w:r>
      <w:r>
        <w:rPr>
          <w:rFonts w:ascii="Arial" w:eastAsia="Arial" w:hAnsi="Arial" w:cs="Arial"/>
          <w:b/>
          <w:color w:val="000000"/>
          <w:sz w:val="20"/>
        </w:rPr>
        <w:t>) for prostitution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"Prostitution" means the performance of a sexual act, sexual contact, or vaginal intercourse for hire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4:17.15 (Human Trafficking--Prostitution).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2" style="position:absolute;z-index:25189683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4:17.15, MPJI-Cr 4:17.16, MPJI-Cr 4:17.17, MPJI-Cr 4:17.19.</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2" style="position:absolute;left:0;text-align:left;z-index:25190707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2" name="Picture 8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78" w:history="1">
        <w:r>
          <w:rPr>
            <w:rFonts w:ascii="Arial" w:eastAsia="Arial" w:hAnsi="Arial" w:cs="Arial"/>
            <w:b/>
            <w:bCs/>
            <w:i/>
            <w:color w:val="0077CC"/>
            <w:kern w:val="32"/>
            <w:sz w:val="28"/>
            <w:szCs w:val="32"/>
            <w:u w:val="single"/>
          </w:rPr>
          <w:t>MPJI-Cr 4:17.19</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HUMAN TRAFFICKING--MINOR (§ 11-303(b)(1))</w:t>
      </w:r>
    </w:p>
    <w:p w:rsidR="004729FB" w:rsidRDefault="004729FB" w:rsidP="004729FB">
      <w:pPr>
        <w:keepNext/>
        <w:spacing w:before="240" w:line="340" w:lineRule="atLeast"/>
      </w:pPr>
      <w:r>
        <w:br/>
      </w:r>
      <w:r>
        <w:rPr>
          <w:rFonts w:ascii="Arial" w:eastAsia="Arial" w:hAnsi="Arial" w:cs="Arial"/>
          <w:b/>
          <w:color w:val="000000"/>
          <w:sz w:val="28"/>
        </w:rPr>
        <w:t>4:17.19Human Trafficking--Minor (§ 11-303(b)(1))</w:t>
      </w:r>
    </w:p>
    <w:p w:rsidR="004729FB" w:rsidRDefault="004729FB" w:rsidP="004729FB">
      <w:pPr>
        <w:spacing w:line="60" w:lineRule="exact"/>
      </w:pPr>
      <w:r>
        <w:pict>
          <v:line id="_x0000_s1263" style="position:absolute;z-index:25188761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human trafficking involving a minor.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[human trafficking for prostitution] [human trafficking for a sexually explicit performance] [the concealment or destruction of documents during human trafficking] [human trafficking by a parent or person who has care of or responsibility for another]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committed the crime of [human trafficking for prostitution] [human trafficking for a sexually explicit performance] [the concealment or destruction of documents during human trafficking] [human trafficking by a parent or person who has care of or responsibility for another]; and</w:t>
      </w:r>
    </w:p>
    <w:p w:rsidR="004729FB" w:rsidRDefault="004729FB" w:rsidP="004729FB">
      <w:pPr>
        <w:spacing w:before="200" w:line="260" w:lineRule="atLeast"/>
        <w:ind w:left="400"/>
        <w:jc w:val="both"/>
      </w:pPr>
      <w:r>
        <w:rPr>
          <w:rFonts w:ascii="Arial" w:eastAsia="Arial" w:hAnsi="Arial" w:cs="Arial"/>
          <w:b/>
          <w:color w:val="000000"/>
          <w:sz w:val="20"/>
        </w:rPr>
        <w:t>(3) that (</w:t>
      </w:r>
      <w:r>
        <w:rPr>
          <w:rFonts w:ascii="Arial" w:eastAsia="Arial" w:hAnsi="Arial" w:cs="Arial"/>
          <w:b/>
          <w:color w:val="000000"/>
          <w:sz w:val="20"/>
          <w:u w:val="single"/>
        </w:rPr>
        <w:t>name</w:t>
      </w:r>
      <w:r>
        <w:rPr>
          <w:rFonts w:ascii="Arial" w:eastAsia="Arial" w:hAnsi="Arial" w:cs="Arial"/>
          <w:b/>
          <w:color w:val="000000"/>
          <w:sz w:val="20"/>
        </w:rPr>
        <w:t>) was a minor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4:17.15 (Human Trafficking--Prostitution).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3" style="position:absolute;z-index:25189785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4:17.15, MPJI-Cr 4:17.16, MPJI-Cr 4:17.17, MPJI-Cr 4:17.18.</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3" style="position:absolute;left:0;text-align:left;z-index:25190809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1" name="Picture 8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85" w:history="1">
        <w:r>
          <w:rPr>
            <w:rFonts w:ascii="Arial" w:eastAsia="Arial" w:hAnsi="Arial" w:cs="Arial"/>
            <w:b/>
            <w:bCs/>
            <w:i/>
            <w:color w:val="0077CC"/>
            <w:kern w:val="32"/>
            <w:sz w:val="28"/>
            <w:szCs w:val="32"/>
            <w:u w:val="single"/>
          </w:rPr>
          <w:t>MPJI-Cr 4:18.2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(MALICIOUS USE OF INTERACTIVE COMPUTER DEVICE DISCLOSING PERSONAL IDENTIFICATION NUMBER)</w:t>
      </w:r>
    </w:p>
    <w:p w:rsidR="004729FB" w:rsidRDefault="004729FB" w:rsidP="004729FB">
      <w:pPr>
        <w:keepNext/>
        <w:spacing w:before="240" w:line="340" w:lineRule="atLeast"/>
      </w:pPr>
      <w:r>
        <w:br/>
      </w:r>
      <w:r>
        <w:rPr>
          <w:rFonts w:ascii="Arial" w:eastAsia="Arial" w:hAnsi="Arial" w:cs="Arial"/>
          <w:b/>
          <w:color w:val="000000"/>
          <w:sz w:val="28"/>
        </w:rPr>
        <w:t>4:18.2Identity Fraud (Malicious Use of Interactive Computer Device Disclosing Personal Identification Number)</w:t>
      </w:r>
    </w:p>
    <w:p w:rsidR="004729FB" w:rsidRDefault="004729FB" w:rsidP="004729FB">
      <w:pPr>
        <w:spacing w:line="60" w:lineRule="exact"/>
      </w:pPr>
      <w:r>
        <w:pict>
          <v:line id="_x0000_s1264" style="position:absolute;z-index:2518886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used an interactive computer service to disclose, or assist another person to disclose, the [driver's license number] [bank or other financial institution account number] [credit card number] [payment device number] [Social Security number] [employee identification number] of (</w:t>
      </w:r>
      <w:r>
        <w:rPr>
          <w:rFonts w:ascii="Arial" w:eastAsia="Arial" w:hAnsi="Arial" w:cs="Arial"/>
          <w:b/>
          <w:color w:val="000000"/>
          <w:sz w:val="20"/>
          <w:u w:val="single"/>
        </w:rPr>
        <w:t>insert name of individual</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without the consent of (</w:t>
      </w:r>
      <w:r>
        <w:rPr>
          <w:rFonts w:ascii="Arial" w:eastAsia="Arial" w:hAnsi="Arial" w:cs="Arial"/>
          <w:b/>
          <w:color w:val="000000"/>
          <w:sz w:val="20"/>
          <w:u w:val="single"/>
        </w:rPr>
        <w:t>insert name of individual</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maliciously, that is with the intent to annoy, threaten, embarrass, or harass (</w:t>
      </w:r>
      <w:r>
        <w:rPr>
          <w:rFonts w:ascii="Arial" w:eastAsia="Arial" w:hAnsi="Arial" w:cs="Arial"/>
          <w:b/>
          <w:color w:val="000000"/>
          <w:sz w:val="20"/>
          <w:u w:val="single"/>
        </w:rPr>
        <w:t>insert name of individual</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"Interactive computer service" means an information service, system, or access software provider that provides or enables computer access by multiple users to a computer server, including a system that provides access to the Internet and cellular phones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["Payment device number" means a code, account number, or other means of account access, other than a check, draft, or similar paper instrument, that can be used to obtain money, goods, services, or anything of value, or for the purposes of initiating a transfer of funds.]</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4" style="position:absolute;z-index:25189888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4:18.1, MPJI-Cr 4:18.3, MPJI-Cr 4:18.4, MPJI-Cr 4:18.5, MPJI-Cr 4:18.6.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lastRenderedPageBreak/>
        <w:br/>
      </w:r>
      <w:r>
        <w:pict>
          <v:line id="_x0000_s1284" style="position:absolute;left:0;text-align:left;z-index:25190912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0" name="Picture 8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392" w:history="1">
        <w:r>
          <w:rPr>
            <w:rFonts w:ascii="Arial" w:eastAsia="Arial" w:hAnsi="Arial" w:cs="Arial"/>
            <w:b/>
            <w:bCs/>
            <w:i/>
            <w:color w:val="0077CC"/>
            <w:kern w:val="32"/>
            <w:sz w:val="28"/>
            <w:szCs w:val="32"/>
            <w:u w:val="single"/>
          </w:rPr>
          <w:t>MPJI-Cr 4:18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INCEST</w:t>
      </w:r>
    </w:p>
    <w:p w:rsidR="004729FB" w:rsidRDefault="004729FB" w:rsidP="004729FB">
      <w:pPr>
        <w:keepNext/>
        <w:spacing w:before="240" w:line="340" w:lineRule="atLeast"/>
      </w:pPr>
      <w:r>
        <w:br/>
      </w:r>
      <w:r>
        <w:rPr>
          <w:rFonts w:ascii="Arial" w:eastAsia="Arial" w:hAnsi="Arial" w:cs="Arial"/>
          <w:b/>
          <w:color w:val="000000"/>
          <w:sz w:val="28"/>
        </w:rPr>
        <w:t>4:18Incest</w:t>
      </w:r>
    </w:p>
    <w:p w:rsidR="004729FB" w:rsidRDefault="004729FB" w:rsidP="004729FB">
      <w:pPr>
        <w:spacing w:line="60" w:lineRule="exact"/>
      </w:pPr>
      <w:r>
        <w:pict>
          <v:line id="_x0000_s1265" style="position:absolute;z-index:2518896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incest. In order to convict the defendant of incest,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had vaginal intercourse with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is the defendant's (relationship); and</w:t>
      </w:r>
    </w:p>
    <w:p w:rsidR="004729FB" w:rsidRDefault="004729FB" w:rsidP="004729FB">
      <w:pPr>
        <w:spacing w:before="200" w:line="260" w:lineRule="atLeast"/>
        <w:ind w:left="400"/>
        <w:jc w:val="both"/>
      </w:pPr>
      <w:r>
        <w:rPr>
          <w:rFonts w:ascii="Arial" w:eastAsia="Arial" w:hAnsi="Arial" w:cs="Arial"/>
          <w:b/>
          <w:color w:val="000000"/>
          <w:sz w:val="20"/>
        </w:rPr>
        <w:t>(3) that, at that time of the act</w:t>
      </w:r>
      <w:r>
        <w:rPr>
          <w:rFonts w:ascii="Arial" w:eastAsia="Arial" w:hAnsi="Arial" w:cs="Arial"/>
          <w:color w:val="000000"/>
          <w:sz w:val="20"/>
        </w:rPr>
        <w:t xml:space="preserve">, </w:t>
      </w:r>
      <w:r>
        <w:rPr>
          <w:rFonts w:ascii="Arial" w:eastAsia="Arial" w:hAnsi="Arial" w:cs="Arial"/>
          <w:b/>
          <w:color w:val="000000"/>
          <w:sz w:val="20"/>
        </w:rPr>
        <w:t>the defendant knew that (</w:t>
      </w:r>
      <w:r>
        <w:rPr>
          <w:rFonts w:ascii="Arial" w:eastAsia="Arial" w:hAnsi="Arial" w:cs="Arial"/>
          <w:b/>
          <w:color w:val="000000"/>
          <w:sz w:val="20"/>
          <w:u w:val="single"/>
        </w:rPr>
        <w:t>name</w:t>
      </w:r>
      <w:r>
        <w:rPr>
          <w:rFonts w:ascii="Arial" w:eastAsia="Arial" w:hAnsi="Arial" w:cs="Arial"/>
          <w:b/>
          <w:color w:val="000000"/>
          <w:sz w:val="20"/>
        </w:rPr>
        <w:t>) was [his] [her] (relationship)</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Vaginal intercourse means the penetration of the penis into the vagina. The slightest penetration is sufficient and emission of semen is not required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Incest was an ecclesiastical offense and not a crime at common law. 2 FRANCIS WHARTON, CRIMINAL LAW § 242, at 399 (14th ed. 1981).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11.05, at 769-72 (7th ed. 1967); RICHARD P. GILBERT &amp; CHARLES E. MOYLAN, JR., MARYLAND CRIMINAL LAW: PRACTICE &amp; PROCEDURE § 6.13, at 90-91 (1983); ROLLIN M. PERKINS &amp; RONALD N. BOYCE, CRIMINAL LAW § 5.1, at 459-62 (3d ed. 1982). Incest statutes proscribe either sexual intercourse between persons who are related within a prohibited degree of consanguinity or prohibit both marriage and sexual intercourse between such individuals. Although both types of conduct are criminal in Maryland, only the former constitutes incest. Incest, a felony, is the act of "knowingly engag[ing] in vaginal intercourse with anyone whom the person may not marry under § 2-202 of the FAMILY LAW Article." CRIM. LAW I § 3-323; </w:t>
            </w:r>
            <w:hyperlink r:id="rId1393" w:history="1">
              <w:r>
                <w:rPr>
                  <w:rFonts w:ascii="Arial" w:eastAsia="Arial" w:hAnsi="Arial" w:cs="Arial"/>
                  <w:i/>
                  <w:color w:val="0077CC"/>
                  <w:sz w:val="20"/>
                  <w:u w:val="single"/>
                </w:rPr>
                <w:t>Tapscott v. State, 343 Md. 650, 684 A.2d 439 (1996)</w:t>
              </w:r>
            </w:hyperlink>
            <w:r>
              <w:rPr>
                <w:rFonts w:ascii="Arial" w:eastAsia="Arial" w:hAnsi="Arial" w:cs="Arial"/>
                <w:color w:val="000000"/>
                <w:sz w:val="20"/>
              </w:rPr>
              <w:t xml:space="preserve"> (holding that the prohibition against incest applies to statutorily enumerated relationships, regardless of whether half-blood or wholeblood).</w:t>
            </w:r>
          </w:p>
          <w:p w:rsidR="004729FB" w:rsidRDefault="004729FB" w:rsidP="00713DA5">
            <w:pPr>
              <w:spacing w:before="200" w:line="260" w:lineRule="atLeast"/>
              <w:ind w:left="60" w:right="360"/>
              <w:jc w:val="both"/>
            </w:pPr>
            <w:r>
              <w:rPr>
                <w:rFonts w:ascii="Arial" w:eastAsia="Arial" w:hAnsi="Arial" w:cs="Arial"/>
                <w:color w:val="000000"/>
                <w:sz w:val="20"/>
              </w:rPr>
              <w:t>Under § 2-202 of the FAMILY LAW Article, the following marriages are prohibited:</w:t>
            </w:r>
          </w:p>
          <w:p w:rsidR="004729FB" w:rsidRDefault="004729FB" w:rsidP="00713DA5">
            <w:pPr>
              <w:spacing w:before="60" w:line="260" w:lineRule="atLeast"/>
              <w:ind w:left="460" w:right="360"/>
              <w:jc w:val="both"/>
            </w:pPr>
            <w:r>
              <w:rPr>
                <w:rFonts w:ascii="Arial" w:eastAsia="Arial" w:hAnsi="Arial" w:cs="Arial"/>
                <w:color w:val="000000"/>
                <w:sz w:val="20"/>
              </w:rPr>
              <w:t>(b) Marriages within 3 degrees of direct lineal consanguinity or within first degree of collateral consanguinity prohibited; penalties.--</w:t>
            </w:r>
          </w:p>
          <w:p w:rsidR="004729FB" w:rsidRDefault="004729FB" w:rsidP="00713DA5">
            <w:pPr>
              <w:spacing w:before="60" w:line="260" w:lineRule="atLeast"/>
              <w:ind w:left="860" w:right="360"/>
              <w:jc w:val="both"/>
            </w:pPr>
            <w:r>
              <w:rPr>
                <w:rFonts w:ascii="Arial" w:eastAsia="Arial" w:hAnsi="Arial" w:cs="Arial"/>
                <w:color w:val="000000"/>
                <w:sz w:val="20"/>
              </w:rPr>
              <w:t>(1) An individual may not marry the individual's:</w:t>
            </w:r>
          </w:p>
          <w:p w:rsidR="004729FB" w:rsidRDefault="004729FB" w:rsidP="00713DA5">
            <w:pPr>
              <w:spacing w:before="60" w:line="260" w:lineRule="atLeast"/>
              <w:ind w:left="860" w:right="360"/>
              <w:jc w:val="both"/>
            </w:pPr>
            <w:r>
              <w:rPr>
                <w:rFonts w:ascii="Arial" w:eastAsia="Arial" w:hAnsi="Arial" w:cs="Arial"/>
                <w:color w:val="000000"/>
                <w:sz w:val="20"/>
              </w:rPr>
              <w:t>(i) grandparent;</w:t>
            </w:r>
          </w:p>
          <w:p w:rsidR="004729FB" w:rsidRDefault="004729FB" w:rsidP="00713DA5">
            <w:pPr>
              <w:spacing w:before="60" w:line="260" w:lineRule="atLeast"/>
              <w:ind w:left="860" w:right="360"/>
              <w:jc w:val="both"/>
            </w:pPr>
            <w:r>
              <w:rPr>
                <w:rFonts w:ascii="Arial" w:eastAsia="Arial" w:hAnsi="Arial" w:cs="Arial"/>
                <w:color w:val="000000"/>
                <w:sz w:val="20"/>
              </w:rPr>
              <w:t>(ii) parent;</w:t>
            </w:r>
          </w:p>
          <w:p w:rsidR="004729FB" w:rsidRDefault="004729FB" w:rsidP="00713DA5">
            <w:pPr>
              <w:spacing w:before="60" w:line="260" w:lineRule="atLeast"/>
              <w:ind w:left="860" w:right="360"/>
              <w:jc w:val="both"/>
            </w:pPr>
            <w:r>
              <w:rPr>
                <w:rFonts w:ascii="Arial" w:eastAsia="Arial" w:hAnsi="Arial" w:cs="Arial"/>
                <w:color w:val="000000"/>
                <w:sz w:val="20"/>
              </w:rPr>
              <w:t>(iii )child;</w:t>
            </w:r>
          </w:p>
          <w:p w:rsidR="004729FB" w:rsidRDefault="004729FB" w:rsidP="00713DA5">
            <w:pPr>
              <w:spacing w:before="60" w:line="260" w:lineRule="atLeast"/>
              <w:ind w:left="860" w:right="360"/>
              <w:jc w:val="both"/>
            </w:pPr>
            <w:r>
              <w:rPr>
                <w:rFonts w:ascii="Arial" w:eastAsia="Arial" w:hAnsi="Arial" w:cs="Arial"/>
                <w:color w:val="000000"/>
                <w:sz w:val="20"/>
              </w:rPr>
              <w:lastRenderedPageBreak/>
              <w:t>(iv) sibling; or</w:t>
            </w:r>
          </w:p>
          <w:p w:rsidR="004729FB" w:rsidRDefault="004729FB" w:rsidP="00713DA5">
            <w:pPr>
              <w:spacing w:before="60" w:line="260" w:lineRule="atLeast"/>
              <w:ind w:left="860" w:right="360"/>
              <w:jc w:val="both"/>
            </w:pPr>
            <w:r>
              <w:rPr>
                <w:rFonts w:ascii="Arial" w:eastAsia="Arial" w:hAnsi="Arial" w:cs="Arial"/>
                <w:color w:val="000000"/>
                <w:sz w:val="20"/>
              </w:rPr>
              <w:t>(v) grandchild.</w:t>
            </w:r>
          </w:p>
          <w:p w:rsidR="004729FB" w:rsidRDefault="004729FB" w:rsidP="00713DA5">
            <w:pPr>
              <w:spacing w:before="60" w:line="260" w:lineRule="atLeast"/>
              <w:ind w:left="860" w:right="360"/>
              <w:jc w:val="both"/>
            </w:pPr>
            <w:r>
              <w:rPr>
                <w:rFonts w:ascii="Arial" w:eastAsia="Arial" w:hAnsi="Arial" w:cs="Arial"/>
                <w:color w:val="000000"/>
                <w:sz w:val="20"/>
              </w:rPr>
              <w:t>(2) An individual who violates any provision of this subsection is guilty of a misdemeanor and on conviction is subject to a fine of $ 1,500.</w:t>
            </w:r>
          </w:p>
          <w:p w:rsidR="004729FB" w:rsidRDefault="004729FB" w:rsidP="00713DA5">
            <w:pPr>
              <w:spacing w:before="60" w:line="260" w:lineRule="atLeast"/>
              <w:ind w:left="460" w:right="360"/>
              <w:jc w:val="both"/>
            </w:pPr>
            <w:r>
              <w:rPr>
                <w:rFonts w:ascii="Arial" w:eastAsia="Arial" w:hAnsi="Arial" w:cs="Arial"/>
                <w:color w:val="000000"/>
                <w:sz w:val="20"/>
              </w:rPr>
              <w:t>(c) Certain marriages within other degrees of affinity or consanguinity prohibited; penalties.--</w:t>
            </w:r>
          </w:p>
          <w:p w:rsidR="004729FB" w:rsidRDefault="004729FB" w:rsidP="00713DA5">
            <w:pPr>
              <w:spacing w:before="60" w:line="260" w:lineRule="atLeast"/>
              <w:ind w:left="860" w:right="360"/>
              <w:jc w:val="both"/>
            </w:pPr>
            <w:r>
              <w:rPr>
                <w:rFonts w:ascii="Arial" w:eastAsia="Arial" w:hAnsi="Arial" w:cs="Arial"/>
                <w:color w:val="000000"/>
                <w:sz w:val="20"/>
              </w:rPr>
              <w:t>(1) An individual may not marry the individual's:</w:t>
            </w:r>
          </w:p>
          <w:p w:rsidR="004729FB" w:rsidRDefault="004729FB" w:rsidP="00713DA5">
            <w:pPr>
              <w:spacing w:before="60" w:line="260" w:lineRule="atLeast"/>
              <w:ind w:left="860" w:right="360"/>
              <w:jc w:val="both"/>
            </w:pPr>
            <w:r>
              <w:rPr>
                <w:rFonts w:ascii="Arial" w:eastAsia="Arial" w:hAnsi="Arial" w:cs="Arial"/>
                <w:color w:val="000000"/>
                <w:sz w:val="20"/>
              </w:rPr>
              <w:t>(i) grandparent's spouse;</w:t>
            </w:r>
          </w:p>
          <w:p w:rsidR="004729FB" w:rsidRDefault="004729FB" w:rsidP="00713DA5">
            <w:pPr>
              <w:spacing w:before="60" w:line="260" w:lineRule="atLeast"/>
              <w:ind w:left="860" w:right="360"/>
              <w:jc w:val="both"/>
            </w:pPr>
            <w:r>
              <w:rPr>
                <w:rFonts w:ascii="Arial" w:eastAsia="Arial" w:hAnsi="Arial" w:cs="Arial"/>
                <w:color w:val="000000"/>
                <w:sz w:val="20"/>
              </w:rPr>
              <w:t>(ii) spouse's grandparent;</w:t>
            </w:r>
          </w:p>
          <w:p w:rsidR="004729FB" w:rsidRDefault="004729FB" w:rsidP="00713DA5">
            <w:pPr>
              <w:spacing w:before="60" w:line="260" w:lineRule="atLeast"/>
              <w:ind w:left="860" w:right="360"/>
              <w:jc w:val="both"/>
            </w:pPr>
            <w:r>
              <w:rPr>
                <w:rFonts w:ascii="Arial" w:eastAsia="Arial" w:hAnsi="Arial" w:cs="Arial"/>
                <w:color w:val="000000"/>
                <w:sz w:val="20"/>
              </w:rPr>
              <w:t>(iii) parent's sibling;</w:t>
            </w:r>
          </w:p>
          <w:p w:rsidR="004729FB" w:rsidRDefault="004729FB" w:rsidP="00713DA5">
            <w:pPr>
              <w:spacing w:before="60" w:line="260" w:lineRule="atLeast"/>
              <w:ind w:left="860" w:right="360"/>
              <w:jc w:val="both"/>
            </w:pPr>
            <w:r>
              <w:rPr>
                <w:rFonts w:ascii="Arial" w:eastAsia="Arial" w:hAnsi="Arial" w:cs="Arial"/>
                <w:color w:val="000000"/>
                <w:sz w:val="20"/>
              </w:rPr>
              <w:t>(iv) stepparent;</w:t>
            </w:r>
          </w:p>
          <w:p w:rsidR="004729FB" w:rsidRDefault="004729FB" w:rsidP="00713DA5">
            <w:pPr>
              <w:spacing w:before="60" w:line="260" w:lineRule="atLeast"/>
              <w:ind w:left="860" w:right="360"/>
              <w:jc w:val="both"/>
            </w:pPr>
            <w:r>
              <w:rPr>
                <w:rFonts w:ascii="Arial" w:eastAsia="Arial" w:hAnsi="Arial" w:cs="Arial"/>
                <w:color w:val="000000"/>
                <w:sz w:val="20"/>
              </w:rPr>
              <w:t>(v) spouse's parent;</w:t>
            </w:r>
          </w:p>
          <w:p w:rsidR="004729FB" w:rsidRDefault="004729FB" w:rsidP="00713DA5">
            <w:pPr>
              <w:spacing w:before="60" w:line="260" w:lineRule="atLeast"/>
              <w:ind w:left="860" w:right="360"/>
              <w:jc w:val="both"/>
            </w:pPr>
            <w:r>
              <w:rPr>
                <w:rFonts w:ascii="Arial" w:eastAsia="Arial" w:hAnsi="Arial" w:cs="Arial"/>
                <w:color w:val="000000"/>
                <w:sz w:val="20"/>
              </w:rPr>
              <w:t>(vi) spouse's child;</w:t>
            </w:r>
          </w:p>
          <w:p w:rsidR="004729FB" w:rsidRDefault="004729FB" w:rsidP="00713DA5">
            <w:pPr>
              <w:spacing w:before="60" w:line="260" w:lineRule="atLeast"/>
              <w:ind w:left="860" w:right="360"/>
              <w:jc w:val="both"/>
            </w:pPr>
            <w:r>
              <w:rPr>
                <w:rFonts w:ascii="Arial" w:eastAsia="Arial" w:hAnsi="Arial" w:cs="Arial"/>
                <w:color w:val="000000"/>
                <w:sz w:val="20"/>
              </w:rPr>
              <w:t>(vii)child's spouse;</w:t>
            </w:r>
          </w:p>
          <w:p w:rsidR="004729FB" w:rsidRDefault="004729FB" w:rsidP="00713DA5">
            <w:pPr>
              <w:spacing w:before="60" w:line="260" w:lineRule="atLeast"/>
              <w:ind w:left="860" w:right="360"/>
              <w:jc w:val="both"/>
            </w:pPr>
            <w:r>
              <w:rPr>
                <w:rFonts w:ascii="Arial" w:eastAsia="Arial" w:hAnsi="Arial" w:cs="Arial"/>
                <w:color w:val="000000"/>
                <w:sz w:val="20"/>
              </w:rPr>
              <w:t>(viii)grandchild's spouse;</w:t>
            </w:r>
          </w:p>
          <w:p w:rsidR="004729FB" w:rsidRDefault="004729FB" w:rsidP="00713DA5">
            <w:pPr>
              <w:spacing w:before="60" w:line="260" w:lineRule="atLeast"/>
              <w:ind w:left="860" w:right="360"/>
              <w:jc w:val="both"/>
            </w:pPr>
            <w:r>
              <w:rPr>
                <w:rFonts w:ascii="Arial" w:eastAsia="Arial" w:hAnsi="Arial" w:cs="Arial"/>
                <w:color w:val="000000"/>
                <w:sz w:val="20"/>
              </w:rPr>
              <w:t>(ix) spouse's grandchild; or</w:t>
            </w:r>
          </w:p>
          <w:p w:rsidR="004729FB" w:rsidRDefault="004729FB" w:rsidP="00713DA5">
            <w:pPr>
              <w:spacing w:before="60" w:line="260" w:lineRule="atLeast"/>
              <w:ind w:left="860" w:right="360"/>
              <w:jc w:val="both"/>
            </w:pPr>
            <w:r>
              <w:rPr>
                <w:rFonts w:ascii="Arial" w:eastAsia="Arial" w:hAnsi="Arial" w:cs="Arial"/>
                <w:color w:val="000000"/>
                <w:sz w:val="20"/>
              </w:rPr>
              <w:t>(x) sibling's child.</w:t>
            </w:r>
          </w:p>
          <w:p w:rsidR="004729FB" w:rsidRDefault="004729FB" w:rsidP="00713DA5">
            <w:pPr>
              <w:spacing w:before="60" w:line="260" w:lineRule="atLeast"/>
              <w:ind w:left="860" w:right="360"/>
              <w:jc w:val="both"/>
            </w:pPr>
            <w:r>
              <w:rPr>
                <w:rFonts w:ascii="Arial" w:eastAsia="Arial" w:hAnsi="Arial" w:cs="Arial"/>
                <w:color w:val="000000"/>
                <w:sz w:val="20"/>
              </w:rPr>
              <w:t>(2) An individual who violates any provision of this subsection is guilty of a misdemeanor and on conviction is subject to a fine of $ 500.</w:t>
            </w:r>
          </w:p>
          <w:p w:rsidR="004729FB" w:rsidRDefault="004729FB" w:rsidP="00713DA5">
            <w:pPr>
              <w:spacing w:before="60" w:line="260" w:lineRule="atLeast"/>
              <w:ind w:left="60" w:right="360"/>
              <w:jc w:val="both"/>
            </w:pPr>
            <w:r>
              <w:rPr>
                <w:rFonts w:ascii="Arial" w:eastAsia="Arial" w:hAnsi="Arial" w:cs="Arial"/>
                <w:color w:val="000000"/>
                <w:sz w:val="20"/>
              </w:rPr>
              <w:t>MD. CODE ANN., FAMILY LAW § 2-202(b)-(c) (2012 &amp; Supp. 2018).</w:t>
            </w:r>
          </w:p>
          <w:p w:rsidR="004729FB" w:rsidRDefault="004729FB" w:rsidP="00713DA5">
            <w:pPr>
              <w:spacing w:before="240" w:line="260" w:lineRule="atLeast"/>
              <w:ind w:left="60" w:right="360"/>
              <w:jc w:val="both"/>
            </w:pPr>
            <w:r>
              <w:rPr>
                <w:rFonts w:ascii="Arial" w:eastAsia="Arial" w:hAnsi="Arial" w:cs="Arial"/>
                <w:color w:val="000000"/>
                <w:sz w:val="20"/>
              </w:rPr>
              <w:t xml:space="preserve">Unlike consanguineous marriage, incest requires proof of carnal knowledge, which is synonymous with sexual intercourse. </w:t>
            </w:r>
            <w:hyperlink r:id="rId1394" w:history="1">
              <w:r>
                <w:rPr>
                  <w:rFonts w:ascii="Arial" w:eastAsia="Arial" w:hAnsi="Arial" w:cs="Arial"/>
                  <w:i/>
                  <w:color w:val="0077CC"/>
                  <w:sz w:val="20"/>
                  <w:u w:val="single"/>
                </w:rPr>
                <w:t>Scott v. State, 2 Md. App. 709, 711-12, 237 A.2d 61, 62-63 (1968)</w:t>
              </w:r>
            </w:hyperlink>
            <w:r>
              <w:rPr>
                <w:rFonts w:ascii="Arial" w:eastAsia="Arial" w:hAnsi="Arial" w:cs="Arial"/>
                <w:color w:val="000000"/>
                <w:sz w:val="20"/>
              </w:rPr>
              <w:t xml:space="preserve"> (citing </w:t>
            </w:r>
            <w:hyperlink r:id="rId1395" w:history="1">
              <w:r>
                <w:rPr>
                  <w:rFonts w:ascii="Arial" w:eastAsia="Arial" w:hAnsi="Arial" w:cs="Arial"/>
                  <w:i/>
                  <w:color w:val="0077CC"/>
                  <w:sz w:val="20"/>
                  <w:u w:val="single"/>
                </w:rPr>
                <w:t>Robert v. State, 220 Md. 159, 164, 151 A.2d 737, 739 (1959)),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396" w:history="1">
              <w:r>
                <w:rPr>
                  <w:rFonts w:ascii="Arial" w:eastAsia="Arial" w:hAnsi="Arial" w:cs="Arial"/>
                  <w:i/>
                  <w:color w:val="0077CC"/>
                  <w:sz w:val="20"/>
                  <w:u w:val="single"/>
                </w:rPr>
                <w:t>249 Md. 733 (1968).</w:t>
              </w:r>
            </w:hyperlink>
            <w:r>
              <w:rPr>
                <w:rFonts w:ascii="Arial" w:eastAsia="Arial" w:hAnsi="Arial" w:cs="Arial"/>
                <w:color w:val="000000"/>
                <w:sz w:val="20"/>
              </w:rPr>
              <w:t xml:space="preserve"> As with other offenses involving sexual intercourse, penetration need only be slight. </w:t>
            </w:r>
            <w:r>
              <w:rPr>
                <w:rFonts w:ascii="Arial" w:eastAsia="Arial" w:hAnsi="Arial" w:cs="Arial"/>
                <w:i/>
                <w:color w:val="000000"/>
                <w:sz w:val="20"/>
              </w:rPr>
              <w:t xml:space="preserve">See </w:t>
            </w:r>
            <w:hyperlink r:id="rId1397" w:history="1">
              <w:r>
                <w:rPr>
                  <w:rFonts w:ascii="Arial" w:eastAsia="Arial" w:hAnsi="Arial" w:cs="Arial"/>
                  <w:i/>
                  <w:color w:val="0077CC"/>
                  <w:sz w:val="20"/>
                  <w:u w:val="single"/>
                </w:rPr>
                <w:t>Craig v. State, 214 Md. 546, 547, 136 A.2d 243, 244 (1957);</w:t>
              </w:r>
            </w:hyperlink>
            <w:r>
              <w:rPr>
                <w:rFonts w:ascii="Arial" w:eastAsia="Arial" w:hAnsi="Arial" w:cs="Arial"/>
                <w:color w:val="000000"/>
                <w:sz w:val="20"/>
              </w:rPr>
              <w:t xml:space="preserve"> </w:t>
            </w:r>
            <w:hyperlink r:id="rId1398" w:history="1">
              <w:r>
                <w:rPr>
                  <w:rFonts w:ascii="Arial" w:eastAsia="Arial" w:hAnsi="Arial" w:cs="Arial"/>
                  <w:i/>
                  <w:color w:val="0077CC"/>
                  <w:sz w:val="20"/>
                  <w:u w:val="single"/>
                </w:rPr>
                <w:t>Kackley v. State, 63 Md. App. 532, 537, 493 A.2d 364, 367,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298, 498 A.2d 1185 (1985).</w:t>
            </w:r>
            <w:r>
              <w:rPr>
                <w:rFonts w:ascii="Arial" w:eastAsia="Arial" w:hAnsi="Arial" w:cs="Arial"/>
                <w:color w:val="000000"/>
                <w:sz w:val="20"/>
              </w:rPr>
              <w:t xml:space="preserve"> Moreover, emission need not be established. </w:t>
            </w:r>
            <w:r>
              <w:rPr>
                <w:rFonts w:ascii="Arial" w:eastAsia="Arial" w:hAnsi="Arial" w:cs="Arial"/>
                <w:i/>
                <w:color w:val="000000"/>
                <w:sz w:val="20"/>
              </w:rPr>
              <w:t xml:space="preserve">See </w:t>
            </w:r>
            <w:hyperlink r:id="rId1399" w:history="1">
              <w:r>
                <w:rPr>
                  <w:rFonts w:ascii="Arial" w:eastAsia="Arial" w:hAnsi="Arial" w:cs="Arial"/>
                  <w:i/>
                  <w:color w:val="0077CC"/>
                  <w:sz w:val="20"/>
                  <w:u w:val="single"/>
                </w:rPr>
                <w:t>Scott, 2 Md. App. at 713, 237 A.2d at 64-65.</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5" style="position:absolute;z-index:25189990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4:07.1.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5" style="position:absolute;left:0;text-align:left;z-index:25191014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9" name="Picture 7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06" w:history="1">
        <w:r>
          <w:rPr>
            <w:rFonts w:ascii="Arial" w:eastAsia="Arial" w:hAnsi="Arial" w:cs="Arial"/>
            <w:b/>
            <w:bCs/>
            <w:i/>
            <w:color w:val="0077CC"/>
            <w:kern w:val="32"/>
            <w:sz w:val="28"/>
            <w:szCs w:val="32"/>
            <w:u w:val="single"/>
          </w:rPr>
          <w:t>MPJI-Cr 4:18.1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(OBTAINING PERSONAL IDENTIFYING INFORMATION WITHOUT CONSENT)</w:t>
      </w:r>
    </w:p>
    <w:p w:rsidR="004729FB" w:rsidRDefault="004729FB" w:rsidP="004729FB">
      <w:pPr>
        <w:keepNext/>
        <w:spacing w:before="240" w:line="340" w:lineRule="atLeast"/>
      </w:pPr>
      <w:r>
        <w:br/>
      </w:r>
      <w:r>
        <w:rPr>
          <w:rFonts w:ascii="Arial" w:eastAsia="Arial" w:hAnsi="Arial" w:cs="Arial"/>
          <w:b/>
          <w:color w:val="000000"/>
          <w:sz w:val="28"/>
        </w:rPr>
        <w:t>4:18.1Identity Fraud (Obtaining Personal Identifying Information Without Consent)</w:t>
      </w:r>
    </w:p>
    <w:p w:rsidR="004729FB" w:rsidRDefault="004729FB" w:rsidP="004729FB">
      <w:pPr>
        <w:spacing w:line="60" w:lineRule="exact"/>
      </w:pPr>
      <w:r>
        <w:pict>
          <v:line id="_x0000_s1266" style="position:absolute;z-index:2518906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and willfully [obtained] [helped another to obtain] personal identifying information of (</w:t>
      </w:r>
      <w:r>
        <w:rPr>
          <w:rFonts w:ascii="Arial" w:eastAsia="Arial" w:hAnsi="Arial" w:cs="Arial"/>
          <w:b/>
          <w:color w:val="000000"/>
          <w:sz w:val="20"/>
          <w:u w:val="single"/>
        </w:rPr>
        <w:t>insert name of individual</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without the consent of (</w:t>
      </w:r>
      <w:r>
        <w:rPr>
          <w:rFonts w:ascii="Arial" w:eastAsia="Arial" w:hAnsi="Arial" w:cs="Arial"/>
          <w:b/>
          <w:color w:val="000000"/>
          <w:sz w:val="20"/>
          <w:u w:val="single"/>
        </w:rPr>
        <w:t>insert name of individual</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in order to fraudulently [obtain a benefit, credit, good, service, or other thing of value] [access health information or health care in the name of (</w:t>
      </w:r>
      <w:r>
        <w:rPr>
          <w:rFonts w:ascii="Arial" w:eastAsia="Arial" w:hAnsi="Arial" w:cs="Arial"/>
          <w:b/>
          <w:color w:val="000000"/>
          <w:sz w:val="20"/>
          <w:u w:val="single"/>
        </w:rPr>
        <w:t>insert name of individual</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"Personal identifying information" means (</w:t>
      </w:r>
      <w:r>
        <w:rPr>
          <w:rFonts w:ascii="Arial" w:eastAsia="Arial" w:hAnsi="Arial" w:cs="Arial"/>
          <w:b/>
          <w:color w:val="000000"/>
          <w:sz w:val="20"/>
          <w:u w:val="single"/>
        </w:rPr>
        <w:t>insert applicable provision[s] from MD. CODE ANN., CRIMINAL LAW II § 8-301(a)(6)(i)</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care" means (</w:t>
      </w:r>
      <w:r>
        <w:rPr>
          <w:rFonts w:ascii="Arial" w:eastAsia="Arial" w:hAnsi="Arial" w:cs="Arial"/>
          <w:b/>
          <w:color w:val="000000"/>
          <w:sz w:val="20"/>
          <w:u w:val="single"/>
        </w:rPr>
        <w:t>insert applicable provision[s] from MD. CODE ANN., CRIMINAL LAW II § 8-301(a)(2)</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information" means (</w:t>
      </w:r>
      <w:r>
        <w:rPr>
          <w:rFonts w:ascii="Arial" w:eastAsia="Arial" w:hAnsi="Arial" w:cs="Arial"/>
          <w:b/>
          <w:color w:val="000000"/>
          <w:sz w:val="20"/>
          <w:u w:val="single"/>
        </w:rPr>
        <w:t>insert applicable provision[s] from MD. CODE ANN., CRIMINAL LAW II § 8-301(a)(3)</w:t>
      </w:r>
      <w:r>
        <w:rPr>
          <w:rFonts w:ascii="Arial" w:eastAsia="Arial" w:hAnsi="Arial" w:cs="Arial"/>
          <w:b/>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By enacting CRIM. LAW II § 8-301, the Maryland General Assembly criminalized many forms of identity fraud. This instruction, as well as MPJI-Cr 4:18.2, MPJI-Cr 4:18.3, MPJI-Cr 4:18.4, MPJI-Cr 4:18.5, and MPJI-Cr 4:18.6, address the chief identity fraud crimes.</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407" w:history="1">
              <w:r>
                <w:rPr>
                  <w:rFonts w:ascii="Arial" w:eastAsia="Arial" w:hAnsi="Arial" w:cs="Arial"/>
                  <w:i/>
                  <w:color w:val="0077CC"/>
                  <w:sz w:val="20"/>
                  <w:u w:val="single"/>
                </w:rPr>
                <w:t>Clark v. State, 188 Md. App. 185, 981 A.2d 710 (2009),</w:t>
              </w:r>
            </w:hyperlink>
            <w:r>
              <w:rPr>
                <w:rFonts w:ascii="Arial" w:eastAsia="Arial" w:hAnsi="Arial" w:cs="Arial"/>
                <w:color w:val="000000"/>
                <w:sz w:val="20"/>
              </w:rPr>
              <w:t xml:space="preserve"> the Court considered whether presenting a stolen credit card embossed with a credit card number was the use of a stolen credit card under CRIM. LAW II § 8-206 (which makes using a stolen credit card a crime) or was the fraudulent use of a type of "personal identifying information," </w:t>
            </w:r>
            <w:r>
              <w:rPr>
                <w:rFonts w:ascii="Arial" w:eastAsia="Arial" w:hAnsi="Arial" w:cs="Arial"/>
                <w:i/>
                <w:color w:val="000000"/>
                <w:sz w:val="20"/>
              </w:rPr>
              <w:t>i.e.</w:t>
            </w:r>
            <w:r>
              <w:rPr>
                <w:rFonts w:ascii="Arial" w:eastAsia="Arial" w:hAnsi="Arial" w:cs="Arial"/>
                <w:color w:val="000000"/>
                <w:sz w:val="20"/>
              </w:rPr>
              <w:t xml:space="preserve">, the credit card number, under CRIM. LAW II § 8-301(b). It concluded it was both. The Court said that "the fact that § 8-301(b) may overlap with § 8-206 in some instances does not reflect a legislative intent that fraudulent use of a credit card number to obtain something of value, when that number is embossed on a credit card that is presented in the transaction, is excluded from prosecution under Cr § 8-301(b)." </w:t>
            </w:r>
            <w:hyperlink r:id="rId1408" w:history="1">
              <w:r>
                <w:rPr>
                  <w:rFonts w:ascii="Arial" w:eastAsia="Arial" w:hAnsi="Arial" w:cs="Arial"/>
                  <w:i/>
                  <w:color w:val="0077CC"/>
                  <w:sz w:val="20"/>
                  <w:u w:val="single"/>
                </w:rPr>
                <w:t>Clark, 188 Md. App. at 203, 981 A.2d at 721.</w:t>
              </w:r>
            </w:hyperlink>
            <w:r>
              <w:rPr>
                <w:rFonts w:ascii="Arial" w:eastAsia="Arial" w:hAnsi="Arial" w:cs="Arial"/>
                <w:color w:val="000000"/>
                <w:sz w:val="20"/>
              </w:rPr>
              <w:t xml:space="preserve"> The Court also affirmed the conviction </w:t>
            </w:r>
            <w:r>
              <w:rPr>
                <w:rFonts w:ascii="Arial" w:eastAsia="Arial" w:hAnsi="Arial" w:cs="Arial"/>
                <w:color w:val="000000"/>
                <w:sz w:val="20"/>
              </w:rPr>
              <w:lastRenderedPageBreak/>
              <w:t xml:space="preserve">under § 8-301(c) (assuming the identity of another), saying: "Ordinarily, when a person tenders a stolen credit card to a merchant as payment for goods or services, the person so presenting implicitly represents that he or she is the cardholder." </w:t>
            </w:r>
            <w:hyperlink r:id="rId1409" w:history="1">
              <w:r>
                <w:rPr>
                  <w:rFonts w:ascii="Arial" w:eastAsia="Arial" w:hAnsi="Arial" w:cs="Arial"/>
                  <w:i/>
                  <w:color w:val="0077CC"/>
                  <w:sz w:val="20"/>
                  <w:u w:val="single"/>
                </w:rPr>
                <w:t>Id. at 205, 981 A.2d at 721.</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6" style="position:absolute;z-index:25190092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4:18.2, MPJI-Cr 4:18.3, MPJI-Cr 4:18.4, MPJI-Cr 4:18.5, MPJI-Cr 4:18.6.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286" style="position:absolute;left:0;text-align:left;z-index:25191116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78" name="Picture 7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16" w:history="1">
        <w:r>
          <w:rPr>
            <w:rFonts w:ascii="Arial" w:eastAsia="Arial" w:hAnsi="Arial" w:cs="Arial"/>
            <w:b/>
            <w:bCs/>
            <w:i/>
            <w:color w:val="0077CC"/>
            <w:kern w:val="32"/>
            <w:sz w:val="28"/>
            <w:szCs w:val="32"/>
            <w:u w:val="single"/>
          </w:rPr>
          <w:t>MPJI-Cr 4:18.3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(ASSUMING IDENTITY OF ANOTHER)</w:t>
      </w:r>
    </w:p>
    <w:p w:rsidR="004729FB" w:rsidRDefault="004729FB" w:rsidP="004729FB">
      <w:pPr>
        <w:keepNext/>
        <w:spacing w:before="240" w:line="340" w:lineRule="atLeast"/>
      </w:pPr>
      <w:r>
        <w:br/>
      </w:r>
      <w:r>
        <w:rPr>
          <w:rFonts w:ascii="Arial" w:eastAsia="Arial" w:hAnsi="Arial" w:cs="Arial"/>
          <w:b/>
          <w:color w:val="000000"/>
          <w:sz w:val="28"/>
        </w:rPr>
        <w:t>4:18.3Identity Fraud (Assuming Identity of Another)</w:t>
      </w:r>
    </w:p>
    <w:p w:rsidR="004729FB" w:rsidRDefault="004729FB" w:rsidP="004729FB">
      <w:pPr>
        <w:spacing w:line="60" w:lineRule="exact"/>
      </w:pPr>
      <w:r>
        <w:pict>
          <v:line id="_x0000_s1267" style="position:absolute;z-index:2518917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TO AVOID DETECTION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did knowingly and willfully assume the identity of another [including a fictitious person];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to avoid [identification] [apprehension] [prosecution] for a crime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TO GAIN A BENEFIT</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did knowingly and willfully assume the identity of (</w:t>
      </w:r>
      <w:r>
        <w:rPr>
          <w:rFonts w:ascii="Arial" w:eastAsia="Arial" w:hAnsi="Arial" w:cs="Arial"/>
          <w:b/>
          <w:color w:val="000000"/>
          <w:sz w:val="20"/>
          <w:u w:val="single"/>
        </w:rPr>
        <w:t>insert name of individual</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 fraudulent intent to [get a benefit, credit, good, service, or other thing of value] [access health information or health care] [avoid the payment of debt or other legal obligation]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care" means care, services, or supplies related to the health of an individual that includes: (</w:t>
      </w:r>
      <w:r>
        <w:rPr>
          <w:rFonts w:ascii="Arial" w:eastAsia="Arial" w:hAnsi="Arial" w:cs="Arial"/>
          <w:b/>
          <w:color w:val="000000"/>
          <w:sz w:val="20"/>
          <w:u w:val="single"/>
        </w:rPr>
        <w:t>insert relevant portions of MD. CODE ANN., CRIMINAL LAW II § 8-301(a)(2)</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information" means any information, whether oral or recorded in any form or medium, that: (</w:t>
      </w:r>
      <w:r>
        <w:rPr>
          <w:rFonts w:ascii="Arial" w:eastAsia="Arial" w:hAnsi="Arial" w:cs="Arial"/>
          <w:b/>
          <w:color w:val="000000"/>
          <w:sz w:val="20"/>
          <w:u w:val="single"/>
        </w:rPr>
        <w:t>insert relevant portions of MD. CODE ANN., CRIMINAL LAW II § 8-301(a)(3)</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By Chapters 70 and 71, Acts 2011, the Maryland General Assembly expanded the crime of assuming the </w:t>
            </w:r>
            <w:r>
              <w:rPr>
                <w:rFonts w:ascii="Arial" w:eastAsia="Arial" w:hAnsi="Arial" w:cs="Arial"/>
                <w:color w:val="000000"/>
                <w:sz w:val="20"/>
              </w:rPr>
              <w:lastRenderedPageBreak/>
              <w:t xml:space="preserve">identity of another to include pretending to be a "fictitious person." Before this revision, the Court of Appeals, interpreting the statute without this term, had held that assuming the identity of a fictitious person did not violate CRIM. LAW II § 8-301(c). </w:t>
            </w:r>
            <w:r>
              <w:rPr>
                <w:rFonts w:ascii="Arial" w:eastAsia="Arial" w:hAnsi="Arial" w:cs="Arial"/>
                <w:i/>
                <w:color w:val="000000"/>
                <w:sz w:val="20"/>
              </w:rPr>
              <w:t xml:space="preserve">See </w:t>
            </w:r>
            <w:hyperlink r:id="rId1417" w:history="1">
              <w:r>
                <w:rPr>
                  <w:rFonts w:ascii="Arial" w:eastAsia="Arial" w:hAnsi="Arial" w:cs="Arial"/>
                  <w:i/>
                  <w:color w:val="0077CC"/>
                  <w:sz w:val="20"/>
                  <w:u w:val="single"/>
                </w:rPr>
                <w:t>Ishola v. State, 404 Md. 155, 945 A.2d 1273 (2008).</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77" style="position:absolute;z-index:25190195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4:18.1; MPJI-Cr 4:18.2; MPJI-Cr 4:18.4; MPJI-Cr 4:18.5; MPJI-Cr 4:18.6.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287" style="position:absolute;left:0;text-align:left;z-index:251912192;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10:49:00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77923635</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418" w:history="1">
        <w:r>
          <w:rPr>
            <w:rFonts w:ascii="Arial" w:eastAsia="Arial" w:hAnsi="Arial" w:cs="Arial"/>
            <w:color w:val="000000"/>
            <w:sz w:val="20"/>
            <w:u w:val="single"/>
          </w:rPr>
          <w:t xml:space="preserve"> </w:t>
        </w:r>
      </w:hyperlink>
      <w:hyperlink r:id="rId1419" w:history="1">
        <w:r>
          <w:rPr>
            <w:rFonts w:ascii="Arial" w:eastAsia="Arial" w:hAnsi="Arial" w:cs="Arial"/>
            <w:i/>
            <w:color w:val="0077CC"/>
            <w:sz w:val="20"/>
            <w:u w:val="single"/>
          </w:rPr>
          <w:t>Identity Fraud (Use of Re-Encoder or Skimming Device)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420" w:history="1">
        <w:r>
          <w:rPr>
            <w:rFonts w:ascii="Arial" w:eastAsia="Arial" w:hAnsi="Arial" w:cs="Arial"/>
            <w:color w:val="000000"/>
            <w:sz w:val="20"/>
            <w:u w:val="single"/>
          </w:rPr>
          <w:t xml:space="preserve"> </w:t>
        </w:r>
      </w:hyperlink>
      <w:hyperlink r:id="rId1421" w:history="1">
        <w:r>
          <w:rPr>
            <w:rFonts w:ascii="Arial" w:eastAsia="Arial" w:hAnsi="Arial" w:cs="Arial"/>
            <w:i/>
            <w:color w:val="0077CC"/>
            <w:sz w:val="20"/>
            <w:u w:val="single"/>
          </w:rPr>
          <w:t>Identity Fraud (Possession of Re-Encoder or Skimming Device)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422" w:history="1">
        <w:r>
          <w:rPr>
            <w:rFonts w:ascii="Arial" w:eastAsia="Arial" w:hAnsi="Arial" w:cs="Arial"/>
            <w:color w:val="000000"/>
            <w:sz w:val="20"/>
            <w:u w:val="single"/>
          </w:rPr>
          <w:t xml:space="preserve"> </w:t>
        </w:r>
      </w:hyperlink>
      <w:hyperlink r:id="rId1423" w:history="1">
        <w:r>
          <w:rPr>
            <w:rFonts w:ascii="Arial" w:eastAsia="Arial" w:hAnsi="Arial" w:cs="Arial"/>
            <w:i/>
            <w:color w:val="0077CC"/>
            <w:sz w:val="20"/>
            <w:u w:val="single"/>
          </w:rPr>
          <w:t>Identity Fraud (Representation Without Authorization)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424" w:history="1">
        <w:r>
          <w:rPr>
            <w:rFonts w:ascii="Arial" w:eastAsia="Arial" w:hAnsi="Arial" w:cs="Arial"/>
            <w:color w:val="000000"/>
            <w:sz w:val="20"/>
            <w:u w:val="single"/>
          </w:rPr>
          <w:t xml:space="preserve"> </w:t>
        </w:r>
      </w:hyperlink>
      <w:hyperlink r:id="rId1425" w:history="1">
        <w:r>
          <w:rPr>
            <w:rFonts w:ascii="Arial" w:eastAsia="Arial" w:hAnsi="Arial" w:cs="Arial"/>
            <w:i/>
            <w:color w:val="0077CC"/>
            <w:sz w:val="20"/>
            <w:u w:val="single"/>
          </w:rPr>
          <w:t>Indecent Exposure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426" w:history="1">
        <w:r>
          <w:rPr>
            <w:rFonts w:ascii="Arial" w:eastAsia="Arial" w:hAnsi="Arial" w:cs="Arial"/>
            <w:color w:val="000000"/>
            <w:sz w:val="20"/>
            <w:u w:val="single"/>
          </w:rPr>
          <w:t xml:space="preserve"> </w:t>
        </w:r>
      </w:hyperlink>
      <w:hyperlink r:id="rId1427" w:history="1">
        <w:r>
          <w:rPr>
            <w:rFonts w:ascii="Arial" w:eastAsia="Arial" w:hAnsi="Arial" w:cs="Arial"/>
            <w:i/>
            <w:color w:val="0077CC"/>
            <w:sz w:val="20"/>
            <w:u w:val="single"/>
          </w:rPr>
          <w:t>Kidnapping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428" w:history="1">
        <w:r>
          <w:rPr>
            <w:rFonts w:ascii="Arial" w:eastAsia="Arial" w:hAnsi="Arial" w:cs="Arial"/>
            <w:color w:val="000000"/>
            <w:sz w:val="20"/>
            <w:u w:val="single"/>
          </w:rPr>
          <w:t xml:space="preserve"> </w:t>
        </w:r>
      </w:hyperlink>
      <w:hyperlink r:id="rId1429" w:history="1">
        <w:r>
          <w:rPr>
            <w:rFonts w:ascii="Arial" w:eastAsia="Arial" w:hAnsi="Arial" w:cs="Arial"/>
            <w:i/>
            <w:color w:val="0077CC"/>
            <w:sz w:val="20"/>
            <w:u w:val="single"/>
          </w:rPr>
          <w:t>Kidnapping (Underlying Crime)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430" w:history="1">
        <w:r>
          <w:rPr>
            <w:rFonts w:ascii="Arial" w:eastAsia="Arial" w:hAnsi="Arial" w:cs="Arial"/>
            <w:color w:val="000000"/>
            <w:sz w:val="20"/>
            <w:u w:val="single"/>
          </w:rPr>
          <w:t xml:space="preserve"> </w:t>
        </w:r>
      </w:hyperlink>
      <w:hyperlink r:id="rId1431" w:history="1">
        <w:r>
          <w:rPr>
            <w:rFonts w:ascii="Arial" w:eastAsia="Arial" w:hAnsi="Arial" w:cs="Arial"/>
            <w:i/>
            <w:color w:val="0077CC"/>
            <w:sz w:val="20"/>
            <w:u w:val="single"/>
          </w:rPr>
          <w:t>Malicious Destruction of Property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432" w:history="1">
        <w:r>
          <w:rPr>
            <w:rFonts w:ascii="Arial" w:eastAsia="Arial" w:hAnsi="Arial" w:cs="Arial"/>
            <w:color w:val="000000"/>
            <w:sz w:val="20"/>
            <w:u w:val="single"/>
          </w:rPr>
          <w:t xml:space="preserve"> </w:t>
        </w:r>
      </w:hyperlink>
      <w:hyperlink r:id="rId1433" w:history="1">
        <w:r>
          <w:rPr>
            <w:rFonts w:ascii="Arial" w:eastAsia="Arial" w:hAnsi="Arial" w:cs="Arial"/>
            <w:i/>
            <w:color w:val="0077CC"/>
            <w:sz w:val="20"/>
            <w:u w:val="single"/>
          </w:rPr>
          <w:t>Misappropriation by a Fiduciary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434" w:history="1">
        <w:r>
          <w:rPr>
            <w:rFonts w:ascii="Arial" w:eastAsia="Arial" w:hAnsi="Arial" w:cs="Arial"/>
            <w:color w:val="000000"/>
            <w:sz w:val="20"/>
            <w:u w:val="single"/>
          </w:rPr>
          <w:t xml:space="preserve"> </w:t>
        </w:r>
      </w:hyperlink>
      <w:hyperlink r:id="rId1435" w:history="1">
        <w:r>
          <w:rPr>
            <w:rFonts w:ascii="Arial" w:eastAsia="Arial" w:hAnsi="Arial" w:cs="Arial"/>
            <w:i/>
            <w:color w:val="0077CC"/>
            <w:sz w:val="20"/>
            <w:u w:val="single"/>
          </w:rPr>
          <w:t>NARCOTICS AND CONTROLLED DANGEROUS SUBSTANCE--POSSESSION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1436" w:history="1">
        <w:r>
          <w:rPr>
            <w:rFonts w:ascii="Arial" w:eastAsia="Arial" w:hAnsi="Arial" w:cs="Arial"/>
            <w:color w:val="000000"/>
            <w:sz w:val="20"/>
            <w:u w:val="single"/>
          </w:rPr>
          <w:t xml:space="preserve"> </w:t>
        </w:r>
      </w:hyperlink>
      <w:hyperlink r:id="rId1437" w:history="1">
        <w:r>
          <w:rPr>
            <w:rFonts w:ascii="Arial" w:eastAsia="Arial" w:hAnsi="Arial" w:cs="Arial"/>
            <w:i/>
            <w:color w:val="0077CC"/>
            <w:sz w:val="20"/>
            <w:u w:val="single"/>
          </w:rPr>
          <w:t>Misconduct in Office (Malfeasance, Misfeasance, and Nonfeasance)</w:t>
        </w:r>
      </w:hyperlink>
    </w:p>
    <w:p w:rsidR="004729FB" w:rsidRDefault="004729FB" w:rsidP="004729FB">
      <w:pPr>
        <w:spacing w:before="80" w:line="240" w:lineRule="atLeast"/>
        <w:ind w:left="290"/>
        <w:sectPr w:rsidR="004729FB" w:rsidSect="004729FB">
          <w:headerReference w:type="even" r:id="rId1438"/>
          <w:headerReference w:type="default" r:id="rId1439"/>
          <w:footerReference w:type="even" r:id="rId1440"/>
          <w:footerReference w:type="default" r:id="rId1441"/>
          <w:headerReference w:type="first" r:id="rId1442"/>
          <w:footerReference w:type="first" r:id="rId1443"/>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8" name="Picture 9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50" w:history="1">
        <w:r>
          <w:rPr>
            <w:rFonts w:ascii="Arial" w:eastAsia="Arial" w:hAnsi="Arial" w:cs="Arial"/>
            <w:b/>
            <w:bCs/>
            <w:i/>
            <w:color w:val="0077CC"/>
            <w:kern w:val="32"/>
            <w:sz w:val="28"/>
            <w:szCs w:val="32"/>
            <w:u w:val="single"/>
          </w:rPr>
          <w:t>MPJI-Cr 4:18.4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(USE OF RE-ENCODER OR SKIMMING DEVICE)</w:t>
      </w:r>
    </w:p>
    <w:p w:rsidR="004729FB" w:rsidRDefault="004729FB" w:rsidP="004729FB">
      <w:pPr>
        <w:keepNext/>
        <w:spacing w:before="240" w:line="340" w:lineRule="atLeast"/>
      </w:pPr>
      <w:r>
        <w:br/>
      </w:r>
      <w:r>
        <w:rPr>
          <w:rFonts w:ascii="Arial" w:eastAsia="Arial" w:hAnsi="Arial" w:cs="Arial"/>
          <w:b/>
          <w:color w:val="000000"/>
          <w:sz w:val="28"/>
        </w:rPr>
        <w:t>4:18.4Identity Fraud (Use of Re-Encoder or Skimming Device)</w:t>
      </w:r>
    </w:p>
    <w:p w:rsidR="004729FB" w:rsidRDefault="004729FB" w:rsidP="004729FB">
      <w:pPr>
        <w:spacing w:line="60" w:lineRule="exact"/>
      </w:pPr>
      <w:r>
        <w:pict>
          <v:line id="_x0000_s1288" style="position:absolute;z-index:2519142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USE OF A RE-ENCODER</w:t>
      </w:r>
    </w:p>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did knowingly and willfully use a re-encoder to place personal identifying information or a payment device number encoded on the magnetic strip or stripe of a credit card onto the magnetic strip or stripe of a different credit card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without the consent of the individual authorized to use the credit card from which the personal identifying information or payment device number was re-encoded; and</w:t>
      </w:r>
    </w:p>
    <w:p w:rsidR="004729FB" w:rsidRDefault="004729FB" w:rsidP="004729FB">
      <w:pPr>
        <w:spacing w:before="200" w:line="260" w:lineRule="atLeast"/>
        <w:ind w:left="400"/>
        <w:jc w:val="both"/>
      </w:pPr>
      <w:r>
        <w:rPr>
          <w:rFonts w:ascii="Arial" w:eastAsia="Arial" w:hAnsi="Arial" w:cs="Arial"/>
          <w:b/>
          <w:color w:val="000000"/>
          <w:sz w:val="20"/>
        </w:rPr>
        <w:t>(3) that the defendant used the re-encoder with fraudulent intent to [obtain a benefit, credit, good, service, or other thing of value] [access health information or health care]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"Re-encoder" means an electronic device that places encoded personal identifying information or a payment device number from the magnetic strip or stripe of a credit card onto the magnetic strip or stripe of a different credit card or any electronic medium that allows such a transaction to occur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["Personal identifying information" means (</w:t>
      </w:r>
      <w:r>
        <w:rPr>
          <w:rFonts w:ascii="Arial" w:eastAsia="Arial" w:hAnsi="Arial" w:cs="Arial"/>
          <w:b/>
          <w:color w:val="000000"/>
          <w:sz w:val="20"/>
          <w:u w:val="single"/>
        </w:rPr>
        <w:t>insert relevant items from MD. CODE ANN., CRIMINAL LAW II § 8-301(a)(6)(i)</w:t>
      </w:r>
      <w:r>
        <w:rPr>
          <w:rFonts w:ascii="Arial" w:eastAsia="Arial" w:hAnsi="Arial" w:cs="Arial"/>
          <w:b/>
          <w:color w:val="000000"/>
          <w:sz w:val="20"/>
        </w:rPr>
        <w:t>). "Personal identifying information" may be derived from any of these items, alone or in conjunction with any other information to identify a specific natural or fictitious individual.]</w:t>
      </w:r>
    </w:p>
    <w:p w:rsidR="004729FB" w:rsidRDefault="004729FB" w:rsidP="004729FB">
      <w:pPr>
        <w:spacing w:before="200" w:line="260" w:lineRule="atLeast"/>
        <w:jc w:val="both"/>
      </w:pPr>
      <w:r>
        <w:rPr>
          <w:rFonts w:ascii="Arial" w:eastAsia="Arial" w:hAnsi="Arial" w:cs="Arial"/>
          <w:b/>
          <w:color w:val="000000"/>
          <w:sz w:val="20"/>
        </w:rPr>
        <w:t>["Payment device number" means a code, account number, or other means of account access, other than a check, draft, or similar payment instrument, that can be used to obtain money, goods, services, or anything of value, or for purposes of initiating a transfer of funds.]</w:t>
      </w:r>
    </w:p>
    <w:p w:rsidR="004729FB" w:rsidRDefault="004729FB" w:rsidP="004729FB">
      <w:pPr>
        <w:spacing w:before="200" w:line="260" w:lineRule="atLeast"/>
        <w:jc w:val="both"/>
      </w:pPr>
      <w:r>
        <w:rPr>
          <w:rFonts w:ascii="Arial" w:eastAsia="Arial" w:hAnsi="Arial" w:cs="Arial"/>
          <w:b/>
          <w:color w:val="000000"/>
          <w:sz w:val="20"/>
        </w:rPr>
        <w:t>["Health care" means care, services, or supplies related to the health of an individual that includes the following: (</w:t>
      </w:r>
      <w:r>
        <w:rPr>
          <w:rFonts w:ascii="Arial" w:eastAsia="Arial" w:hAnsi="Arial" w:cs="Arial"/>
          <w:b/>
          <w:color w:val="000000"/>
          <w:sz w:val="20"/>
          <w:u w:val="single"/>
        </w:rPr>
        <w:t>insert relevant provisions of MD. CODE ANN., CRIMINAL LAW II § 8-301(a)(2)</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information" means any information, whether oral or recorded in any form or medium, that: (</w:t>
      </w:r>
      <w:r>
        <w:rPr>
          <w:rFonts w:ascii="Arial" w:eastAsia="Arial" w:hAnsi="Arial" w:cs="Arial"/>
          <w:b/>
          <w:color w:val="000000"/>
          <w:sz w:val="20"/>
          <w:u w:val="single"/>
        </w:rPr>
        <w:t>insert relevant provisions of MD. CODE ANN., CRIMINAL LAW II § 8-301(a)(3)</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USE OF A SKIMMING DEVICE</w:t>
      </w:r>
    </w:p>
    <w:p w:rsidR="004729FB" w:rsidRDefault="004729FB" w:rsidP="004729FB">
      <w:pPr>
        <w:spacing w:before="200" w:line="260" w:lineRule="atLeast"/>
        <w:jc w:val="both"/>
      </w:pPr>
      <w:r>
        <w:rPr>
          <w:rFonts w:ascii="Arial" w:eastAsia="Arial" w:hAnsi="Arial" w:cs="Arial"/>
          <w:b/>
          <w:color w:val="000000"/>
          <w:sz w:val="20"/>
        </w:rPr>
        <w:lastRenderedPageBreak/>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did knowingly and willfully use a skimming device to access read, scan, obtain, memorize, or store personal identifying information or a payment device number on a magnetic strip or stripe of a credit card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without the consent of the individual authorized to use the credit card; and</w:t>
      </w:r>
    </w:p>
    <w:p w:rsidR="004729FB" w:rsidRDefault="004729FB" w:rsidP="004729FB">
      <w:pPr>
        <w:spacing w:before="200" w:line="260" w:lineRule="atLeast"/>
        <w:ind w:left="400"/>
        <w:jc w:val="both"/>
      </w:pPr>
      <w:r>
        <w:rPr>
          <w:rFonts w:ascii="Arial" w:eastAsia="Arial" w:hAnsi="Arial" w:cs="Arial"/>
          <w:b/>
          <w:color w:val="000000"/>
          <w:sz w:val="20"/>
        </w:rPr>
        <w:t>(3) that the defendant used the skimming device with fraudulent intent to [obtain a benefit, credit, good, service, or other thing of value] [access health information or health care]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"Skimming device" means a scanner, skimmer, reader, or any other electronic device that is used to access, read, scan, obtain, memorize, or store, temporarily or permanently, personal identifying information or a payment device number encoded on the magnetic strip or stripe of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["Personal identifying information" means (</w:t>
      </w:r>
      <w:r>
        <w:rPr>
          <w:rFonts w:ascii="Arial" w:eastAsia="Arial" w:hAnsi="Arial" w:cs="Arial"/>
          <w:b/>
          <w:color w:val="000000"/>
          <w:sz w:val="20"/>
          <w:u w:val="single"/>
        </w:rPr>
        <w:t>insert relevant items from MD. CODE ANN., CRIMINAL LAW II § 8-301(a)(6)(i)</w:t>
      </w:r>
      <w:r>
        <w:rPr>
          <w:rFonts w:ascii="Arial" w:eastAsia="Arial" w:hAnsi="Arial" w:cs="Arial"/>
          <w:b/>
          <w:color w:val="000000"/>
          <w:sz w:val="20"/>
        </w:rPr>
        <w:t>). "Personal identifying information" may be derived from any of these items, alone or in conjunction with any other information to identify a specific natural or fictitious individual.]</w:t>
      </w:r>
    </w:p>
    <w:p w:rsidR="004729FB" w:rsidRDefault="004729FB" w:rsidP="004729FB">
      <w:pPr>
        <w:spacing w:before="200" w:line="260" w:lineRule="atLeast"/>
        <w:jc w:val="both"/>
      </w:pPr>
      <w:r>
        <w:rPr>
          <w:rFonts w:ascii="Arial" w:eastAsia="Arial" w:hAnsi="Arial" w:cs="Arial"/>
          <w:b/>
          <w:color w:val="000000"/>
          <w:sz w:val="20"/>
        </w:rPr>
        <w:t>["Payment device number" means a code, account number, or other means of account access, other than a check, draft, or similar payment instrument, that can be used to obtain money, goods, services, or anything of value, or for purposes of initiating a transfer of funds.]</w:t>
      </w:r>
    </w:p>
    <w:p w:rsidR="004729FB" w:rsidRDefault="004729FB" w:rsidP="004729FB">
      <w:pPr>
        <w:spacing w:before="200" w:line="260" w:lineRule="atLeast"/>
        <w:jc w:val="both"/>
      </w:pPr>
      <w:r>
        <w:rPr>
          <w:rFonts w:ascii="Arial" w:eastAsia="Arial" w:hAnsi="Arial" w:cs="Arial"/>
          <w:b/>
          <w:color w:val="000000"/>
          <w:sz w:val="20"/>
        </w:rPr>
        <w:t>["Health care" means care, services, or supplies related to the health of an individual that includes the following: (</w:t>
      </w:r>
      <w:r>
        <w:rPr>
          <w:rFonts w:ascii="Arial" w:eastAsia="Arial" w:hAnsi="Arial" w:cs="Arial"/>
          <w:b/>
          <w:color w:val="000000"/>
          <w:sz w:val="20"/>
          <w:u w:val="single"/>
        </w:rPr>
        <w:t>insert relevant provisions of MD. CODE ANN., CRIMINAL LAW II § 8-301(a)(2)</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["Health information" means any information, whether oral or recorded in any form or medium, that: (</w:t>
      </w:r>
      <w:r>
        <w:rPr>
          <w:rFonts w:ascii="Arial" w:eastAsia="Arial" w:hAnsi="Arial" w:cs="Arial"/>
          <w:b/>
          <w:color w:val="000000"/>
          <w:sz w:val="20"/>
          <w:u w:val="single"/>
        </w:rPr>
        <w:t>insert relevant provisions of MD. CODE ANN., CRIMINAL LAW II § 8-301(a)(3)</w:t>
      </w:r>
      <w:r>
        <w:rPr>
          <w:rFonts w:ascii="Arial" w:eastAsia="Arial" w:hAnsi="Arial" w:cs="Arial"/>
          <w:b/>
          <w:color w:val="000000"/>
          <w:sz w:val="20"/>
        </w:rPr>
        <w:t>).]</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98" style="position:absolute;z-index:25192448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4:18.1; MPJI-Cr 4:18.2; MPJI-Cr 4:18.3; MPJI-Cr 4:18.5; MPJI-Cr 4:18.6.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8" style="position:absolute;left:0;text-align:left;z-index:25193472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7" name="Picture 9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57" w:history="1">
        <w:r>
          <w:rPr>
            <w:rFonts w:ascii="Arial" w:eastAsia="Arial" w:hAnsi="Arial" w:cs="Arial"/>
            <w:b/>
            <w:bCs/>
            <w:i/>
            <w:color w:val="0077CC"/>
            <w:kern w:val="32"/>
            <w:sz w:val="28"/>
            <w:szCs w:val="32"/>
            <w:u w:val="single"/>
          </w:rPr>
          <w:t>MPJI-Cr 4:18.5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(POSSESSION OF RE-ENCODER OR SKIMMING DEVICE)</w:t>
      </w:r>
    </w:p>
    <w:p w:rsidR="004729FB" w:rsidRDefault="004729FB" w:rsidP="004729FB">
      <w:pPr>
        <w:keepNext/>
        <w:spacing w:before="240" w:line="340" w:lineRule="atLeast"/>
      </w:pPr>
      <w:r>
        <w:br/>
      </w:r>
      <w:r>
        <w:rPr>
          <w:rFonts w:ascii="Arial" w:eastAsia="Arial" w:hAnsi="Arial" w:cs="Arial"/>
          <w:b/>
          <w:color w:val="000000"/>
          <w:sz w:val="28"/>
        </w:rPr>
        <w:t>4:18.5Identity Fraud (Possession of Re-Encoder or Skimming Device)</w:t>
      </w:r>
    </w:p>
    <w:p w:rsidR="004729FB" w:rsidRDefault="004729FB" w:rsidP="004729FB">
      <w:pPr>
        <w:spacing w:line="60" w:lineRule="exact"/>
      </w:pPr>
      <w:r>
        <w:pict>
          <v:line id="_x0000_s1289" style="position:absolute;z-index:2519152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willfully, and with fraudulent intent [possessed or obtained] [helped another to possess or obtain] a [re-encoder] [skimming device];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for the unauthorized use, sale, or transfer of personal identifying information or a payment device number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["Re-encoder" means an electronic device that places encoded personal identifying information or a payment device number from the magnetic strip or stripe of a credit card onto the magnetic strip or stripe of a different credit card or any electronic medium that allows such a transaction to occur.]</w:t>
      </w:r>
    </w:p>
    <w:p w:rsidR="004729FB" w:rsidRDefault="004729FB" w:rsidP="004729FB">
      <w:pPr>
        <w:spacing w:before="200" w:line="260" w:lineRule="atLeast"/>
        <w:jc w:val="both"/>
      </w:pPr>
      <w:r>
        <w:rPr>
          <w:rFonts w:ascii="Arial" w:eastAsia="Arial" w:hAnsi="Arial" w:cs="Arial"/>
          <w:b/>
          <w:color w:val="000000"/>
          <w:sz w:val="20"/>
        </w:rPr>
        <w:t>["Skimming device" means a scanner, skimmer, reader, or any other electronic device that is used to access, read, scan, obtain, memorize, or store, temporarily or permanently, personal identifying information or a payment device number encoded on the magnetic strip or stripe of a credit card.]</w:t>
      </w:r>
    </w:p>
    <w:p w:rsidR="004729FB" w:rsidRDefault="004729FB" w:rsidP="004729FB">
      <w:pPr>
        <w:spacing w:before="200" w:line="260" w:lineRule="atLeast"/>
        <w:jc w:val="both"/>
      </w:pPr>
      <w:r>
        <w:rPr>
          <w:rFonts w:ascii="Arial" w:eastAsia="Arial" w:hAnsi="Arial" w:cs="Arial"/>
          <w:b/>
          <w:color w:val="000000"/>
          <w:sz w:val="20"/>
        </w:rPr>
        <w:t>["Personal identifying information" means (</w:t>
      </w:r>
      <w:r>
        <w:rPr>
          <w:rFonts w:ascii="Arial" w:eastAsia="Arial" w:hAnsi="Arial" w:cs="Arial"/>
          <w:b/>
          <w:color w:val="000000"/>
          <w:sz w:val="20"/>
          <w:u w:val="single"/>
        </w:rPr>
        <w:t>insert relevant items from MD. CODE ANN., CRIMINAL LAW II § 8-301(a)(6)(i)</w:t>
      </w:r>
      <w:r>
        <w:rPr>
          <w:rFonts w:ascii="Arial" w:eastAsia="Arial" w:hAnsi="Arial" w:cs="Arial"/>
          <w:b/>
          <w:color w:val="000000"/>
          <w:sz w:val="20"/>
        </w:rPr>
        <w:t>). "Personal identifying information" may be derived from any of these items, alone or in conjunction with any other information to identify a specific natural or fictitious individual.]</w:t>
      </w:r>
    </w:p>
    <w:p w:rsidR="004729FB" w:rsidRDefault="004729FB" w:rsidP="004729FB">
      <w:pPr>
        <w:spacing w:before="200" w:line="260" w:lineRule="atLeast"/>
        <w:jc w:val="both"/>
      </w:pPr>
      <w:r>
        <w:rPr>
          <w:rFonts w:ascii="Arial" w:eastAsia="Arial" w:hAnsi="Arial" w:cs="Arial"/>
          <w:b/>
          <w:color w:val="000000"/>
          <w:sz w:val="20"/>
        </w:rPr>
        <w:t>["Payment device number" means a code, account number, or other means of account access, other than a check, draft, or similar payment instrument, that can be used to obtain money, goods, services, or anything of value, or for purposes of initiating a transfer of funds.]</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299" style="position:absolute;z-index:25192550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4:18.1; MPJI-Cr 4:18.2; MPJI-Cr 4:18.3; MPJI-Cr 4:18.4; MPJI-Cr 4:18.6.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9" style="position:absolute;left:0;text-align:left;z-index:25193574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6" name="Picture 9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64" w:history="1">
        <w:r>
          <w:rPr>
            <w:rFonts w:ascii="Arial" w:eastAsia="Arial" w:hAnsi="Arial" w:cs="Arial"/>
            <w:b/>
            <w:bCs/>
            <w:i/>
            <w:color w:val="0077CC"/>
            <w:kern w:val="32"/>
            <w:sz w:val="28"/>
            <w:szCs w:val="32"/>
            <w:u w:val="single"/>
          </w:rPr>
          <w:t>MPJI-Cr 4:18.6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IDENTITY FRAUD (REPRESENTATION WITHOUT AUTHORIZATION)</w:t>
      </w:r>
    </w:p>
    <w:p w:rsidR="004729FB" w:rsidRDefault="004729FB" w:rsidP="004729FB">
      <w:pPr>
        <w:keepNext/>
        <w:spacing w:before="240" w:line="340" w:lineRule="atLeast"/>
      </w:pPr>
      <w:r>
        <w:br/>
      </w:r>
      <w:r>
        <w:rPr>
          <w:rFonts w:ascii="Arial" w:eastAsia="Arial" w:hAnsi="Arial" w:cs="Arial"/>
          <w:b/>
          <w:color w:val="000000"/>
          <w:sz w:val="28"/>
        </w:rPr>
        <w:t>4:18.6Identity Fraud (Representation Without Authorization)</w:t>
      </w:r>
    </w:p>
    <w:p w:rsidR="004729FB" w:rsidRDefault="004729FB" w:rsidP="004729FB">
      <w:pPr>
        <w:spacing w:line="60" w:lineRule="exact"/>
      </w:pPr>
      <w:r>
        <w:pict>
          <v:line id="_x0000_s1290" style="position:absolute;z-index:2519162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identity fraud. In order to convict the defendant of identity fraud,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and willfully claimed to represent another person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without the knowledge and consent of that person; and</w:t>
      </w:r>
    </w:p>
    <w:p w:rsidR="004729FB" w:rsidRDefault="004729FB" w:rsidP="004729FB">
      <w:pPr>
        <w:spacing w:before="200" w:line="260" w:lineRule="atLeast"/>
        <w:ind w:left="400"/>
        <w:jc w:val="both"/>
      </w:pPr>
      <w:r>
        <w:rPr>
          <w:rFonts w:ascii="Arial" w:eastAsia="Arial" w:hAnsi="Arial" w:cs="Arial"/>
          <w:b/>
          <w:color w:val="000000"/>
          <w:sz w:val="20"/>
        </w:rPr>
        <w:t>(3) that the defendant intended to take an action to induce another person to provide [personal identifying information] [a payment device number]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["Personal identifying information" means (</w:t>
      </w:r>
      <w:r>
        <w:rPr>
          <w:rFonts w:ascii="Arial" w:eastAsia="Arial" w:hAnsi="Arial" w:cs="Arial"/>
          <w:b/>
          <w:color w:val="000000"/>
          <w:sz w:val="20"/>
          <w:u w:val="single"/>
        </w:rPr>
        <w:t>insert relevant items from MD. CODE ANN., CRIMINAL LAW II § 8-301(a)(6)(i)</w:t>
      </w:r>
      <w:r>
        <w:rPr>
          <w:rFonts w:ascii="Arial" w:eastAsia="Arial" w:hAnsi="Arial" w:cs="Arial"/>
          <w:b/>
          <w:color w:val="000000"/>
          <w:sz w:val="20"/>
        </w:rPr>
        <w:t>). "Personal identifying information" may be derived from any of these items, alone or in conjunction with any other information to identify a specific natural or fictitious individual.]</w:t>
      </w:r>
    </w:p>
    <w:p w:rsidR="004729FB" w:rsidRDefault="004729FB" w:rsidP="004729FB">
      <w:pPr>
        <w:spacing w:before="200" w:line="260" w:lineRule="atLeast"/>
        <w:jc w:val="both"/>
      </w:pPr>
      <w:r>
        <w:rPr>
          <w:rFonts w:ascii="Arial" w:eastAsia="Arial" w:hAnsi="Arial" w:cs="Arial"/>
          <w:b/>
          <w:color w:val="000000"/>
          <w:sz w:val="20"/>
        </w:rPr>
        <w:t>["Payment device number" means a code, account number, or other means of account access, other than a check, draft, or similar payment instrument, that can be used to obtain money, goods, services, or anything of value, or for purposes of initiating a transfer of funds.]</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00" style="position:absolute;z-index:25192652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4:18.1, MPJI-Cr 4:18.2, MPJI-Cr 4:18.3, MPJI-Cr 4:18.4, MPJI-Cr 4:18.5.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10" style="position:absolute;left:0;text-align:left;z-index:25193676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5" name="Picture 9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71" w:history="1">
        <w:r>
          <w:rPr>
            <w:rFonts w:ascii="Arial" w:eastAsia="Arial" w:hAnsi="Arial" w:cs="Arial"/>
            <w:b/>
            <w:bCs/>
            <w:i/>
            <w:color w:val="0077CC"/>
            <w:kern w:val="32"/>
            <w:sz w:val="28"/>
            <w:szCs w:val="32"/>
            <w:u w:val="single"/>
          </w:rPr>
          <w:t>MPJI-Cr 4:18.7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INDECENT EXPOSURE</w:t>
      </w:r>
    </w:p>
    <w:p w:rsidR="004729FB" w:rsidRDefault="004729FB" w:rsidP="004729FB">
      <w:pPr>
        <w:keepNext/>
        <w:spacing w:before="240" w:line="340" w:lineRule="atLeast"/>
      </w:pPr>
      <w:r>
        <w:br/>
      </w:r>
      <w:r>
        <w:rPr>
          <w:rFonts w:ascii="Arial" w:eastAsia="Arial" w:hAnsi="Arial" w:cs="Arial"/>
          <w:b/>
          <w:color w:val="000000"/>
          <w:sz w:val="28"/>
        </w:rPr>
        <w:t>4:18.7Indecent Exposure</w:t>
      </w:r>
    </w:p>
    <w:p w:rsidR="004729FB" w:rsidRDefault="004729FB" w:rsidP="004729FB">
      <w:pPr>
        <w:spacing w:line="60" w:lineRule="exact"/>
      </w:pPr>
      <w:r>
        <w:pict>
          <v:line id="_x0000_s1291" style="position:absolute;z-index:2519173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indecent exposure. In order to convict the defendant of indecent exposure,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expose a private part of [his] [her] body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did so in a public place; and</w:t>
      </w:r>
    </w:p>
    <w:p w:rsidR="004729FB" w:rsidRDefault="004729FB" w:rsidP="004729FB">
      <w:pPr>
        <w:spacing w:before="200" w:line="260" w:lineRule="atLeast"/>
        <w:ind w:left="400"/>
        <w:jc w:val="both"/>
      </w:pPr>
      <w:r>
        <w:rPr>
          <w:rFonts w:ascii="Arial" w:eastAsia="Arial" w:hAnsi="Arial" w:cs="Arial"/>
          <w:b/>
          <w:color w:val="000000"/>
          <w:sz w:val="20"/>
        </w:rPr>
        <w:t>(3) that the defendant did so intentionally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public place is one where a member of the public could be present or where the defendant knew or reasonably should have known that [he] [she] could be observed by a member of the public. It is not necessary that any specific member of the public actually observe the defendant or that the defendant intend a member of the public to see [him] [her]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In Maryland, indecent exposure remains a common law offense. </w:t>
            </w:r>
            <w:r>
              <w:rPr>
                <w:rFonts w:ascii="Arial" w:eastAsia="Arial" w:hAnsi="Arial" w:cs="Arial"/>
                <w:i/>
                <w:color w:val="000000"/>
                <w:sz w:val="20"/>
              </w:rPr>
              <w:t xml:space="preserve">See </w:t>
            </w:r>
            <w:hyperlink r:id="rId1472" w:history="1">
              <w:r>
                <w:rPr>
                  <w:rFonts w:ascii="Arial" w:eastAsia="Arial" w:hAnsi="Arial" w:cs="Arial"/>
                  <w:i/>
                  <w:color w:val="0077CC"/>
                  <w:sz w:val="20"/>
                  <w:u w:val="single"/>
                </w:rPr>
                <w:t>Wisneski v. State, 398 Md. 578, 589, 921 A.2d 273, 279 (2007).</w:t>
              </w:r>
            </w:hyperlink>
            <w:r>
              <w:rPr>
                <w:rFonts w:ascii="Arial" w:eastAsia="Arial" w:hAnsi="Arial" w:cs="Arial"/>
                <w:color w:val="000000"/>
                <w:sz w:val="20"/>
              </w:rPr>
              <w:t xml:space="preserve"> However, the penalty upon conviction is statutorily prescribed. MD. CODE ANN., CRIMINAL LAW II § 11-107 (2012 &amp; Supp. 2018) ("A person convicted of indecent exposure is guilty of a misdemeanor and is subject to imprisonment not exceeding 3 years or a fine not exceeding $ 1,000 or both."). The three-element test for the crime derives from Maryland case law as it has interpreted earlier English authorities. </w:t>
            </w:r>
            <w:r>
              <w:rPr>
                <w:rFonts w:ascii="Arial" w:eastAsia="Arial" w:hAnsi="Arial" w:cs="Arial"/>
                <w:i/>
                <w:color w:val="000000"/>
                <w:sz w:val="20"/>
              </w:rPr>
              <w:t xml:space="preserve">See, e.g., </w:t>
            </w:r>
            <w:hyperlink r:id="rId1473" w:history="1">
              <w:r>
                <w:rPr>
                  <w:rFonts w:ascii="Arial" w:eastAsia="Arial" w:hAnsi="Arial" w:cs="Arial"/>
                  <w:i/>
                  <w:color w:val="0077CC"/>
                  <w:sz w:val="20"/>
                  <w:u w:val="single"/>
                </w:rPr>
                <w:t>Wisneski, 921 A.2d at 280-81</w:t>
              </w:r>
            </w:hyperlink>
            <w:r>
              <w:rPr>
                <w:rFonts w:ascii="Arial" w:eastAsia="Arial" w:hAnsi="Arial" w:cs="Arial"/>
                <w:color w:val="000000"/>
                <w:sz w:val="20"/>
              </w:rPr>
              <w:t xml:space="preserve"> (quoting </w:t>
            </w:r>
            <w:hyperlink r:id="rId1474" w:history="1">
              <w:r>
                <w:rPr>
                  <w:rFonts w:ascii="Arial" w:eastAsia="Arial" w:hAnsi="Arial" w:cs="Arial"/>
                  <w:i/>
                  <w:color w:val="0077CC"/>
                  <w:sz w:val="20"/>
                  <w:u w:val="single"/>
                </w:rPr>
                <w:t>Dill v. State, 24 Md. App. 695, 698-700, 332 A.2d 690 (1975)).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While further definition of "public place" and 'intentionally" is provided, the instruction does not explicitly define "private part." This is because, as of June 2018, there is not binding precedent directly interpreting the concept. </w:t>
            </w:r>
            <w:r>
              <w:rPr>
                <w:rFonts w:ascii="Arial" w:eastAsia="Arial" w:hAnsi="Arial" w:cs="Arial"/>
                <w:i/>
                <w:color w:val="000000"/>
                <w:sz w:val="20"/>
              </w:rPr>
              <w:t xml:space="preserve">Cf. </w:t>
            </w:r>
            <w:hyperlink r:id="rId1475" w:history="1">
              <w:r>
                <w:rPr>
                  <w:rFonts w:ascii="Arial" w:eastAsia="Arial" w:hAnsi="Arial" w:cs="Arial"/>
                  <w:i/>
                  <w:color w:val="0077CC"/>
                  <w:sz w:val="20"/>
                  <w:u w:val="single"/>
                </w:rPr>
                <w:t>Duran v. State, 180 Md. App. 65, 86, 948 A.2d 139, 151 (2008)</w:t>
              </w:r>
            </w:hyperlink>
            <w:r>
              <w:rPr>
                <w:rFonts w:ascii="Arial" w:eastAsia="Arial" w:hAnsi="Arial" w:cs="Arial"/>
                <w:color w:val="000000"/>
                <w:sz w:val="20"/>
              </w:rPr>
              <w:t xml:space="preserve"> (noting the crime includes "innumerable variety of offenses ranging from 'reprehensible to the arguable innocuous'" (quoting </w:t>
            </w:r>
            <w:hyperlink r:id="rId1476" w:history="1">
              <w:r>
                <w:rPr>
                  <w:rFonts w:ascii="Arial" w:eastAsia="Arial" w:hAnsi="Arial" w:cs="Arial"/>
                  <w:i/>
                  <w:color w:val="0077CC"/>
                  <w:sz w:val="20"/>
                  <w:u w:val="single"/>
                </w:rPr>
                <w:t>Ricketts v. State, 291 Md. 701, 709, 436 A.2d 906 (1981)).</w:t>
              </w:r>
            </w:hyperlink>
            <w:r>
              <w:rPr>
                <w:rFonts w:ascii="Arial" w:eastAsia="Arial" w:hAnsi="Arial" w:cs="Arial"/>
                <w:color w:val="000000"/>
                <w:sz w:val="20"/>
              </w:rPr>
              <w:t xml:space="preserve"> Though exposure of genitalia would certainly meet this element, Maryland courts have not decided whether breasts or buttocks would similarly do so. Until the case law develops, the committee recommends leaving interpretation of the term to the jury.</w:t>
            </w:r>
          </w:p>
          <w:p w:rsidR="004729FB" w:rsidRDefault="004729FB" w:rsidP="00713DA5">
            <w:pPr>
              <w:spacing w:before="240" w:line="260" w:lineRule="atLeast"/>
              <w:ind w:left="60" w:right="360"/>
              <w:jc w:val="both"/>
            </w:pPr>
            <w:r>
              <w:rPr>
                <w:rFonts w:ascii="Arial" w:eastAsia="Arial" w:hAnsi="Arial" w:cs="Arial"/>
                <w:color w:val="000000"/>
                <w:sz w:val="20"/>
              </w:rPr>
              <w:t xml:space="preserve">On the other hand, the meaning of the "public place" element is clear. It is well established that "public" is anywhere that a reasonable person "knows or should know that his [or her] act will be open to the </w:t>
            </w:r>
            <w:r>
              <w:rPr>
                <w:rFonts w:ascii="Arial" w:eastAsia="Arial" w:hAnsi="Arial" w:cs="Arial"/>
                <w:color w:val="000000"/>
                <w:sz w:val="20"/>
              </w:rPr>
              <w:lastRenderedPageBreak/>
              <w:t xml:space="preserve">observation of others." </w:t>
            </w:r>
            <w:hyperlink r:id="rId1477" w:history="1">
              <w:r>
                <w:rPr>
                  <w:rFonts w:ascii="Arial" w:eastAsia="Arial" w:hAnsi="Arial" w:cs="Arial"/>
                  <w:i/>
                  <w:color w:val="0077CC"/>
                  <w:sz w:val="20"/>
                  <w:u w:val="single"/>
                </w:rPr>
                <w:t>Wisneski, 921 A.2d at 288</w:t>
              </w:r>
            </w:hyperlink>
            <w:r>
              <w:rPr>
                <w:rFonts w:ascii="Arial" w:eastAsia="Arial" w:hAnsi="Arial" w:cs="Arial"/>
                <w:color w:val="000000"/>
                <w:sz w:val="20"/>
              </w:rPr>
              <w:t xml:space="preserve"> (citing </w:t>
            </w:r>
            <w:hyperlink r:id="rId1478" w:history="1">
              <w:r>
                <w:rPr>
                  <w:rFonts w:ascii="Arial" w:eastAsia="Arial" w:hAnsi="Arial" w:cs="Arial"/>
                  <w:i/>
                  <w:color w:val="0077CC"/>
                  <w:sz w:val="20"/>
                  <w:u w:val="single"/>
                </w:rPr>
                <w:t>Messina v. State, 212 Md. 602, 130 A.2d 578 (1957)).</w:t>
              </w:r>
            </w:hyperlink>
            <w:r>
              <w:rPr>
                <w:rFonts w:ascii="Arial" w:eastAsia="Arial" w:hAnsi="Arial" w:cs="Arial"/>
                <w:color w:val="000000"/>
                <w:sz w:val="20"/>
              </w:rPr>
              <w:t xml:space="preserve"> This means that indecent exposure can occur in private residences. Indeed, the </w:t>
            </w:r>
            <w:r>
              <w:rPr>
                <w:rFonts w:ascii="Arial" w:eastAsia="Arial" w:hAnsi="Arial" w:cs="Arial"/>
                <w:i/>
                <w:color w:val="000000"/>
                <w:sz w:val="20"/>
              </w:rPr>
              <w:t>Wisneski</w:t>
            </w:r>
            <w:r>
              <w:rPr>
                <w:rFonts w:ascii="Arial" w:eastAsia="Arial" w:hAnsi="Arial" w:cs="Arial"/>
                <w:color w:val="000000"/>
                <w:sz w:val="20"/>
              </w:rPr>
              <w:t xml:space="preserve"> court upheld the conviction of a man who had exposed his genitalia in a private residence. </w:t>
            </w:r>
            <w:hyperlink r:id="rId1479" w:history="1">
              <w:r>
                <w:rPr>
                  <w:rFonts w:ascii="Arial" w:eastAsia="Arial" w:hAnsi="Arial" w:cs="Arial"/>
                  <w:i/>
                  <w:color w:val="0077CC"/>
                  <w:sz w:val="20"/>
                  <w:u w:val="single"/>
                </w:rPr>
                <w:t>Wisneski, 921 A.2d at 288</w:t>
              </w:r>
            </w:hyperlink>
            <w:r>
              <w:rPr>
                <w:rFonts w:ascii="Arial" w:eastAsia="Arial" w:hAnsi="Arial" w:cs="Arial"/>
                <w:color w:val="000000"/>
                <w:sz w:val="20"/>
              </w:rPr>
              <w:t xml:space="preserve"> (emphasizing that "our definition of the 'public' element of the offense [], the determining factor is not the actual locale of the conduct, but the circumstances of the viewing."). Though unlikely as a practical matter, conviction of the crime is possible even when no specific member of the public observed the indecent exposure. </w:t>
            </w:r>
            <w:r>
              <w:rPr>
                <w:rFonts w:ascii="Arial" w:eastAsia="Arial" w:hAnsi="Arial" w:cs="Arial"/>
                <w:i/>
                <w:color w:val="000000"/>
                <w:sz w:val="20"/>
              </w:rPr>
              <w:t xml:space="preserve">See </w:t>
            </w:r>
            <w:r>
              <w:rPr>
                <w:rFonts w:ascii="Arial" w:eastAsia="Arial" w:hAnsi="Arial" w:cs="Arial"/>
                <w:color w:val="000000"/>
                <w:sz w:val="20"/>
              </w:rPr>
              <w:t xml:space="preserve">id. at 597 (citing </w:t>
            </w:r>
            <w:hyperlink r:id="rId1480" w:history="1">
              <w:r>
                <w:rPr>
                  <w:rFonts w:ascii="Arial" w:eastAsia="Arial" w:hAnsi="Arial" w:cs="Arial"/>
                  <w:i/>
                  <w:color w:val="0077CC"/>
                  <w:sz w:val="20"/>
                  <w:u w:val="single"/>
                </w:rPr>
                <w:t>State v. King, 288 N.C. 711, 151 S.E.2d 566, 567 (1966)).</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Indecent exposure is a general-intent crime. </w:t>
            </w:r>
            <w:hyperlink r:id="rId1481" w:history="1">
              <w:r>
                <w:rPr>
                  <w:rFonts w:ascii="Arial" w:eastAsia="Arial" w:hAnsi="Arial" w:cs="Arial"/>
                  <w:i/>
                  <w:color w:val="0077CC"/>
                  <w:sz w:val="20"/>
                  <w:u w:val="single"/>
                </w:rPr>
                <w:t>Ricketts, 291 Md. at 713.</w:t>
              </w:r>
            </w:hyperlink>
            <w:r>
              <w:rPr>
                <w:rFonts w:ascii="Arial" w:eastAsia="Arial" w:hAnsi="Arial" w:cs="Arial"/>
                <w:color w:val="000000"/>
                <w:sz w:val="20"/>
              </w:rPr>
              <w:t xml:space="preserve"> It is therefore not required that the defendant specifically intend public exposure. </w:t>
            </w:r>
            <w:r>
              <w:rPr>
                <w:rFonts w:ascii="Arial" w:eastAsia="Arial" w:hAnsi="Arial" w:cs="Arial"/>
                <w:i/>
                <w:color w:val="000000"/>
                <w:sz w:val="20"/>
              </w:rPr>
              <w:t>See id.</w:t>
            </w:r>
            <w:r>
              <w:rPr>
                <w:rFonts w:ascii="Arial" w:eastAsia="Arial" w:hAnsi="Arial" w:cs="Arial"/>
                <w:color w:val="000000"/>
                <w:sz w:val="20"/>
              </w:rPr>
              <w:t xml:space="preserve"> (noting that the crime "includes within its scope… acts that are reckless or negligent.").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1" style="position:absolute;left:0;text-align:left;z-index:2519275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4" name="Picture 9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488" w:history="1">
        <w:r>
          <w:rPr>
            <w:rFonts w:ascii="Arial" w:eastAsia="Arial" w:hAnsi="Arial" w:cs="Arial"/>
            <w:b/>
            <w:bCs/>
            <w:i/>
            <w:color w:val="0077CC"/>
            <w:kern w:val="32"/>
            <w:sz w:val="28"/>
            <w:szCs w:val="32"/>
            <w:u w:val="single"/>
          </w:rPr>
          <w:t>MPJI-Cr 4:19</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KIDNAPPING</w:t>
      </w:r>
    </w:p>
    <w:p w:rsidR="004729FB" w:rsidRDefault="004729FB" w:rsidP="004729FB">
      <w:pPr>
        <w:keepNext/>
        <w:spacing w:before="240" w:line="340" w:lineRule="atLeast"/>
      </w:pPr>
      <w:r>
        <w:br/>
      </w:r>
      <w:r>
        <w:rPr>
          <w:rFonts w:ascii="Arial" w:eastAsia="Arial" w:hAnsi="Arial" w:cs="Arial"/>
          <w:b/>
          <w:color w:val="000000"/>
          <w:sz w:val="28"/>
        </w:rPr>
        <w:t>4:19Kidnapping</w:t>
      </w:r>
    </w:p>
    <w:p w:rsidR="004729FB" w:rsidRDefault="004729FB" w:rsidP="004729FB">
      <w:pPr>
        <w:spacing w:line="60" w:lineRule="exact"/>
      </w:pPr>
      <w:r>
        <w:pict>
          <v:line id="_x0000_s1292" style="position:absolute;z-index:2519183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kidnapping. Kidnapping is the confinement or detention of a person against that person's will, accomplished by [force or threat of force] [deception], coupled with the movement of that person from one place to another with the intent to carry or conceal that person. In order to convict the defendant of kidnapping,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[confined] [detained] (</w:t>
      </w:r>
      <w:r>
        <w:rPr>
          <w:rFonts w:ascii="Arial" w:eastAsia="Arial" w:hAnsi="Arial" w:cs="Arial"/>
          <w:b/>
          <w:color w:val="000000"/>
          <w:sz w:val="20"/>
          <w:u w:val="single"/>
        </w:rPr>
        <w:t>name</w:t>
      </w:r>
      <w:r>
        <w:rPr>
          <w:rFonts w:ascii="Arial" w:eastAsia="Arial" w:hAnsi="Arial" w:cs="Arial"/>
          <w:b/>
          <w:color w:val="000000"/>
          <w:sz w:val="20"/>
        </w:rPr>
        <w:t>) against [his] [her] will [and without legal justification]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moved (</w:t>
      </w:r>
      <w:r>
        <w:rPr>
          <w:rFonts w:ascii="Arial" w:eastAsia="Arial" w:hAnsi="Arial" w:cs="Arial"/>
          <w:b/>
          <w:color w:val="000000"/>
          <w:sz w:val="20"/>
          <w:u w:val="single"/>
        </w:rPr>
        <w:t>name</w:t>
      </w:r>
      <w:r>
        <w:rPr>
          <w:rFonts w:ascii="Arial" w:eastAsia="Arial" w:hAnsi="Arial" w:cs="Arial"/>
          <w:b/>
          <w:color w:val="000000"/>
          <w:sz w:val="20"/>
        </w:rPr>
        <w:t>) for more than a slight distance from one place to another against [his] [her] will [and without legal justification]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used [force or threat of force] [deception] to both [confine] [detain] and move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the defendant moved (</w:t>
      </w:r>
      <w:r>
        <w:rPr>
          <w:rFonts w:ascii="Arial" w:eastAsia="Arial" w:hAnsi="Arial" w:cs="Arial"/>
          <w:b/>
          <w:color w:val="000000"/>
          <w:sz w:val="20"/>
          <w:u w:val="single"/>
        </w:rPr>
        <w:t>name</w:t>
      </w:r>
      <w:r>
        <w:rPr>
          <w:rFonts w:ascii="Arial" w:eastAsia="Arial" w:hAnsi="Arial" w:cs="Arial"/>
          <w:b/>
          <w:color w:val="000000"/>
          <w:sz w:val="20"/>
        </w:rPr>
        <w:t>) with the intent to carry or conceal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4:13 (False Imprisonment).</w:t>
            </w:r>
          </w:p>
          <w:p w:rsidR="004729FB" w:rsidRDefault="004729FB" w:rsidP="00713DA5">
            <w:pPr>
              <w:spacing w:before="200" w:line="260" w:lineRule="atLeast"/>
              <w:ind w:left="60" w:right="360"/>
              <w:jc w:val="both"/>
            </w:pPr>
            <w:r>
              <w:rPr>
                <w:rFonts w:ascii="Arial" w:eastAsia="Arial" w:hAnsi="Arial" w:cs="Arial"/>
                <w:color w:val="000000"/>
                <w:sz w:val="20"/>
              </w:rPr>
              <w:t xml:space="preserve">Common law kidnapping is false imprisonment (the unlawful detention against a person's will), aggravated by asportation out of the country. </w:t>
            </w:r>
            <w:hyperlink r:id="rId1489" w:history="1">
              <w:r>
                <w:rPr>
                  <w:rFonts w:ascii="Arial" w:eastAsia="Arial" w:hAnsi="Arial" w:cs="Arial"/>
                  <w:i/>
                  <w:color w:val="0077CC"/>
                  <w:sz w:val="20"/>
                  <w:u w:val="single"/>
                </w:rPr>
                <w:t>Tate v. State, 32 Md. App. 613, 615, 363 A.2d 622, 624,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278 Md. 736 (1976).</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2 </w:t>
            </w:r>
            <w:r>
              <w:rPr>
                <w:rFonts w:ascii="Arial" w:eastAsia="Arial" w:hAnsi="Arial" w:cs="Arial"/>
                <w:i/>
                <w:color w:val="000000"/>
                <w:sz w:val="20"/>
              </w:rPr>
              <w:t>et seq.</w:t>
            </w:r>
            <w:r>
              <w:rPr>
                <w:rFonts w:ascii="Arial" w:eastAsia="Arial" w:hAnsi="Arial" w:cs="Arial"/>
                <w:color w:val="000000"/>
                <w:sz w:val="20"/>
              </w:rPr>
              <w:t>, at 37-45 (1983 &amp; Supp. 1990); ROLLIN M. PERKINS &amp; RONALD N. BOYCE, CRIMINAL LAW 229-38 (3d ed. 1982). Maryland has four kidnapping-related statutes, which together greatly expand the scope of common law kidnapping. The basic kidnapping statute provides that:</w:t>
            </w:r>
          </w:p>
          <w:p w:rsidR="004729FB" w:rsidRDefault="004729FB" w:rsidP="00713DA5">
            <w:pPr>
              <w:spacing w:before="60" w:line="260" w:lineRule="atLeast"/>
              <w:ind w:left="460" w:right="360"/>
              <w:jc w:val="both"/>
            </w:pPr>
            <w:r>
              <w:rPr>
                <w:rFonts w:ascii="Arial" w:eastAsia="Arial" w:hAnsi="Arial" w:cs="Arial"/>
                <w:color w:val="000000"/>
                <w:sz w:val="20"/>
              </w:rPr>
              <w:t>(a) A person may not, by force or fraud, carry or cause a person to be carried in or outside the State with the intent to have the person carried or concealed in or outside the State.</w:t>
            </w:r>
          </w:p>
          <w:p w:rsidR="004729FB" w:rsidRDefault="004729FB" w:rsidP="00713DA5">
            <w:pPr>
              <w:spacing w:before="60" w:line="260" w:lineRule="atLeast"/>
              <w:ind w:left="460" w:right="360"/>
              <w:jc w:val="both"/>
            </w:pPr>
            <w:r>
              <w:rPr>
                <w:rFonts w:ascii="Arial" w:eastAsia="Arial" w:hAnsi="Arial" w:cs="Arial"/>
                <w:color w:val="000000"/>
                <w:sz w:val="20"/>
              </w:rPr>
              <w:t>(b) A person who violates this section is guilty of the felony of kidnapping and on conviction is subject to imprisonment not exceeding 30 years.</w:t>
            </w:r>
          </w:p>
          <w:p w:rsidR="004729FB" w:rsidRDefault="004729FB" w:rsidP="00713DA5">
            <w:pPr>
              <w:spacing w:before="60" w:line="260" w:lineRule="atLeast"/>
              <w:ind w:left="460" w:right="360"/>
              <w:jc w:val="both"/>
            </w:pPr>
            <w:r>
              <w:rPr>
                <w:rFonts w:ascii="Arial" w:eastAsia="Arial" w:hAnsi="Arial" w:cs="Arial"/>
                <w:color w:val="000000"/>
                <w:sz w:val="20"/>
              </w:rPr>
              <w:t>(c) Kidnapping does not include the act of a parent in carrying a minor child of that parent in or outside the State.</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CRIM. LAW I § 3-502. The statute eliminates the common law requirement of asportation out of the jurisdiction. </w:t>
            </w:r>
            <w:hyperlink r:id="rId1490" w:history="1">
              <w:r>
                <w:rPr>
                  <w:rFonts w:ascii="Arial" w:eastAsia="Arial" w:hAnsi="Arial" w:cs="Arial"/>
                  <w:i/>
                  <w:color w:val="0077CC"/>
                  <w:sz w:val="20"/>
                  <w:u w:val="single"/>
                </w:rPr>
                <w:t>Hunt v. State, 12 Md. App. 286, 309- 11, 278 A.2d 637, 650-51</w:t>
              </w:r>
            </w:hyperlink>
            <w:r>
              <w:rPr>
                <w:rFonts w:ascii="Arial" w:eastAsia="Arial" w:hAnsi="Arial" w:cs="Arial"/>
                <w:color w:val="000000"/>
                <w:sz w:val="20"/>
              </w:rPr>
              <w:t xml:space="preserve"> (finding that carrying within the state, followed by carrying out of the state, is only one offense),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715 (1971).</w:t>
            </w:r>
            <w:r>
              <w:rPr>
                <w:rFonts w:ascii="Arial" w:eastAsia="Arial" w:hAnsi="Arial" w:cs="Arial"/>
                <w:color w:val="000000"/>
                <w:sz w:val="20"/>
              </w:rPr>
              <w:t xml:space="preserve"> Any amount of asportation is sufficient, provided it is committed with either an intent to carry or with an intent to conceal. </w:t>
            </w:r>
            <w:hyperlink r:id="rId1491" w:history="1">
              <w:r>
                <w:rPr>
                  <w:rFonts w:ascii="Arial" w:eastAsia="Arial" w:hAnsi="Arial" w:cs="Arial"/>
                  <w:i/>
                  <w:color w:val="0077CC"/>
                  <w:sz w:val="20"/>
                  <w:u w:val="single"/>
                </w:rPr>
                <w:t>Midgett v. State, 216 Md. 26, 39-40, 139 A.2d 209, 216 (1958);</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492" w:history="1">
              <w:r>
                <w:rPr>
                  <w:rFonts w:ascii="Arial" w:eastAsia="Arial" w:hAnsi="Arial" w:cs="Arial"/>
                  <w:i/>
                  <w:color w:val="0077CC"/>
                  <w:sz w:val="20"/>
                  <w:u w:val="single"/>
                </w:rPr>
                <w:t>Carey v. State, 54 Md. App. 448, 451-52, 458 A.2d 90, 92-93 (1983),</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493" w:history="1">
              <w:r>
                <w:rPr>
                  <w:rFonts w:ascii="Arial" w:eastAsia="Arial" w:hAnsi="Arial" w:cs="Arial"/>
                  <w:i/>
                  <w:color w:val="0077CC"/>
                  <w:sz w:val="20"/>
                  <w:u w:val="single"/>
                </w:rPr>
                <w:t>299 Md. 17, 472 A.2d 444 (1984);</w:t>
              </w:r>
            </w:hyperlink>
            <w:r>
              <w:rPr>
                <w:rFonts w:ascii="Arial" w:eastAsia="Arial" w:hAnsi="Arial" w:cs="Arial"/>
                <w:color w:val="000000"/>
                <w:sz w:val="20"/>
              </w:rPr>
              <w:t xml:space="preserve"> </w:t>
            </w:r>
            <w:hyperlink r:id="rId1494" w:history="1">
              <w:r>
                <w:rPr>
                  <w:rFonts w:ascii="Arial" w:eastAsia="Arial" w:hAnsi="Arial" w:cs="Arial"/>
                  <w:i/>
                  <w:color w:val="0077CC"/>
                  <w:sz w:val="20"/>
                  <w:u w:val="single"/>
                </w:rPr>
                <w:t>Laws v. State, 6 Md. App. 243, 249, 251 A.2d 237, 241,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255 Md. 742 (1969).</w:t>
            </w:r>
            <w:r>
              <w:rPr>
                <w:rFonts w:ascii="Arial" w:eastAsia="Arial" w:hAnsi="Arial" w:cs="Arial"/>
                <w:color w:val="000000"/>
                <w:sz w:val="20"/>
              </w:rPr>
              <w:t xml:space="preserve"> Additionally, the statute does not contain the common law requirement of an underlying assault and includes both forcible and fraudulent carrying. </w:t>
            </w:r>
            <w:hyperlink r:id="rId1495" w:history="1">
              <w:r>
                <w:rPr>
                  <w:rFonts w:ascii="Arial" w:eastAsia="Arial" w:hAnsi="Arial" w:cs="Arial"/>
                  <w:i/>
                  <w:color w:val="0077CC"/>
                  <w:sz w:val="20"/>
                  <w:u w:val="single"/>
                </w:rPr>
                <w:t>Stancil v. State, 78 Md. App. 376, 385-86, 553 A.2d 268, 272,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315 Md. 692, 556 A.2d 674 (1989);</w:t>
            </w:r>
            <w:r>
              <w:rPr>
                <w:rFonts w:ascii="Arial" w:eastAsia="Arial" w:hAnsi="Arial" w:cs="Arial"/>
                <w:color w:val="000000"/>
                <w:sz w:val="20"/>
              </w:rPr>
              <w:t xml:space="preserve"> </w:t>
            </w:r>
            <w:hyperlink r:id="rId1496" w:history="1">
              <w:r>
                <w:rPr>
                  <w:rFonts w:ascii="Arial" w:eastAsia="Arial" w:hAnsi="Arial" w:cs="Arial"/>
                  <w:i/>
                  <w:color w:val="0077CC"/>
                  <w:sz w:val="20"/>
                  <w:u w:val="single"/>
                </w:rPr>
                <w:t>Tate, 32 Md. App. at 616-17, 363 A.2d at 625.</w:t>
              </w:r>
            </w:hyperlink>
            <w:r>
              <w:rPr>
                <w:rFonts w:ascii="Arial" w:eastAsia="Arial" w:hAnsi="Arial" w:cs="Arial"/>
                <w:color w:val="000000"/>
                <w:sz w:val="20"/>
              </w:rPr>
              <w:t xml:space="preserve"> "[T]he crux of the crime of kidnapping in this jurisdiction today is false imprisonment aggravated by some measure of transportation of the victim." </w:t>
            </w:r>
            <w:hyperlink r:id="rId1497" w:history="1">
              <w:r>
                <w:rPr>
                  <w:rFonts w:ascii="Arial" w:eastAsia="Arial" w:hAnsi="Arial" w:cs="Arial"/>
                  <w:i/>
                  <w:color w:val="0077CC"/>
                  <w:sz w:val="20"/>
                  <w:u w:val="single"/>
                </w:rPr>
                <w:t>Johnson v. State, 292 Md. 405, 433, 439 A.2d 542, 558 (1982),</w:t>
              </w:r>
            </w:hyperlink>
            <w:r>
              <w:rPr>
                <w:rFonts w:ascii="Arial" w:eastAsia="Arial" w:hAnsi="Arial" w:cs="Arial"/>
                <w:color w:val="000000"/>
                <w:sz w:val="20"/>
              </w:rPr>
              <w:t xml:space="preserve"> </w:t>
            </w:r>
            <w:r>
              <w:rPr>
                <w:rFonts w:ascii="Arial" w:eastAsia="Arial" w:hAnsi="Arial" w:cs="Arial"/>
                <w:i/>
                <w:color w:val="000000"/>
                <w:sz w:val="20"/>
              </w:rPr>
              <w:t xml:space="preserve">abrogated on other grounds as recognized in </w:t>
            </w:r>
            <w:hyperlink r:id="rId1498" w:history="1">
              <w:r>
                <w:rPr>
                  <w:rFonts w:ascii="Arial" w:eastAsia="Arial" w:hAnsi="Arial" w:cs="Arial"/>
                  <w:i/>
                  <w:color w:val="0077CC"/>
                  <w:sz w:val="20"/>
                  <w:u w:val="single"/>
                </w:rPr>
                <w:t>Washington v. State, 191 Md. App. 48, 990 A.2d 549 (2010);</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499" w:history="1">
              <w:r>
                <w:rPr>
                  <w:rFonts w:ascii="Arial" w:eastAsia="Arial" w:hAnsi="Arial" w:cs="Arial"/>
                  <w:i/>
                  <w:color w:val="0077CC"/>
                  <w:sz w:val="20"/>
                  <w:u w:val="single"/>
                </w:rPr>
                <w:t>Kearney v. State, 86 Md. App. 247, 256, 586 A.2d 746, 751,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323 Md. 34, 591 A.2d 250 (1991);</w:t>
            </w:r>
            <w:r>
              <w:rPr>
                <w:rFonts w:ascii="Arial" w:eastAsia="Arial" w:hAnsi="Arial" w:cs="Arial"/>
                <w:color w:val="000000"/>
                <w:sz w:val="20"/>
              </w:rPr>
              <w:t xml:space="preserve"> </w:t>
            </w:r>
            <w:hyperlink r:id="rId1500" w:history="1">
              <w:r>
                <w:rPr>
                  <w:rFonts w:ascii="Arial" w:eastAsia="Arial" w:hAnsi="Arial" w:cs="Arial"/>
                  <w:i/>
                  <w:color w:val="0077CC"/>
                  <w:sz w:val="20"/>
                  <w:u w:val="single"/>
                </w:rPr>
                <w:t>Dean v. State, 46 Md. App. 536, 537-39, 420 A.2d 288, 289-92 (1980),</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1501" w:history="1">
              <w:r>
                <w:rPr>
                  <w:rFonts w:ascii="Arial" w:eastAsia="Arial" w:hAnsi="Arial" w:cs="Arial"/>
                  <w:i/>
                  <w:color w:val="0077CC"/>
                  <w:sz w:val="20"/>
                  <w:u w:val="single"/>
                </w:rPr>
                <w:t>Booze v. State, 111 Md. App. 208, 681 A.2d 534 (1996).</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 second kidnapping statute, CRIM. LAW I § 3-503, makes it a felony to kidnap a child under the age of sixteen; to forcibly abduct a child under the age of twelve from the child's home, place of abode, or parental control; to entice or persuade a child under the age of twelve from the child's home, place of abode, or parental control without the parent's consent; or to knowingly secrete or harbor a child under the age of twelve with the intent to keep the child from the child's parents or guardians. CRIM. LAW I § 3-503(a); </w:t>
            </w:r>
            <w:r>
              <w:rPr>
                <w:rFonts w:ascii="Arial" w:eastAsia="Arial" w:hAnsi="Arial" w:cs="Arial"/>
                <w:i/>
                <w:color w:val="000000"/>
                <w:sz w:val="20"/>
              </w:rPr>
              <w:t xml:space="preserve">see </w:t>
            </w:r>
            <w:hyperlink r:id="rId1502" w:history="1">
              <w:r>
                <w:rPr>
                  <w:rFonts w:ascii="Arial" w:eastAsia="Arial" w:hAnsi="Arial" w:cs="Arial"/>
                  <w:i/>
                  <w:color w:val="0077CC"/>
                  <w:sz w:val="20"/>
                  <w:u w:val="single"/>
                </w:rPr>
                <w:t>Stancil, 78 Md. App. at 384-85, 553 A.2d at 272-73</w:t>
              </w:r>
            </w:hyperlink>
            <w:r>
              <w:rPr>
                <w:rFonts w:ascii="Arial" w:eastAsia="Arial" w:hAnsi="Arial" w:cs="Arial"/>
                <w:color w:val="000000"/>
                <w:sz w:val="20"/>
              </w:rPr>
              <w:t xml:space="preserve"> (stating that, as with § 3-502, it is sufficient to take by force or fraud, which is established by a nonconsensual taking); </w:t>
            </w:r>
            <w:hyperlink r:id="rId1503" w:history="1">
              <w:r>
                <w:rPr>
                  <w:rFonts w:ascii="Arial" w:eastAsia="Arial" w:hAnsi="Arial" w:cs="Arial"/>
                  <w:i/>
                  <w:color w:val="0077CC"/>
                  <w:sz w:val="20"/>
                  <w:u w:val="single"/>
                </w:rPr>
                <w:t>Moore v. State, 23 Md. App. 540, 543-48, 329 A.2d 48, 50-52 (1974)</w:t>
              </w:r>
            </w:hyperlink>
            <w:r>
              <w:rPr>
                <w:rFonts w:ascii="Arial" w:eastAsia="Arial" w:hAnsi="Arial" w:cs="Arial"/>
                <w:color w:val="000000"/>
                <w:sz w:val="20"/>
              </w:rPr>
              <w:t xml:space="preserve"> (discussing the history of kidnapping in Maryland under the common law and the predecessor statutes to § 3-502 and § 3-503, and noting that § 3-503 is rarely used),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274 Md. 730 (1975).</w:t>
            </w:r>
            <w:r>
              <w:rPr>
                <w:rFonts w:ascii="Arial" w:eastAsia="Arial" w:hAnsi="Arial" w:cs="Arial"/>
                <w:color w:val="000000"/>
                <w:sz w:val="20"/>
              </w:rPr>
              <w:t xml:space="preserve"> Although kidnapping and child kidnapping are separate offenses with differing elements, the "statutory language and legislative history are silent as to the legislative intent to punish the two offenses as distinct offenses," and therefore, "when a defendant violates both § 3-503 and § 3-502 by the same conduct," the offenses merge for sentencing purposes. </w:t>
            </w:r>
            <w:hyperlink r:id="rId1504" w:history="1">
              <w:r>
                <w:rPr>
                  <w:rFonts w:ascii="Arial" w:eastAsia="Arial" w:hAnsi="Arial" w:cs="Arial"/>
                  <w:i/>
                  <w:color w:val="0077CC"/>
                  <w:sz w:val="20"/>
                  <w:u w:val="single"/>
                </w:rPr>
                <w:t>Abeokuto v. State, 391 Md. 289, 358, 893 A.2d 1018, 1058 (2006).</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 third statute, CRIM. LAW II § 11-305, makes it a misdemeanor to abduct a child under the age of sixteen, from the child's home or parental control, for the purpose of prostitution or committing a sex crime under Title 3, Subtitle 3 of the Criminal Law article. CRIM. LAW II § 11-305(a); </w:t>
            </w:r>
            <w:r>
              <w:rPr>
                <w:rFonts w:ascii="Arial" w:eastAsia="Arial" w:hAnsi="Arial" w:cs="Arial"/>
                <w:i/>
                <w:color w:val="000000"/>
                <w:sz w:val="20"/>
              </w:rPr>
              <w:t xml:space="preserve">see </w:t>
            </w:r>
            <w:hyperlink r:id="rId1505" w:history="1">
              <w:r>
                <w:rPr>
                  <w:rFonts w:ascii="Arial" w:eastAsia="Arial" w:hAnsi="Arial" w:cs="Arial"/>
                  <w:i/>
                  <w:color w:val="0077CC"/>
                  <w:sz w:val="20"/>
                  <w:u w:val="single"/>
                </w:rPr>
                <w:t>Brown v. State, 72 Md. 468, 20 A. 186 (1890).</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A fourth set of statutes, MD. CODE ANN., FAMILY LAW §§ 9-301-9-307 (2012 &amp; Supp. 2018) (hereinafter FAM. LAW § ___ ), concern relative abductions or detainments. Sections 9-304 and 9-307 make it a misdemeanor for a relative, acting with the intent to deprive the lawful custodian of custody, to either abduct or hide a child under the age of sixteen within the state. Sections 9-305 and 9-307 make any such abduction or hiding a felony when the child is taken to another state. Sections 9-304 and 9-305 prohibit detaining a lawfully obtained child for 48 hours after a demand for the child's return by the lawful custodian. Section 9-306, however, provides a defense if a court, pursuant to a petition filed within 96 hours of the abduction or refusal to return, finds that there was a clear and present danger to the health, safety, or welfare of the child. </w:t>
            </w:r>
            <w:r>
              <w:rPr>
                <w:rFonts w:ascii="Arial" w:eastAsia="Arial" w:hAnsi="Arial" w:cs="Arial"/>
                <w:i/>
                <w:color w:val="000000"/>
                <w:sz w:val="20"/>
              </w:rPr>
              <w:t>See</w:t>
            </w:r>
            <w:r>
              <w:rPr>
                <w:rFonts w:ascii="Arial" w:eastAsia="Arial" w:hAnsi="Arial" w:cs="Arial"/>
                <w:color w:val="000000"/>
                <w:sz w:val="20"/>
              </w:rPr>
              <w:t xml:space="preserve"> Allan L. Martin, Note, </w:t>
            </w:r>
            <w:r>
              <w:rPr>
                <w:rFonts w:ascii="Arial" w:eastAsia="Arial" w:hAnsi="Arial" w:cs="Arial"/>
                <w:i/>
                <w:color w:val="000000"/>
                <w:sz w:val="20"/>
              </w:rPr>
              <w:t>Child Abduction by a Relative: Maryland Enacts a Misdemeanor Offense to Deter Parental Child-Stealing</w:t>
            </w:r>
            <w:r>
              <w:rPr>
                <w:rFonts w:ascii="Arial" w:eastAsia="Arial" w:hAnsi="Arial" w:cs="Arial"/>
                <w:color w:val="000000"/>
                <w:sz w:val="20"/>
              </w:rPr>
              <w:t>, 8 U. BALT. L. REV. 609 (1979).</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lastRenderedPageBreak/>
        <w:pict>
          <v:line id="_x0000_s1302" style="position:absolute;z-index:25192857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11" style="position:absolute;left:0;text-align:left;z-index:25193779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3" name="Picture 9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512" w:history="1">
        <w:r>
          <w:rPr>
            <w:rFonts w:ascii="Arial" w:eastAsia="Arial" w:hAnsi="Arial" w:cs="Arial"/>
            <w:b/>
            <w:bCs/>
            <w:i/>
            <w:color w:val="0077CC"/>
            <w:kern w:val="32"/>
            <w:sz w:val="28"/>
            <w:szCs w:val="32"/>
            <w:u w:val="single"/>
          </w:rPr>
          <w:t>MPJI-Cr 4:19.1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KIDNAPPING (UNDERLYING CRIME)</w:t>
      </w:r>
    </w:p>
    <w:p w:rsidR="004729FB" w:rsidRDefault="004729FB" w:rsidP="004729FB">
      <w:pPr>
        <w:keepNext/>
        <w:spacing w:before="240" w:line="340" w:lineRule="atLeast"/>
      </w:pPr>
      <w:r>
        <w:br/>
      </w:r>
      <w:r>
        <w:rPr>
          <w:rFonts w:ascii="Arial" w:eastAsia="Arial" w:hAnsi="Arial" w:cs="Arial"/>
          <w:b/>
          <w:color w:val="000000"/>
          <w:sz w:val="28"/>
        </w:rPr>
        <w:t>4:19.1Kidnapping (Underlying Crime)</w:t>
      </w:r>
    </w:p>
    <w:p w:rsidR="004729FB" w:rsidRDefault="004729FB" w:rsidP="004729FB">
      <w:pPr>
        <w:spacing w:line="60" w:lineRule="exact"/>
      </w:pPr>
      <w:r>
        <w:pict>
          <v:line id="_x0000_s1293" style="position:absolute;z-index:2519193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kidnapping. Kidnapping is the confinement or detention of a person against that person's will, accomplished by [force or threat of force] [deception], coupled with the movement of that person from one place to another with the intent to carry or conceal. In order to convict the defendant of kidnapping,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[confined] [detained] (</w:t>
      </w:r>
      <w:r>
        <w:rPr>
          <w:rFonts w:ascii="Arial" w:eastAsia="Arial" w:hAnsi="Arial" w:cs="Arial"/>
          <w:b/>
          <w:color w:val="000000"/>
          <w:sz w:val="20"/>
          <w:u w:val="single"/>
        </w:rPr>
        <w:t>name</w:t>
      </w:r>
      <w:r>
        <w:rPr>
          <w:rFonts w:ascii="Arial" w:eastAsia="Arial" w:hAnsi="Arial" w:cs="Arial"/>
          <w:b/>
          <w:color w:val="000000"/>
          <w:sz w:val="20"/>
        </w:rPr>
        <w:t>) against [his] [her] will [and without legal justification]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moved (</w:t>
      </w:r>
      <w:r>
        <w:rPr>
          <w:rFonts w:ascii="Arial" w:eastAsia="Arial" w:hAnsi="Arial" w:cs="Arial"/>
          <w:b/>
          <w:color w:val="000000"/>
          <w:sz w:val="20"/>
          <w:u w:val="single"/>
        </w:rPr>
        <w:t>name</w:t>
      </w:r>
      <w:r>
        <w:rPr>
          <w:rFonts w:ascii="Arial" w:eastAsia="Arial" w:hAnsi="Arial" w:cs="Arial"/>
          <w:b/>
          <w:color w:val="000000"/>
          <w:sz w:val="20"/>
        </w:rPr>
        <w:t>) from one place to another against [his] [her] will [and without legal justification]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used [force or threat of force] [deception] to both [confine] [detain] and move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(4) that the defendant moved (</w:t>
      </w:r>
      <w:r>
        <w:rPr>
          <w:rFonts w:ascii="Arial" w:eastAsia="Arial" w:hAnsi="Arial" w:cs="Arial"/>
          <w:b/>
          <w:color w:val="000000"/>
          <w:sz w:val="20"/>
          <w:u w:val="single"/>
        </w:rPr>
        <w:t>name</w:t>
      </w:r>
      <w:r>
        <w:rPr>
          <w:rFonts w:ascii="Arial" w:eastAsia="Arial" w:hAnsi="Arial" w:cs="Arial"/>
          <w:b/>
          <w:color w:val="000000"/>
          <w:sz w:val="20"/>
        </w:rPr>
        <w:t>) with the intent to carry or conceal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movement must be for more than a slight distance. It must be more than the movement that occurs incidental to the commission of the crime of (</w:t>
      </w:r>
      <w:r>
        <w:rPr>
          <w:rFonts w:ascii="Arial" w:eastAsia="Arial" w:hAnsi="Arial" w:cs="Arial"/>
          <w:b/>
          <w:color w:val="000000"/>
          <w:sz w:val="20"/>
          <w:u w:val="single"/>
        </w:rPr>
        <w:t>underlying crime</w:t>
      </w:r>
      <w:r>
        <w:rPr>
          <w:rFonts w:ascii="Arial" w:eastAsia="Arial" w:hAnsi="Arial" w:cs="Arial"/>
          <w:b/>
          <w:color w:val="000000"/>
          <w:sz w:val="20"/>
        </w:rPr>
        <w:t>). The movement must be for some purpose independent of the crime of (</w:t>
      </w:r>
      <w:r>
        <w:rPr>
          <w:rFonts w:ascii="Arial" w:eastAsia="Arial" w:hAnsi="Arial" w:cs="Arial"/>
          <w:b/>
          <w:color w:val="000000"/>
          <w:sz w:val="20"/>
          <w:u w:val="single"/>
        </w:rPr>
        <w:t>underlying crime</w:t>
      </w:r>
      <w:r>
        <w:rPr>
          <w:rFonts w:ascii="Arial" w:eastAsia="Arial" w:hAnsi="Arial" w:cs="Arial"/>
          <w:b/>
          <w:color w:val="000000"/>
          <w:sz w:val="20"/>
        </w:rPr>
        <w:t>). In determining whether the movement of (</w:t>
      </w:r>
      <w:r>
        <w:rPr>
          <w:rFonts w:ascii="Arial" w:eastAsia="Arial" w:hAnsi="Arial" w:cs="Arial"/>
          <w:b/>
          <w:color w:val="000000"/>
          <w:sz w:val="20"/>
          <w:u w:val="single"/>
        </w:rPr>
        <w:t>name</w:t>
      </w:r>
      <w:r>
        <w:rPr>
          <w:rFonts w:ascii="Arial" w:eastAsia="Arial" w:hAnsi="Arial" w:cs="Arial"/>
          <w:b/>
          <w:color w:val="000000"/>
          <w:sz w:val="20"/>
        </w:rPr>
        <w:t>) was slight or incidental, you should consider the following factors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how long (</w:t>
      </w:r>
      <w:r>
        <w:rPr>
          <w:rFonts w:ascii="Arial" w:eastAsia="Arial" w:hAnsi="Arial" w:cs="Arial"/>
          <w:b/>
          <w:color w:val="000000"/>
          <w:sz w:val="20"/>
          <w:u w:val="single"/>
        </w:rPr>
        <w:t>name</w:t>
      </w:r>
      <w:r>
        <w:rPr>
          <w:rFonts w:ascii="Arial" w:eastAsia="Arial" w:hAnsi="Arial" w:cs="Arial"/>
          <w:b/>
          <w:color w:val="000000"/>
          <w:sz w:val="20"/>
        </w:rPr>
        <w:t>) was held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how far and where (</w:t>
      </w:r>
      <w:r>
        <w:rPr>
          <w:rFonts w:ascii="Arial" w:eastAsia="Arial" w:hAnsi="Arial" w:cs="Arial"/>
          <w:b/>
          <w:color w:val="000000"/>
          <w:sz w:val="20"/>
          <w:u w:val="single"/>
        </w:rPr>
        <w:t>name</w:t>
      </w:r>
      <w:r>
        <w:rPr>
          <w:rFonts w:ascii="Arial" w:eastAsia="Arial" w:hAnsi="Arial" w:cs="Arial"/>
          <w:b/>
          <w:color w:val="000000"/>
          <w:sz w:val="20"/>
        </w:rPr>
        <w:t>) was taken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whether the movement was greater than was necessary to commit the underlying crime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whether the movement of (</w:t>
      </w:r>
      <w:r>
        <w:rPr>
          <w:rFonts w:ascii="Arial" w:eastAsia="Arial" w:hAnsi="Arial" w:cs="Arial"/>
          <w:b/>
          <w:color w:val="000000"/>
          <w:sz w:val="20"/>
          <w:u w:val="single"/>
        </w:rPr>
        <w:t>name</w:t>
      </w:r>
      <w:r>
        <w:rPr>
          <w:rFonts w:ascii="Arial" w:eastAsia="Arial" w:hAnsi="Arial" w:cs="Arial"/>
          <w:b/>
          <w:color w:val="000000"/>
          <w:sz w:val="20"/>
        </w:rPr>
        <w:t>) was for a purpose other than to commit the underlying crime; and</w:t>
      </w:r>
    </w:p>
    <w:p w:rsidR="004729FB" w:rsidRDefault="004729FB" w:rsidP="004729FB">
      <w:pPr>
        <w:spacing w:before="200" w:line="260" w:lineRule="atLeast"/>
        <w:ind w:left="400"/>
        <w:jc w:val="both"/>
      </w:pPr>
      <w:r>
        <w:rPr>
          <w:rFonts w:ascii="Arial" w:eastAsia="Arial" w:hAnsi="Arial" w:cs="Arial"/>
          <w:b/>
          <w:color w:val="000000"/>
          <w:sz w:val="20"/>
        </w:rPr>
        <w:t>(5) whether the movement and the [confinement] [detention] substantially increased the risk of harm, beyond the risk of harm that was part of the commission of the underlying crime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4:19 (Kidnapping); MPJI-Cr 4:13 (False Imprisonment).</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In </w:t>
            </w:r>
            <w:hyperlink r:id="rId1513" w:history="1">
              <w:r>
                <w:rPr>
                  <w:rFonts w:ascii="Arial" w:eastAsia="Arial" w:hAnsi="Arial" w:cs="Arial"/>
                  <w:i/>
                  <w:color w:val="0077CC"/>
                  <w:sz w:val="20"/>
                  <w:u w:val="single"/>
                </w:rPr>
                <w:t>State v. Stouffer, 352 Md. 97, 721 A.2d 207 (1998),</w:t>
              </w:r>
            </w:hyperlink>
            <w:r>
              <w:rPr>
                <w:rFonts w:ascii="Arial" w:eastAsia="Arial" w:hAnsi="Arial" w:cs="Arial"/>
                <w:color w:val="000000"/>
                <w:sz w:val="20"/>
              </w:rPr>
              <w:t xml:space="preserve"> the Court of Appeals held that when the movement of the victim is merely incidental to another offense, it is insufficient to establish the asportation element of kidnapping. The Court adopted:</w:t>
            </w:r>
          </w:p>
          <w:p w:rsidR="004729FB" w:rsidRDefault="004729FB" w:rsidP="00713DA5">
            <w:pPr>
              <w:spacing w:before="60" w:line="260" w:lineRule="atLeast"/>
              <w:ind w:left="460" w:right="360"/>
              <w:jc w:val="both"/>
            </w:pPr>
            <w:r>
              <w:rPr>
                <w:rFonts w:ascii="Arial" w:eastAsia="Arial" w:hAnsi="Arial" w:cs="Arial"/>
                <w:color w:val="000000"/>
                <w:sz w:val="20"/>
              </w:rPr>
              <w:t>the majority approach that examines the circumstances of each case and determines from them whether the kidnapping--the intentional asportation--was merely incidental to the commission of another offense. We do not adopt, however, any specific formulation of standards for making that determination, but rather focus on those factors that seem to be central to most of the articulated guidelines, principally: How far, and where, was the victim taken? How long was the victim detained in relation to what was necessary to complete the crime? Was the movement either inherent as an element, or, as a practical matter, necessary to the commission, of the other crime? Did it have some independent purpose? Did the asportation subject the victim to any additional significant danger?</w:t>
            </w:r>
          </w:p>
          <w:p w:rsidR="004729FB" w:rsidRDefault="004729FB" w:rsidP="00713DA5">
            <w:pPr>
              <w:spacing w:before="240" w:line="260" w:lineRule="atLeast"/>
              <w:ind w:left="60" w:right="360"/>
              <w:jc w:val="both"/>
            </w:pPr>
            <w:hyperlink r:id="rId1514" w:history="1">
              <w:r>
                <w:rPr>
                  <w:rFonts w:ascii="Arial" w:eastAsia="Arial" w:hAnsi="Arial" w:cs="Arial"/>
                  <w:i/>
                  <w:color w:val="0077CC"/>
                  <w:sz w:val="20"/>
                  <w:u w:val="single"/>
                </w:rPr>
                <w:t>Id. at 113, 721 A.2d at 215;</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515" w:history="1">
              <w:r>
                <w:rPr>
                  <w:rFonts w:ascii="Arial" w:eastAsia="Arial" w:hAnsi="Arial" w:cs="Arial"/>
                  <w:i/>
                  <w:color w:val="0077CC"/>
                  <w:sz w:val="20"/>
                  <w:u w:val="single"/>
                </w:rPr>
                <w:t>McGrier v. State, 125 Md. App. 759, 726 A.2d 894</w:t>
              </w:r>
            </w:hyperlink>
            <w:r>
              <w:rPr>
                <w:rFonts w:ascii="Arial" w:eastAsia="Arial" w:hAnsi="Arial" w:cs="Arial"/>
                <w:color w:val="000000"/>
                <w:sz w:val="20"/>
              </w:rPr>
              <w:t xml:space="preserve"> (finding that the asportation of the victim down approximately seven steps and behind a wall in a stairwell to commit rape was incidental to the rape and insufficient for kidnapping),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355 Md. 613, 735 A.2d 1107 (1999);</w:t>
            </w:r>
            <w:r>
              <w:rPr>
                <w:rFonts w:ascii="Arial" w:eastAsia="Arial" w:hAnsi="Arial" w:cs="Arial"/>
                <w:color w:val="000000"/>
                <w:sz w:val="20"/>
              </w:rPr>
              <w:t xml:space="preserve"> </w:t>
            </w:r>
            <w:hyperlink r:id="rId1516" w:history="1">
              <w:r>
                <w:rPr>
                  <w:rFonts w:ascii="Arial" w:eastAsia="Arial" w:hAnsi="Arial" w:cs="Arial"/>
                  <w:i/>
                  <w:color w:val="0077CC"/>
                  <w:sz w:val="20"/>
                  <w:u w:val="single"/>
                </w:rPr>
                <w:t>Paz v. State, 125 Md. App. 729, 726 A.2d 880 (1999)</w:t>
              </w:r>
            </w:hyperlink>
            <w:r>
              <w:rPr>
                <w:rFonts w:ascii="Arial" w:eastAsia="Arial" w:hAnsi="Arial" w:cs="Arial"/>
                <w:color w:val="000000"/>
                <w:sz w:val="20"/>
              </w:rPr>
              <w:t xml:space="preserve"> (finding that dragging the victim into a nearby alley to commit rape was incidental to the rape and insufficient for kidnapping, although it did constitute the lesser included offense of false imprisonment).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3" style="position:absolute;left:0;text-align:left;z-index:2519296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2" name="Picture 9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523" w:history="1">
        <w:r>
          <w:rPr>
            <w:rFonts w:ascii="Arial" w:eastAsia="Arial" w:hAnsi="Arial" w:cs="Arial"/>
            <w:b/>
            <w:bCs/>
            <w:i/>
            <w:color w:val="0077CC"/>
            <w:kern w:val="32"/>
            <w:sz w:val="28"/>
            <w:szCs w:val="32"/>
            <w:u w:val="single"/>
          </w:rPr>
          <w:t>MPJI-Cr 4:20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MALICIOUS DESTRUCTION OF PROPERTY</w:t>
      </w:r>
    </w:p>
    <w:p w:rsidR="004729FB" w:rsidRDefault="004729FB" w:rsidP="004729FB">
      <w:pPr>
        <w:keepNext/>
        <w:spacing w:before="240" w:line="340" w:lineRule="atLeast"/>
      </w:pPr>
      <w:r>
        <w:br/>
      </w:r>
      <w:r>
        <w:rPr>
          <w:rFonts w:ascii="Arial" w:eastAsia="Arial" w:hAnsi="Arial" w:cs="Arial"/>
          <w:b/>
          <w:color w:val="000000"/>
          <w:sz w:val="28"/>
        </w:rPr>
        <w:t>4:20Malicious Destruction of Property</w:t>
      </w:r>
    </w:p>
    <w:p w:rsidR="004729FB" w:rsidRDefault="004729FB" w:rsidP="004729FB">
      <w:pPr>
        <w:spacing w:line="60" w:lineRule="exact"/>
      </w:pPr>
      <w:r>
        <w:pict>
          <v:line id="_x0000_s1294" style="position:absolute;z-index:2519203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malicious destruction of property. In order to convict the defendant of malicious destruction of property,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damaged, destroyed, or defaced someone else's property; [and]</w:t>
      </w:r>
    </w:p>
    <w:p w:rsidR="004729FB" w:rsidRDefault="004729FB" w:rsidP="004729FB">
      <w:pPr>
        <w:spacing w:before="200" w:line="260" w:lineRule="atLeast"/>
        <w:ind w:left="400"/>
        <w:jc w:val="both"/>
      </w:pPr>
      <w:r>
        <w:rPr>
          <w:rFonts w:ascii="Arial" w:eastAsia="Arial" w:hAnsi="Arial" w:cs="Arial"/>
          <w:b/>
          <w:color w:val="000000"/>
          <w:sz w:val="20"/>
        </w:rPr>
        <w:t>(2) that the defendant acted with the intent to damage, destroy, or deface that property[.] [; and]</w:t>
      </w:r>
    </w:p>
    <w:p w:rsidR="004729FB" w:rsidRDefault="004729FB" w:rsidP="004729FB">
      <w:pPr>
        <w:spacing w:before="200" w:line="260" w:lineRule="atLeast"/>
        <w:ind w:left="400"/>
        <w:jc w:val="both"/>
      </w:pPr>
      <w:r>
        <w:rPr>
          <w:rFonts w:ascii="Arial" w:eastAsia="Arial" w:hAnsi="Arial" w:cs="Arial"/>
          <w:b/>
          <w:color w:val="000000"/>
          <w:sz w:val="20"/>
        </w:rPr>
        <w:t>(3) [that the defendant acted without legal justification [.] [; and]</w:t>
      </w:r>
    </w:p>
    <w:p w:rsidR="004729FB" w:rsidRDefault="004729FB" w:rsidP="004729FB">
      <w:pPr>
        <w:spacing w:before="200" w:line="260" w:lineRule="atLeast"/>
        <w:ind w:left="400"/>
        <w:jc w:val="both"/>
      </w:pPr>
      <w:r>
        <w:rPr>
          <w:rFonts w:ascii="Arial" w:eastAsia="Arial" w:hAnsi="Arial" w:cs="Arial"/>
          <w:b/>
          <w:color w:val="000000"/>
          <w:sz w:val="20"/>
        </w:rPr>
        <w:t>[(4) that the defendant caused damage of at least $ 1,000 to the property.]</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Malicious destruction of property, also known as malicious mischief, is committed when a person willfully and maliciously destroys, injures, or defaces any real or personal property of another. CRIM. LAW I § 6-301(a). </w:t>
            </w:r>
            <w:r>
              <w:rPr>
                <w:rFonts w:ascii="Arial" w:eastAsia="Arial" w:hAnsi="Arial" w:cs="Arial"/>
                <w:i/>
                <w:color w:val="000000"/>
                <w:sz w:val="20"/>
              </w:rPr>
              <w:t>See generally</w:t>
            </w:r>
            <w:r>
              <w:rPr>
                <w:rFonts w:ascii="Arial" w:eastAsia="Arial" w:hAnsi="Arial" w:cs="Arial"/>
                <w:color w:val="000000"/>
                <w:sz w:val="20"/>
              </w:rPr>
              <w:t xml:space="preserve"> ROLLIN M. PERKINS &amp; RONALD N. BOYCE, CRIMINAL LAW 405-13 (3d ed. 1982). Proof of ownership is not required, merely proof that the property is of "another." </w:t>
            </w:r>
            <w:hyperlink r:id="rId1524" w:history="1">
              <w:r>
                <w:rPr>
                  <w:rFonts w:ascii="Arial" w:eastAsia="Arial" w:hAnsi="Arial" w:cs="Arial"/>
                  <w:i/>
                  <w:color w:val="0077CC"/>
                  <w:sz w:val="20"/>
                  <w:u w:val="single"/>
                </w:rPr>
                <w:t>Burgess v. State, 89 Md. App. 522, 540- 41, 598 A.2d 830, 839-40 (1991),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525" w:history="1">
              <w:r>
                <w:rPr>
                  <w:rFonts w:ascii="Arial" w:eastAsia="Arial" w:hAnsi="Arial" w:cs="Arial"/>
                  <w:i/>
                  <w:color w:val="0077CC"/>
                  <w:sz w:val="20"/>
                  <w:u w:val="single"/>
                </w:rPr>
                <w:t>325 Md. 619, 602 A.2d 710 (1992).</w:t>
              </w:r>
            </w:hyperlink>
            <w:r>
              <w:rPr>
                <w:rFonts w:ascii="Arial" w:eastAsia="Arial" w:hAnsi="Arial" w:cs="Arial"/>
                <w:color w:val="000000"/>
                <w:sz w:val="20"/>
              </w:rPr>
              <w:t xml:space="preserve"> The offense is a specific intent crime because malice requires an intent to harm another and willfulness requires a deliberate intent to injure another's property. </w:t>
            </w:r>
            <w:hyperlink r:id="rId1526" w:history="1">
              <w:r>
                <w:rPr>
                  <w:rFonts w:ascii="Arial" w:eastAsia="Arial" w:hAnsi="Arial" w:cs="Arial"/>
                  <w:i/>
                  <w:color w:val="0077CC"/>
                  <w:sz w:val="20"/>
                  <w:u w:val="single"/>
                </w:rPr>
                <w:t>Shell v. State, 307 Md. 46, 65-68, 512 A.2d 358, 367-69 (1986);</w:t>
              </w:r>
            </w:hyperlink>
            <w:r>
              <w:rPr>
                <w:rFonts w:ascii="Arial" w:eastAsia="Arial" w:hAnsi="Arial" w:cs="Arial"/>
                <w:color w:val="000000"/>
                <w:sz w:val="20"/>
              </w:rPr>
              <w:t xml:space="preserve"> </w:t>
            </w:r>
            <w:hyperlink r:id="rId1527" w:history="1">
              <w:r>
                <w:rPr>
                  <w:rFonts w:ascii="Arial" w:eastAsia="Arial" w:hAnsi="Arial" w:cs="Arial"/>
                  <w:i/>
                  <w:color w:val="0077CC"/>
                  <w:sz w:val="20"/>
                  <w:u w:val="single"/>
                </w:rPr>
                <w:t>Hurd v. State, 190 Md. App. 479, 495-97, 988 A.2d 1143, 1152-53</w:t>
              </w:r>
            </w:hyperlink>
            <w:r>
              <w:rPr>
                <w:rFonts w:ascii="Arial" w:eastAsia="Arial" w:hAnsi="Arial" w:cs="Arial"/>
                <w:color w:val="000000"/>
                <w:sz w:val="20"/>
              </w:rPr>
              <w:t xml:space="preserve"> (finding sufficient evidence for trial court's conclusion that the defendant acted maliciously when he shot a neighbor's dog),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415 Md. 40, 997 A.2d 790 (2010);</w:t>
            </w:r>
            <w:r>
              <w:rPr>
                <w:rFonts w:ascii="Arial" w:eastAsia="Arial" w:hAnsi="Arial" w:cs="Arial"/>
                <w:color w:val="000000"/>
                <w:sz w:val="20"/>
              </w:rPr>
              <w:t xml:space="preserve"> </w:t>
            </w:r>
            <w:hyperlink r:id="rId1528" w:history="1">
              <w:r>
                <w:rPr>
                  <w:rFonts w:ascii="Arial" w:eastAsia="Arial" w:hAnsi="Arial" w:cs="Arial"/>
                  <w:i/>
                  <w:color w:val="0077CC"/>
                  <w:sz w:val="20"/>
                  <w:u w:val="single"/>
                </w:rPr>
                <w:t>Brooks v. State, 68 Md. App. 604, 613- 15, 515 A.2d 225, 230-31 (1986),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308 Md. 382, 519 A.2d 1283 (1987);</w:t>
            </w:r>
            <w:r>
              <w:rPr>
                <w:rFonts w:ascii="Arial" w:eastAsia="Arial" w:hAnsi="Arial" w:cs="Arial"/>
                <w:color w:val="000000"/>
                <w:sz w:val="20"/>
              </w:rPr>
              <w:t xml:space="preserve"> </w:t>
            </w:r>
            <w:hyperlink r:id="rId1529" w:history="1">
              <w:r>
                <w:rPr>
                  <w:rFonts w:ascii="Arial" w:eastAsia="Arial" w:hAnsi="Arial" w:cs="Arial"/>
                  <w:i/>
                  <w:color w:val="0077CC"/>
                  <w:sz w:val="20"/>
                  <w:u w:val="single"/>
                </w:rPr>
                <w:t>Teeter v. State, 65 Md. App. 105, 110-12, 499 A.2d 503, 505-06 (1985),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305 Md. 245, 503 A.2d 253 (1986).</w:t>
            </w:r>
          </w:p>
          <w:p w:rsidR="004729FB" w:rsidRDefault="004729FB" w:rsidP="00713DA5">
            <w:pPr>
              <w:spacing w:before="240" w:line="260" w:lineRule="atLeast"/>
              <w:ind w:left="60" w:right="360"/>
              <w:jc w:val="both"/>
            </w:pPr>
            <w:r>
              <w:rPr>
                <w:rFonts w:ascii="Arial" w:eastAsia="Arial" w:hAnsi="Arial" w:cs="Arial"/>
                <w:color w:val="000000"/>
                <w:sz w:val="20"/>
              </w:rPr>
              <w:t xml:space="preserve">Malicious destruction of property is graded for purposes of sentencing based on the value of the property. Property valued less than $ 1,000 is subject to a $ 500 fine and 60 days imprisonment. CRIM. LAW I § 6-301(c). Property valued at least $ 1,000 is subject to a $ 2,500 fine and three years imprisonment. </w:t>
            </w:r>
            <w:r>
              <w:rPr>
                <w:rFonts w:ascii="Arial" w:eastAsia="Arial" w:hAnsi="Arial" w:cs="Arial"/>
                <w:i/>
                <w:color w:val="000000"/>
                <w:sz w:val="20"/>
              </w:rPr>
              <w:t>Id.</w:t>
            </w:r>
            <w:r>
              <w:rPr>
                <w:rFonts w:ascii="Arial" w:eastAsia="Arial" w:hAnsi="Arial" w:cs="Arial"/>
                <w:color w:val="000000"/>
                <w:sz w:val="20"/>
              </w:rPr>
              <w:t xml:space="preserve"> § 6-301(b). No specific value need be alleged or proven for a conviction and the lesser sentence. However, the greater sentence is impermissible, notwithstanding evidence of property valued at least $ 1,000, unless the fact finder finds such value beyond a reasonable doubt. </w:t>
            </w:r>
            <w:r>
              <w:rPr>
                <w:rFonts w:ascii="Arial" w:eastAsia="Arial" w:hAnsi="Arial" w:cs="Arial"/>
                <w:i/>
                <w:color w:val="000000"/>
                <w:sz w:val="20"/>
              </w:rPr>
              <w:t xml:space="preserve">See </w:t>
            </w:r>
            <w:hyperlink r:id="rId1530" w:history="1">
              <w:r>
                <w:rPr>
                  <w:rFonts w:ascii="Arial" w:eastAsia="Arial" w:hAnsi="Arial" w:cs="Arial"/>
                  <w:i/>
                  <w:color w:val="0077CC"/>
                  <w:sz w:val="20"/>
                  <w:u w:val="single"/>
                </w:rPr>
                <w:t>Apprendi v. New Jersey, 530 U.S. 466, 476 (2000)</w:t>
              </w:r>
            </w:hyperlink>
            <w:r>
              <w:rPr>
                <w:rFonts w:ascii="Arial" w:eastAsia="Arial" w:hAnsi="Arial" w:cs="Arial"/>
                <w:color w:val="000000"/>
                <w:sz w:val="20"/>
              </w:rPr>
              <w:t xml:space="preserve"> (holding that any factor--other than prior conviction--that increases the maximum penalty for a crime must be proven beyond a reasonable doubt); </w:t>
            </w:r>
            <w:hyperlink r:id="rId1531" w:history="1">
              <w:r>
                <w:rPr>
                  <w:rFonts w:ascii="Arial" w:eastAsia="Arial" w:hAnsi="Arial" w:cs="Arial"/>
                  <w:i/>
                  <w:color w:val="0077CC"/>
                  <w:sz w:val="20"/>
                  <w:u w:val="single"/>
                </w:rPr>
                <w:t>Spratt v. State, 315 Md. 680, 686, 556 A.2d 667, 670 (1989)</w:t>
              </w:r>
            </w:hyperlink>
            <w:r>
              <w:rPr>
                <w:rFonts w:ascii="Arial" w:eastAsia="Arial" w:hAnsi="Arial" w:cs="Arial"/>
                <w:color w:val="000000"/>
                <w:sz w:val="20"/>
              </w:rPr>
              <w:t xml:space="preserve"> </w:t>
            </w:r>
            <w:r>
              <w:rPr>
                <w:rFonts w:ascii="Arial" w:eastAsia="Arial" w:hAnsi="Arial" w:cs="Arial"/>
                <w:color w:val="000000"/>
                <w:sz w:val="20"/>
              </w:rPr>
              <w:lastRenderedPageBreak/>
              <w:t>(citing MPJI-Cr 4:20 with approval).</w:t>
            </w:r>
          </w:p>
          <w:p w:rsidR="004729FB" w:rsidRDefault="004729FB" w:rsidP="00713DA5">
            <w:pPr>
              <w:spacing w:before="200" w:line="260" w:lineRule="atLeast"/>
              <w:ind w:left="60" w:right="360"/>
              <w:jc w:val="both"/>
            </w:pPr>
            <w:r>
              <w:rPr>
                <w:rFonts w:ascii="Arial" w:eastAsia="Arial" w:hAnsi="Arial" w:cs="Arial"/>
                <w:color w:val="000000"/>
                <w:sz w:val="20"/>
              </w:rPr>
              <w:t>This instruction was updated in June 2018 to reflect the change from $ 500 to $ 1,000 in the optional fourth prong of the instruction.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4" style="position:absolute;left:0;text-align:left;z-index:2519306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1" name="Picture 9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538" w:history="1">
        <w:r>
          <w:rPr>
            <w:rFonts w:ascii="Arial" w:eastAsia="Arial" w:hAnsi="Arial" w:cs="Arial"/>
            <w:b/>
            <w:bCs/>
            <w:i/>
            <w:color w:val="0077CC"/>
            <w:kern w:val="32"/>
            <w:sz w:val="28"/>
            <w:szCs w:val="32"/>
            <w:u w:val="single"/>
          </w:rPr>
          <w:t>MPJI-Cr 4:22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MISAPPROPRIATION BY A FIDUCIARY</w:t>
      </w:r>
    </w:p>
    <w:p w:rsidR="004729FB" w:rsidRDefault="004729FB" w:rsidP="004729FB">
      <w:pPr>
        <w:keepNext/>
        <w:spacing w:before="240" w:line="340" w:lineRule="atLeast"/>
      </w:pPr>
      <w:r>
        <w:br/>
      </w:r>
      <w:r>
        <w:rPr>
          <w:rFonts w:ascii="Arial" w:eastAsia="Arial" w:hAnsi="Arial" w:cs="Arial"/>
          <w:b/>
          <w:color w:val="000000"/>
          <w:sz w:val="28"/>
        </w:rPr>
        <w:t>4:21Misappropriation by a Fiduciary</w:t>
      </w:r>
    </w:p>
    <w:p w:rsidR="004729FB" w:rsidRDefault="004729FB" w:rsidP="004729FB">
      <w:pPr>
        <w:spacing w:line="60" w:lineRule="exact"/>
      </w:pPr>
      <w:r>
        <w:pict>
          <v:line id="_x0000_s1295" style="position:absolute;z-index:25192140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misappropriation by a fiduciary.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a fiduciary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held money or a thing of value in [his] [her] fiduciary capacity; and</w:t>
      </w:r>
    </w:p>
    <w:p w:rsidR="004729FB" w:rsidRDefault="004729FB" w:rsidP="004729FB">
      <w:pPr>
        <w:spacing w:before="200" w:line="260" w:lineRule="atLeast"/>
        <w:ind w:left="400"/>
        <w:jc w:val="both"/>
      </w:pPr>
      <w:r>
        <w:rPr>
          <w:rFonts w:ascii="Arial" w:eastAsia="Arial" w:hAnsi="Arial" w:cs="Arial"/>
          <w:b/>
          <w:color w:val="000000"/>
          <w:sz w:val="20"/>
        </w:rPr>
        <w:t>(3) that the defendant intentionally used the money or thing of value for a purpose other than that for which it was intended; or</w:t>
      </w:r>
    </w:p>
    <w:p w:rsidR="004729FB" w:rsidRDefault="004729FB" w:rsidP="004729FB">
      <w:pPr>
        <w:spacing w:before="200" w:line="260" w:lineRule="atLeast"/>
        <w:ind w:left="400"/>
        <w:jc w:val="both"/>
      </w:pPr>
      <w:r>
        <w:rPr>
          <w:rFonts w:ascii="Arial" w:eastAsia="Arial" w:hAnsi="Arial" w:cs="Arial"/>
          <w:b/>
          <w:color w:val="000000"/>
          <w:sz w:val="20"/>
        </w:rPr>
        <w:t>(4) that the defendant secreted the money or thing of value with a fraudulent intent to use the money or thing of value for a purpose other than that for which it was intended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fiduciary is one who has, obtains, or receives the trust or confidence of another based on the integrity and fidelity of the fiduciary. An [executor] [administrator] [guardian] [trustee] [receiver] [</w:t>
      </w:r>
      <w:r>
        <w:rPr>
          <w:rFonts w:ascii="Arial" w:eastAsia="Arial" w:hAnsi="Arial" w:cs="Arial"/>
          <w:b/>
          <w:color w:val="000000"/>
          <w:sz w:val="20"/>
          <w:u w:val="single"/>
        </w:rPr>
        <w:t>other fiduciary</w:t>
      </w:r>
      <w:r>
        <w:rPr>
          <w:rFonts w:ascii="Arial" w:eastAsia="Arial" w:hAnsi="Arial" w:cs="Arial"/>
          <w:b/>
          <w:color w:val="000000"/>
          <w:sz w:val="20"/>
        </w:rPr>
        <w:t>] is a fiduciary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defendant acted fraudulently if [he] [she] intended to promote a personal interest of someone other than the person who entrusted [him] [her] with the [money] [(</w:t>
      </w:r>
      <w:r>
        <w:rPr>
          <w:rFonts w:ascii="Arial" w:eastAsia="Arial" w:hAnsi="Arial" w:cs="Arial"/>
          <w:b/>
          <w:color w:val="000000"/>
          <w:sz w:val="20"/>
          <w:u w:val="single"/>
        </w:rPr>
        <w:t>thing of value</w:t>
      </w:r>
      <w:r>
        <w:rPr>
          <w:rFonts w:ascii="Arial" w:eastAsia="Arial" w:hAnsi="Arial" w:cs="Arial"/>
          <w:b/>
          <w:color w:val="000000"/>
          <w:sz w:val="20"/>
        </w:rPr>
        <w:t>)]. [[It is not necessary for the State to prove that the owner of the [money] [(</w:t>
      </w:r>
      <w:r>
        <w:rPr>
          <w:rFonts w:ascii="Arial" w:eastAsia="Arial" w:hAnsi="Arial" w:cs="Arial"/>
          <w:b/>
          <w:color w:val="000000"/>
          <w:sz w:val="20"/>
          <w:u w:val="single"/>
        </w:rPr>
        <w:t>thing of value</w:t>
      </w:r>
      <w:r>
        <w:rPr>
          <w:rFonts w:ascii="Arial" w:eastAsia="Arial" w:hAnsi="Arial" w:cs="Arial"/>
          <w:b/>
          <w:color w:val="000000"/>
          <w:sz w:val="20"/>
        </w:rPr>
        <w:t>)] actually lost or that the defendant actually gained as a result of the misappropriation.]]</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7-113(a) prohibits a fiduciary from fraudulently and willfully misappropriating anything of value held in a fiduciary capacity or from secreting anything of value held in a fiduciary capacity for an unauthorized use or purpose.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12.18-12.22, at 898-921 (7th ed. 1967); WAYNE R. LAFAVE, CRIMINAL LAW § 19.6, at 995-1006 (5th ed. 2010); ROLLIN M. PERKINS &amp; RONALD N. BOYCE, CRIMINAL LAW 351-61 (3d ed. 1982). The statute does not define "fiduciary," but Maryland courts have held that it applies to an executor, administrator, guardian, director of a corporation, attorney, public officer, or any individual in a fiduciary relationship as a result of a legal, moral, social, domestic, or personal duty. </w:t>
            </w:r>
            <w:r>
              <w:rPr>
                <w:rFonts w:ascii="Arial" w:eastAsia="Arial" w:hAnsi="Arial" w:cs="Arial"/>
                <w:i/>
                <w:color w:val="000000"/>
                <w:sz w:val="20"/>
              </w:rPr>
              <w:t xml:space="preserve">See </w:t>
            </w:r>
            <w:hyperlink r:id="rId1539" w:history="1">
              <w:r>
                <w:rPr>
                  <w:rFonts w:ascii="Arial" w:eastAsia="Arial" w:hAnsi="Arial" w:cs="Arial"/>
                  <w:i/>
                  <w:color w:val="0077CC"/>
                  <w:sz w:val="20"/>
                  <w:u w:val="single"/>
                </w:rPr>
                <w:t>Andresen v. State, 24 Md. App. 128, 149, 331 A.2d 78, 93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540" w:history="1">
              <w:r>
                <w:rPr>
                  <w:rFonts w:ascii="Arial" w:eastAsia="Arial" w:hAnsi="Arial" w:cs="Arial"/>
                  <w:i/>
                  <w:color w:val="0077CC"/>
                  <w:sz w:val="20"/>
                  <w:u w:val="single"/>
                </w:rPr>
                <w:t>427 U.S. 463 (1976).</w:t>
              </w:r>
            </w:hyperlink>
            <w:r>
              <w:rPr>
                <w:rFonts w:ascii="Arial" w:eastAsia="Arial" w:hAnsi="Arial" w:cs="Arial"/>
                <w:color w:val="000000"/>
                <w:sz w:val="20"/>
              </w:rPr>
              <w:t xml:space="preserve"> In </w:t>
            </w:r>
            <w:r>
              <w:rPr>
                <w:rFonts w:ascii="Arial" w:eastAsia="Arial" w:hAnsi="Arial" w:cs="Arial"/>
                <w:i/>
                <w:color w:val="000000"/>
                <w:sz w:val="20"/>
              </w:rPr>
              <w:t>Andresen</w:t>
            </w:r>
            <w:r>
              <w:rPr>
                <w:rFonts w:ascii="Arial" w:eastAsia="Arial" w:hAnsi="Arial" w:cs="Arial"/>
                <w:color w:val="000000"/>
                <w:sz w:val="20"/>
              </w:rPr>
              <w:t xml:space="preserve">, the Court of Special Appeals relied on the Black's Law Dictionary definition of "Fiduciary </w:t>
            </w:r>
            <w:r>
              <w:rPr>
                <w:rFonts w:ascii="Arial" w:eastAsia="Arial" w:hAnsi="Arial" w:cs="Arial"/>
                <w:color w:val="000000"/>
                <w:sz w:val="20"/>
              </w:rPr>
              <w:lastRenderedPageBreak/>
              <w:t>Capacity" to determine whether the defendant was a fiduciary within the contemplation of MD. CODE ANN., ARTICLE 27, § 132, the predecessor to CRIM. LAW I § 7-113:</w:t>
            </w:r>
          </w:p>
          <w:p w:rsidR="004729FB" w:rsidRDefault="004729FB" w:rsidP="00713DA5">
            <w:pPr>
              <w:spacing w:before="60" w:line="260" w:lineRule="atLeast"/>
              <w:ind w:left="460" w:right="360"/>
              <w:jc w:val="both"/>
            </w:pPr>
            <w:r>
              <w:rPr>
                <w:rFonts w:ascii="Arial" w:eastAsia="Arial" w:hAnsi="Arial" w:cs="Arial"/>
                <w:color w:val="000000"/>
                <w:sz w:val="20"/>
              </w:rPr>
              <w:t>One is said to act in a 'fiduciary capacity' or to receive money or contract a debt in a 'fiduciary capacity,' when the business he transacts, or the money or property which he handles, is not his own or for his own benefit, but for the benefit of another person, as to whom he stands in a relation implying and necessitating great confidence and trust on the one part and a high degree of good faith on the other part. The term is not restricted to technical or express trusts, but includes also such offices or relations as those of an attorney at law, a guardian, executor, or broker, a director of a corporation, and a public officer.</w:t>
            </w:r>
          </w:p>
          <w:p w:rsidR="004729FB" w:rsidRDefault="004729FB" w:rsidP="00713DA5">
            <w:pPr>
              <w:spacing w:before="200" w:line="260" w:lineRule="atLeast"/>
              <w:ind w:left="60" w:right="360"/>
              <w:jc w:val="both"/>
            </w:pPr>
            <w:hyperlink r:id="rId1541" w:history="1">
              <w:r>
                <w:rPr>
                  <w:rFonts w:ascii="Arial" w:eastAsia="Arial" w:hAnsi="Arial" w:cs="Arial"/>
                  <w:i/>
                  <w:color w:val="0077CC"/>
                  <w:sz w:val="20"/>
                  <w:u w:val="single"/>
                </w:rPr>
                <w:t>24 Md. App. at 148-49, 331 A.2d at 93</w:t>
              </w:r>
            </w:hyperlink>
            <w:r>
              <w:rPr>
                <w:rFonts w:ascii="Arial" w:eastAsia="Arial" w:hAnsi="Arial" w:cs="Arial"/>
                <w:color w:val="000000"/>
                <w:sz w:val="20"/>
              </w:rPr>
              <w:t xml:space="preserve"> (quoting BLACK'S LAW DICTIONARY (4th ed. 1951)). The Court added: "The rule embraces both technical fiduciary relations, and those informal relations which exist whenever one man trusts in and relies on another; the origin of the confidence reposed is immaterial." </w:t>
            </w:r>
            <w:hyperlink r:id="rId1542" w:history="1">
              <w:r>
                <w:rPr>
                  <w:rFonts w:ascii="Arial" w:eastAsia="Arial" w:hAnsi="Arial" w:cs="Arial"/>
                  <w:i/>
                  <w:color w:val="0077CC"/>
                  <w:sz w:val="20"/>
                  <w:u w:val="single"/>
                </w:rPr>
                <w:t>Id. at 149, 331 A.2d at 93-94</w:t>
              </w:r>
            </w:hyperlink>
            <w:r>
              <w:rPr>
                <w:rFonts w:ascii="Arial" w:eastAsia="Arial" w:hAnsi="Arial" w:cs="Arial"/>
                <w:color w:val="000000"/>
                <w:sz w:val="20"/>
              </w:rPr>
              <w:t xml:space="preserve"> (quoting </w:t>
            </w:r>
            <w:hyperlink r:id="rId1543" w:history="1">
              <w:r>
                <w:rPr>
                  <w:rFonts w:ascii="Arial" w:eastAsia="Arial" w:hAnsi="Arial" w:cs="Arial"/>
                  <w:i/>
                  <w:color w:val="0077CC"/>
                  <w:sz w:val="20"/>
                  <w:u w:val="single"/>
                </w:rPr>
                <w:t>Anderson v. Watson, 141 Md. 217, 234, 118 A. 569, 575 (1922));</w:t>
              </w:r>
            </w:hyperlink>
            <w:r>
              <w:rPr>
                <w:rFonts w:ascii="Arial" w:eastAsia="Arial" w:hAnsi="Arial" w:cs="Arial"/>
                <w:color w:val="000000"/>
                <w:sz w:val="20"/>
              </w:rPr>
              <w:t xml:space="preserve"> </w:t>
            </w:r>
            <w:r>
              <w:rPr>
                <w:rFonts w:ascii="Arial" w:eastAsia="Arial" w:hAnsi="Arial" w:cs="Arial"/>
                <w:i/>
                <w:color w:val="000000"/>
                <w:sz w:val="20"/>
              </w:rPr>
              <w:t xml:space="preserve">accord </w:t>
            </w:r>
            <w:hyperlink r:id="rId1544" w:history="1">
              <w:r>
                <w:rPr>
                  <w:rFonts w:ascii="Arial" w:eastAsia="Arial" w:hAnsi="Arial" w:cs="Arial"/>
                  <w:i/>
                  <w:color w:val="0077CC"/>
                  <w:sz w:val="20"/>
                  <w:u w:val="single"/>
                </w:rPr>
                <w:t>Gaggers v. Gibson, 180 Md. 609, 613, 26 A.2d 395, 397 (1942)</w:t>
              </w:r>
            </w:hyperlink>
            <w:r>
              <w:rPr>
                <w:rFonts w:ascii="Arial" w:eastAsia="Arial" w:hAnsi="Arial" w:cs="Arial"/>
                <w:color w:val="000000"/>
                <w:sz w:val="20"/>
              </w:rPr>
              <w:t xml:space="preserve"> ("[A] fiduciary relation exists in every case 'in which there is confidence reposed on one side and the resulting superiority and influence on the other. The relation and the duties involved in it need not be legal; it may be moral, social, domestic or merely personal.'" (quoting </w:t>
            </w:r>
            <w:hyperlink r:id="rId1545" w:history="1">
              <w:r>
                <w:rPr>
                  <w:rFonts w:ascii="Arial" w:eastAsia="Arial" w:hAnsi="Arial" w:cs="Arial"/>
                  <w:i/>
                  <w:color w:val="0077CC"/>
                  <w:sz w:val="20"/>
                  <w:u w:val="single"/>
                </w:rPr>
                <w:t>Hensan v. Cooksey, 86 N.E. 1107, 1109 (Ill. 1908)));</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1546" w:history="1">
              <w:r>
                <w:rPr>
                  <w:rFonts w:ascii="Arial" w:eastAsia="Arial" w:hAnsi="Arial" w:cs="Arial"/>
                  <w:i/>
                  <w:color w:val="0077CC"/>
                  <w:sz w:val="20"/>
                  <w:u w:val="single"/>
                </w:rPr>
                <w:t>Schwartz v. State, 103 Md. App. 378, 653 A.2d 958</w:t>
              </w:r>
            </w:hyperlink>
            <w:r>
              <w:rPr>
                <w:rFonts w:ascii="Arial" w:eastAsia="Arial" w:hAnsi="Arial" w:cs="Arial"/>
                <w:color w:val="000000"/>
                <w:sz w:val="20"/>
              </w:rPr>
              <w:t xml:space="preserve"> (finding that defendant, who managed a construction company, was not a fiduciary since she did not hold monies for the benefit of another),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339 Md. 168, 661 A.2d 701 (1995).</w:t>
            </w:r>
          </w:p>
          <w:p w:rsidR="004729FB" w:rsidRDefault="004729FB" w:rsidP="00713DA5">
            <w:pPr>
              <w:spacing w:before="240" w:line="260" w:lineRule="atLeast"/>
              <w:ind w:left="60" w:right="360"/>
              <w:jc w:val="both"/>
            </w:pPr>
            <w:r>
              <w:rPr>
                <w:rFonts w:ascii="Arial" w:eastAsia="Arial" w:hAnsi="Arial" w:cs="Arial"/>
                <w:color w:val="000000"/>
                <w:sz w:val="20"/>
              </w:rPr>
              <w:t xml:space="preserve">It is immaterial that the defendant neither gained nor intended to gain from the misappropriation. </w:t>
            </w:r>
            <w:hyperlink r:id="rId1547" w:history="1">
              <w:r>
                <w:rPr>
                  <w:rFonts w:ascii="Arial" w:eastAsia="Arial" w:hAnsi="Arial" w:cs="Arial"/>
                  <w:i/>
                  <w:color w:val="0077CC"/>
                  <w:sz w:val="20"/>
                  <w:u w:val="single"/>
                </w:rPr>
                <w:t>Andresen, 24 Md. App. at 150-51, 331 A.2d at 94.</w:t>
              </w:r>
            </w:hyperlink>
            <w:r>
              <w:rPr>
                <w:rFonts w:ascii="Arial" w:eastAsia="Arial" w:hAnsi="Arial" w:cs="Arial"/>
                <w:color w:val="000000"/>
                <w:sz w:val="20"/>
              </w:rPr>
              <w:t xml:space="preserve"> The misappropriation must be accomplished with a fraudulent intent. </w:t>
            </w:r>
            <w:hyperlink r:id="rId1548" w:history="1">
              <w:r>
                <w:rPr>
                  <w:rFonts w:ascii="Arial" w:eastAsia="Arial" w:hAnsi="Arial" w:cs="Arial"/>
                  <w:i/>
                  <w:color w:val="0077CC"/>
                  <w:sz w:val="20"/>
                  <w:u w:val="single"/>
                </w:rPr>
                <w:t>Stathes v. State, 29 Md. App. 474, 483-84, 349 A.2d 254, 259-60 (1975),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277 Md. 741 (1976),</w:t>
            </w:r>
            <w:r>
              <w:rPr>
                <w:rFonts w:ascii="Arial" w:eastAsia="Arial" w:hAnsi="Arial" w:cs="Arial"/>
                <w:color w:val="000000"/>
                <w:sz w:val="20"/>
              </w:rPr>
              <w:t xml:space="preserve"> </w:t>
            </w:r>
            <w:r>
              <w:rPr>
                <w:rFonts w:ascii="Arial" w:eastAsia="Arial" w:hAnsi="Arial" w:cs="Arial"/>
                <w:i/>
                <w:color w:val="000000"/>
                <w:sz w:val="20"/>
              </w:rPr>
              <w:t>appeal dismissed</w:t>
            </w:r>
            <w:r>
              <w:rPr>
                <w:rFonts w:ascii="Arial" w:eastAsia="Arial" w:hAnsi="Arial" w:cs="Arial"/>
                <w:color w:val="000000"/>
                <w:sz w:val="20"/>
              </w:rPr>
              <w:t xml:space="preserve">, </w:t>
            </w:r>
            <w:r>
              <w:rPr>
                <w:rFonts w:ascii="Arial" w:eastAsia="Arial" w:hAnsi="Arial" w:cs="Arial"/>
                <w:i/>
                <w:color w:val="000000"/>
                <w:sz w:val="20"/>
              </w:rPr>
              <w:t>429 U.S. 803 (1976);</w:t>
            </w:r>
            <w:r>
              <w:rPr>
                <w:rFonts w:ascii="Arial" w:eastAsia="Arial" w:hAnsi="Arial" w:cs="Arial"/>
                <w:color w:val="000000"/>
                <w:sz w:val="20"/>
              </w:rPr>
              <w:t xml:space="preserve"> </w:t>
            </w:r>
            <w:r>
              <w:rPr>
                <w:rFonts w:ascii="Arial" w:eastAsia="Arial" w:hAnsi="Arial" w:cs="Arial"/>
                <w:i/>
                <w:color w:val="000000"/>
                <w:sz w:val="20"/>
              </w:rPr>
              <w:t xml:space="preserve">see </w:t>
            </w:r>
            <w:hyperlink r:id="rId1549" w:history="1">
              <w:r>
                <w:rPr>
                  <w:rFonts w:ascii="Arial" w:eastAsia="Arial" w:hAnsi="Arial" w:cs="Arial"/>
                  <w:i/>
                  <w:color w:val="0077CC"/>
                  <w:sz w:val="20"/>
                  <w:u w:val="single"/>
                </w:rPr>
                <w:t>Breakfield v. State, 195 Md. App. 377, 6 A.3d 381 (2010)</w:t>
              </w:r>
            </w:hyperlink>
            <w:r>
              <w:rPr>
                <w:rFonts w:ascii="Arial" w:eastAsia="Arial" w:hAnsi="Arial" w:cs="Arial"/>
                <w:color w:val="000000"/>
                <w:sz w:val="20"/>
              </w:rPr>
              <w:t xml:space="preserve"> (finding sufficient evidence to show that the defendant, who owned and operated an assisted living facility, acted willfully and with specific intent to defraud under CRIM. LAW I § 7-113).</w:t>
            </w:r>
          </w:p>
          <w:p w:rsidR="004729FB" w:rsidRDefault="004729FB" w:rsidP="00713DA5">
            <w:pPr>
              <w:spacing w:before="240" w:line="260" w:lineRule="atLeast"/>
              <w:ind w:left="60" w:right="360"/>
              <w:jc w:val="both"/>
            </w:pPr>
            <w:r>
              <w:rPr>
                <w:rFonts w:ascii="Arial" w:eastAsia="Arial" w:hAnsi="Arial" w:cs="Arial"/>
                <w:color w:val="000000"/>
                <w:sz w:val="20"/>
              </w:rPr>
              <w:t xml:space="preserve">Misappropriation by a fiduciary and theft are not the same offense for double jeopardy purposes because each offense requires proof of an element that the other does not. </w:t>
            </w:r>
            <w:hyperlink r:id="rId1550" w:history="1">
              <w:r>
                <w:rPr>
                  <w:rFonts w:ascii="Arial" w:eastAsia="Arial" w:hAnsi="Arial" w:cs="Arial"/>
                  <w:i/>
                  <w:color w:val="0077CC"/>
                  <w:sz w:val="20"/>
                  <w:u w:val="single"/>
                </w:rPr>
                <w:t>State v. Burroughs, 333 Md. 614, 624, 636 A.2d 1009, 1014 (1994).</w:t>
              </w:r>
            </w:hyperlink>
            <w:r>
              <w:rPr>
                <w:rFonts w:ascii="Arial" w:eastAsia="Arial" w:hAnsi="Arial" w:cs="Arial"/>
                <w:color w:val="000000"/>
                <w:sz w:val="20"/>
              </w:rPr>
              <w:t xml:space="preserve"> The legislature did not, however, intend cumulative punishment for a single course of conduct that violates both § 7-104 (theft) and § 7-113 (misappropriation by a fiduciary). </w:t>
            </w:r>
            <w:r>
              <w:rPr>
                <w:rFonts w:ascii="Arial" w:eastAsia="Arial" w:hAnsi="Arial" w:cs="Arial"/>
                <w:i/>
                <w:color w:val="000000"/>
                <w:sz w:val="20"/>
              </w:rPr>
              <w:t xml:space="preserve">See </w:t>
            </w:r>
            <w:hyperlink r:id="rId1551" w:history="1">
              <w:r>
                <w:rPr>
                  <w:rFonts w:ascii="Arial" w:eastAsia="Arial" w:hAnsi="Arial" w:cs="Arial"/>
                  <w:i/>
                  <w:color w:val="0077CC"/>
                  <w:sz w:val="20"/>
                  <w:u w:val="single"/>
                </w:rPr>
                <w:t>White v. State, 100 Md. App. 1, 18-20, 639 A.2d 194, 202-03 (1994)</w:t>
              </w:r>
            </w:hyperlink>
            <w:r>
              <w:rPr>
                <w:rFonts w:ascii="Arial" w:eastAsia="Arial" w:hAnsi="Arial" w:cs="Arial"/>
                <w:color w:val="000000"/>
                <w:sz w:val="20"/>
              </w:rPr>
              <w:t xml:space="preserve"> (citing approvingly MPJI-Cr 4:22).</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5" style="position:absolute;left:0;text-align:left;z-index:25193164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90" name="Picture 9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558" w:history="1">
        <w:r>
          <w:rPr>
            <w:rFonts w:ascii="Arial" w:eastAsia="Arial" w:hAnsi="Arial" w:cs="Arial"/>
            <w:b/>
            <w:bCs/>
            <w:i/>
            <w:color w:val="0077CC"/>
            <w:kern w:val="32"/>
            <w:sz w:val="28"/>
            <w:szCs w:val="32"/>
            <w:u w:val="single"/>
          </w:rPr>
          <w:t>MPJI-Cr 4:24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SUBSTANCE--POSSESSION</w:t>
      </w:r>
    </w:p>
    <w:p w:rsidR="004729FB" w:rsidRDefault="004729FB" w:rsidP="004729FB">
      <w:pPr>
        <w:keepNext/>
        <w:spacing w:before="240" w:line="340" w:lineRule="atLeast"/>
      </w:pPr>
      <w:r>
        <w:br/>
      </w:r>
      <w:r>
        <w:rPr>
          <w:rFonts w:ascii="Arial" w:eastAsia="Arial" w:hAnsi="Arial" w:cs="Arial"/>
          <w:b/>
          <w:color w:val="000000"/>
          <w:sz w:val="28"/>
        </w:rPr>
        <w:t>4:24NARCOTICS AND CONTROLLED DANGEROUS SUBSTANCE--POSSESSION</w:t>
      </w:r>
    </w:p>
    <w:p w:rsidR="004729FB" w:rsidRDefault="004729FB" w:rsidP="004729FB">
      <w:pPr>
        <w:spacing w:line="60" w:lineRule="exact"/>
      </w:pPr>
      <w:r>
        <w:pict>
          <v:line id="_x0000_s1296" style="position:absolute;z-index:2519224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possession of (</w:t>
      </w:r>
      <w:r>
        <w:rPr>
          <w:rFonts w:ascii="Arial" w:eastAsia="Arial" w:hAnsi="Arial" w:cs="Arial"/>
          <w:b/>
          <w:color w:val="000000"/>
          <w:sz w:val="20"/>
          <w:u w:val="single"/>
        </w:rPr>
        <w:t>controlled dangerous substance</w:t>
      </w:r>
      <w:r>
        <w:rPr>
          <w:rFonts w:ascii="Arial" w:eastAsia="Arial" w:hAnsi="Arial" w:cs="Arial"/>
          <w:b/>
          <w:color w:val="000000"/>
          <w:sz w:val="20"/>
        </w:rPr>
        <w:t>), which is a controlled dangerous substance. [It is unlawful for any person to possess any controlled dangerous substance unless such substance was obtained pursuant to a valid prescription or order from a physician, dentist, veterinarian, scientific investigator, or other person licensed, registered, or otherwise permitted to distribute, dispense, administer, or conduct research on a controlled dangerous substance, while that person was acting in the course of [his] [her] professional practice.]</w:t>
      </w:r>
    </w:p>
    <w:p w:rsidR="004729FB" w:rsidRDefault="004729FB" w:rsidP="004729FB">
      <w:pPr>
        <w:spacing w:before="200" w:line="260" w:lineRule="atLeast"/>
        <w:jc w:val="both"/>
      </w:pPr>
      <w:r>
        <w:rPr>
          <w:rFonts w:ascii="Arial" w:eastAsia="Arial" w:hAnsi="Arial" w:cs="Arial"/>
          <w:b/>
          <w:color w:val="000000"/>
          <w:sz w:val="20"/>
        </w:rPr>
        <w:t>In order to convict the defendant of possession of (</w:t>
      </w:r>
      <w:r>
        <w:rPr>
          <w:rFonts w:ascii="Arial" w:eastAsia="Arial" w:hAnsi="Arial" w:cs="Arial"/>
          <w:b/>
          <w:color w:val="000000"/>
          <w:sz w:val="20"/>
          <w:u w:val="single"/>
        </w:rPr>
        <w:t>controlled dangerous substance</w:t>
      </w:r>
      <w:r>
        <w:rPr>
          <w:rFonts w:ascii="Arial" w:eastAsia="Arial" w:hAnsi="Arial" w:cs="Arial"/>
          <w:b/>
          <w:color w:val="000000"/>
          <w:sz w:val="20"/>
        </w:rPr>
        <w: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possessed the substance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knew the general character or illicit nature of the substance; and</w:t>
      </w:r>
    </w:p>
    <w:p w:rsidR="004729FB" w:rsidRDefault="004729FB" w:rsidP="004729FB">
      <w:pPr>
        <w:spacing w:before="200" w:line="260" w:lineRule="atLeast"/>
        <w:ind w:left="400"/>
        <w:jc w:val="both"/>
      </w:pPr>
      <w:r>
        <w:rPr>
          <w:rFonts w:ascii="Arial" w:eastAsia="Arial" w:hAnsi="Arial" w:cs="Arial"/>
          <w:b/>
          <w:color w:val="000000"/>
          <w:sz w:val="20"/>
        </w:rPr>
        <w:t>(3) that the substance was (</w:t>
      </w:r>
      <w:r>
        <w:rPr>
          <w:rFonts w:ascii="Arial" w:eastAsia="Arial" w:hAnsi="Arial" w:cs="Arial"/>
          <w:b/>
          <w:color w:val="000000"/>
          <w:sz w:val="20"/>
          <w:u w:val="single"/>
        </w:rPr>
        <w:t>controlled dangerous substance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Possession means having control over something, whether actual or indirect. [The defendant does not have to be the only person in possession of the substance. More than one person may have possession of the same substance at the same time.]</w:t>
      </w:r>
    </w:p>
    <w:p w:rsidR="004729FB" w:rsidRDefault="004729FB" w:rsidP="004729FB">
      <w:pPr>
        <w:spacing w:before="200" w:line="260" w:lineRule="atLeast"/>
        <w:jc w:val="both"/>
      </w:pPr>
      <w:r>
        <w:rPr>
          <w:rFonts w:ascii="Arial" w:eastAsia="Arial" w:hAnsi="Arial" w:cs="Arial"/>
          <w:b/>
          <w:color w:val="000000"/>
          <w:sz w:val="20"/>
        </w:rPr>
        <w:t>A person has actual possession of a substance when the person has both direct control over the substance and the intention to exercise that control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person not in actual possession, who has both the power and the intention to exercise control over something, either personally or through another person, has indirect possession</w:t>
      </w:r>
      <w:r>
        <w:rPr>
          <w:rFonts w:ascii="Arial" w:eastAsia="Arial" w:hAnsi="Arial" w:cs="Arial"/>
          <w:color w:val="000000"/>
          <w:sz w:val="20"/>
        </w:rPr>
        <w:t xml:space="preserve">. </w:t>
      </w:r>
      <w:r>
        <w:rPr>
          <w:rFonts w:ascii="Arial" w:eastAsia="Arial" w:hAnsi="Arial" w:cs="Arial"/>
          <w:b/>
          <w:color w:val="000000"/>
          <w:sz w:val="20"/>
        </w:rPr>
        <w:t>In determining whether the defendant had indirect possession of the substance, consider all of the surrounding circumstances. These circumstances include the distance between the defendant and the substance, whether the defendant had some ownership or possessory interest in the [place] [vehicle] where the substance was found, and any indications that the defendant was participating, alone or with others in the use and enjoyment of the substance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Possession is the "exercise [of] actual or constructive dominion or control over a thing by one or more </w:t>
            </w:r>
            <w:r>
              <w:rPr>
                <w:rFonts w:ascii="Arial" w:eastAsia="Arial" w:hAnsi="Arial" w:cs="Arial"/>
                <w:color w:val="000000"/>
                <w:sz w:val="20"/>
              </w:rPr>
              <w:lastRenderedPageBreak/>
              <w:t xml:space="preserve">persons." CRIM. LAW I § 5-101(v). In other words, possession means "the act or condition of having in or taking into one's control or holding at one's disposal." </w:t>
            </w:r>
            <w:hyperlink r:id="rId1559" w:history="1">
              <w:r>
                <w:rPr>
                  <w:rFonts w:ascii="Arial" w:eastAsia="Arial" w:hAnsi="Arial" w:cs="Arial"/>
                  <w:i/>
                  <w:color w:val="0077CC"/>
                  <w:sz w:val="20"/>
                  <w:u w:val="single"/>
                </w:rPr>
                <w:t>Williams v. State, 7 Md. App. 5, 14, 252 A.2d 880, 885 (1969)</w:t>
              </w:r>
            </w:hyperlink>
            <w:r>
              <w:rPr>
                <w:rFonts w:ascii="Arial" w:eastAsia="Arial" w:hAnsi="Arial" w:cs="Arial"/>
                <w:color w:val="000000"/>
                <w:sz w:val="20"/>
              </w:rPr>
              <w:t xml:space="preserve"> (adopting the definition in WEBSTER'S THIRD NEW INTERNATIONAL DICTIONARY). Ownership need not be proven. </w:t>
            </w:r>
            <w:hyperlink r:id="rId1560" w:history="1">
              <w:r>
                <w:rPr>
                  <w:rFonts w:ascii="Arial" w:eastAsia="Arial" w:hAnsi="Arial" w:cs="Arial"/>
                  <w:i/>
                  <w:color w:val="0077CC"/>
                  <w:sz w:val="20"/>
                  <w:u w:val="single"/>
                </w:rPr>
                <w:t>Cook v. State, 84 Md. App. 122, 134, 578 A.2d 283, 289 (1990),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321 Md. 502, 583 A.2d 276 (1991).</w:t>
            </w:r>
          </w:p>
          <w:p w:rsidR="004729FB" w:rsidRDefault="004729FB" w:rsidP="00713DA5">
            <w:pPr>
              <w:spacing w:before="240" w:line="260" w:lineRule="atLeast"/>
              <w:ind w:left="60" w:right="360"/>
              <w:jc w:val="both"/>
            </w:pPr>
            <w:r>
              <w:rPr>
                <w:rFonts w:ascii="Arial" w:eastAsia="Arial" w:hAnsi="Arial" w:cs="Arial"/>
                <w:color w:val="000000"/>
                <w:sz w:val="20"/>
              </w:rPr>
              <w:t xml:space="preserve">Possession requires knowledge "of both the presence and the general character or illicit nature of the substance." </w:t>
            </w:r>
            <w:hyperlink r:id="rId1561" w:history="1">
              <w:r>
                <w:rPr>
                  <w:rFonts w:ascii="Arial" w:eastAsia="Arial" w:hAnsi="Arial" w:cs="Arial"/>
                  <w:i/>
                  <w:color w:val="0077CC"/>
                  <w:sz w:val="20"/>
                  <w:u w:val="single"/>
                </w:rPr>
                <w:t>Dawkins v. State, 313 Md. 638, 651, 547 A.2d 1041, 1047 (1988).</w:t>
              </w:r>
            </w:hyperlink>
            <w:r>
              <w:rPr>
                <w:rFonts w:ascii="Arial" w:eastAsia="Arial" w:hAnsi="Arial" w:cs="Arial"/>
                <w:color w:val="000000"/>
                <w:sz w:val="20"/>
              </w:rPr>
              <w:t xml:space="preserve"> Such knowledge "may be proven by circumstantial evidence and by inferences drawn therefrom." </w:t>
            </w:r>
            <w:r>
              <w:rPr>
                <w:rFonts w:ascii="Arial" w:eastAsia="Arial" w:hAnsi="Arial" w:cs="Arial"/>
                <w:i/>
                <w:color w:val="000000"/>
                <w:sz w:val="20"/>
              </w:rPr>
              <w:t xml:space="preserve">Id.; </w:t>
            </w:r>
            <w:hyperlink r:id="rId1562" w:history="1">
              <w:r>
                <w:rPr>
                  <w:rFonts w:ascii="Arial" w:eastAsia="Arial" w:hAnsi="Arial" w:cs="Arial"/>
                  <w:i/>
                  <w:color w:val="0077CC"/>
                  <w:sz w:val="20"/>
                  <w:u w:val="single"/>
                </w:rPr>
                <w:t>Pugh v. State, 103 Md. App. 624, 652, 654 A.2d 888, 901</w:t>
              </w:r>
            </w:hyperlink>
            <w:r>
              <w:rPr>
                <w:rFonts w:ascii="Arial" w:eastAsia="Arial" w:hAnsi="Arial" w:cs="Arial"/>
                <w:color w:val="000000"/>
                <w:sz w:val="20"/>
              </w:rPr>
              <w:t xml:space="preserve"> (finding that evidence that the defendant passenger (1) avoided eye contact with trooper, and (2) offered inconsistent stories as to why he had gone to New York and why he was driving to Virginia with the codefendant, was sufficient for a rational jury to find that the defendant knew of the cocaine in the trunk), </w:t>
            </w:r>
            <w:r>
              <w:rPr>
                <w:rFonts w:ascii="Arial" w:eastAsia="Arial" w:hAnsi="Arial" w:cs="Arial"/>
                <w:i/>
                <w:color w:val="000000"/>
                <w:sz w:val="20"/>
              </w:rPr>
              <w:t>cert. denied</w:t>
            </w:r>
            <w:r>
              <w:rPr>
                <w:rFonts w:ascii="Arial" w:eastAsia="Arial" w:hAnsi="Arial" w:cs="Arial"/>
                <w:color w:val="000000"/>
                <w:sz w:val="20"/>
              </w:rPr>
              <w:t xml:space="preserve">, </w:t>
            </w:r>
            <w:hyperlink r:id="rId1563" w:history="1">
              <w:r>
                <w:rPr>
                  <w:rFonts w:ascii="Arial" w:eastAsia="Arial" w:hAnsi="Arial" w:cs="Arial"/>
                  <w:i/>
                  <w:color w:val="0077CC"/>
                  <w:sz w:val="20"/>
                  <w:u w:val="single"/>
                </w:rPr>
                <w:t>339 Md. 355, 663 A.2d 73 (1995).</w:t>
              </w:r>
            </w:hyperlink>
            <w:r>
              <w:rPr>
                <w:rFonts w:ascii="Arial" w:eastAsia="Arial" w:hAnsi="Arial" w:cs="Arial"/>
                <w:color w:val="000000"/>
                <w:sz w:val="20"/>
              </w:rPr>
              <w:t xml:space="preserve"> There is no minimum quantity of a substance that must be possessed. </w:t>
            </w:r>
            <w:hyperlink r:id="rId1564" w:history="1">
              <w:r>
                <w:rPr>
                  <w:rFonts w:ascii="Arial" w:eastAsia="Arial" w:hAnsi="Arial" w:cs="Arial"/>
                  <w:i/>
                  <w:color w:val="0077CC"/>
                  <w:sz w:val="20"/>
                  <w:u w:val="single"/>
                </w:rPr>
                <w:t>Cain v. State, 34 Md. App. 446, 449, 367 A.2d 47, 49,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280 Md. 728 (1977).</w:t>
            </w:r>
            <w:r>
              <w:rPr>
                <w:rFonts w:ascii="Arial" w:eastAsia="Arial" w:hAnsi="Arial" w:cs="Arial"/>
                <w:color w:val="000000"/>
                <w:sz w:val="20"/>
              </w:rPr>
              <w:t xml:space="preserve"> Thus, even a quantity too small to be used by the possessor for the purpose for which possession is prohibited constitutes possession, e.g., a microscopic amount of a controlled dangerous substance. </w:t>
            </w:r>
            <w:r>
              <w:rPr>
                <w:rFonts w:ascii="Arial" w:eastAsia="Arial" w:hAnsi="Arial" w:cs="Arial"/>
                <w:i/>
                <w:color w:val="000000"/>
                <w:sz w:val="20"/>
              </w:rPr>
              <w:t xml:space="preserve">See </w:t>
            </w:r>
            <w:hyperlink r:id="rId1565" w:history="1">
              <w:r>
                <w:rPr>
                  <w:rFonts w:ascii="Arial" w:eastAsia="Arial" w:hAnsi="Arial" w:cs="Arial"/>
                  <w:i/>
                  <w:color w:val="0077CC"/>
                  <w:sz w:val="20"/>
                  <w:u w:val="single"/>
                </w:rPr>
                <w:t>Bracey v. State, 4 Md. App. 562, 564, 244 A.2d 470, 471 (1968)</w:t>
              </w:r>
            </w:hyperlink>
            <w:r>
              <w:rPr>
                <w:rFonts w:ascii="Arial" w:eastAsia="Arial" w:hAnsi="Arial" w:cs="Arial"/>
                <w:color w:val="000000"/>
                <w:sz w:val="20"/>
              </w:rPr>
              <w:t xml:space="preserve"> ("[T]here need be only such quantity, no matter how minute, sufficient to make possible a proper determination that it is a narcotic drug in order to sustain a conviction upon proof of its possession or control."),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252 Md. 729 (1969).</w:t>
            </w:r>
            <w:r>
              <w:rPr>
                <w:rFonts w:ascii="Arial" w:eastAsia="Arial" w:hAnsi="Arial" w:cs="Arial"/>
                <w:color w:val="000000"/>
                <w:sz w:val="20"/>
              </w:rPr>
              <w:t xml:space="preserve"> Nor is there a requirement that a person be in possession for any minimum length of time. </w:t>
            </w:r>
            <w:hyperlink r:id="rId1566" w:history="1">
              <w:r>
                <w:rPr>
                  <w:rFonts w:ascii="Arial" w:eastAsia="Arial" w:hAnsi="Arial" w:cs="Arial"/>
                  <w:i/>
                  <w:color w:val="0077CC"/>
                  <w:sz w:val="20"/>
                  <w:u w:val="single"/>
                </w:rPr>
                <w:t>Cook, 84 Md. App. at 134, 578 A.2d at 289.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Constructive possession may be inferred from the surrounding circumstances, provided the evidence demonstrates that the defendant exercised some restraining or directing influence over the thing allegedly possessed. </w:t>
            </w:r>
            <w:hyperlink r:id="rId1567" w:history="1">
              <w:r>
                <w:rPr>
                  <w:rFonts w:ascii="Arial" w:eastAsia="Arial" w:hAnsi="Arial" w:cs="Arial"/>
                  <w:i/>
                  <w:color w:val="0077CC"/>
                  <w:sz w:val="20"/>
                  <w:u w:val="single"/>
                </w:rPr>
                <w:t>Taylor v. State, 346 Md. 452, 457-58, 697 A.2d 462, 465 (1997);</w:t>
              </w:r>
            </w:hyperlink>
            <w:r>
              <w:rPr>
                <w:rFonts w:ascii="Arial" w:eastAsia="Arial" w:hAnsi="Arial" w:cs="Arial"/>
                <w:color w:val="000000"/>
                <w:sz w:val="20"/>
              </w:rPr>
              <w:t xml:space="preserve"> </w:t>
            </w:r>
            <w:hyperlink r:id="rId1568" w:history="1">
              <w:r>
                <w:rPr>
                  <w:rFonts w:ascii="Arial" w:eastAsia="Arial" w:hAnsi="Arial" w:cs="Arial"/>
                  <w:i/>
                  <w:color w:val="0077CC"/>
                  <w:sz w:val="20"/>
                  <w:u w:val="single"/>
                </w:rPr>
                <w:t>State v. Leach, 296 Md. 591, 595-96, 463 A.2d 872, 874 (1983).</w:t>
              </w:r>
            </w:hyperlink>
            <w:r>
              <w:rPr>
                <w:rFonts w:ascii="Arial" w:eastAsia="Arial" w:hAnsi="Arial" w:cs="Arial"/>
                <w:color w:val="000000"/>
                <w:sz w:val="20"/>
              </w:rPr>
              <w:t xml:space="preserve"> Although the jury should consider all of the surrounding circumstances, the appellate courts have emphasized three factors, which the Committee incorporated into the instruction. </w:t>
            </w:r>
            <w:r>
              <w:rPr>
                <w:rFonts w:ascii="Arial" w:eastAsia="Arial" w:hAnsi="Arial" w:cs="Arial"/>
                <w:i/>
                <w:color w:val="000000"/>
                <w:sz w:val="20"/>
              </w:rPr>
              <w:t xml:space="preserve">See generally </w:t>
            </w:r>
            <w:hyperlink r:id="rId1569" w:history="1">
              <w:r>
                <w:rPr>
                  <w:rFonts w:ascii="Arial" w:eastAsia="Arial" w:hAnsi="Arial" w:cs="Arial"/>
                  <w:i/>
                  <w:color w:val="0077CC"/>
                  <w:sz w:val="20"/>
                  <w:u w:val="single"/>
                </w:rPr>
                <w:t>Garrison v. State, 272 Md. 123, 321 A.2d 767 (1974),</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as recognized in </w:t>
            </w:r>
            <w:hyperlink r:id="rId1570" w:history="1">
              <w:r>
                <w:rPr>
                  <w:rFonts w:ascii="Arial" w:eastAsia="Arial" w:hAnsi="Arial" w:cs="Arial"/>
                  <w:i/>
                  <w:color w:val="0077CC"/>
                  <w:sz w:val="20"/>
                  <w:u w:val="single"/>
                </w:rPr>
                <w:t>Pringle v. State, 370 Md. 525, 535-36 &amp; n.10, 805 A.2d 1016, 1022 &amp; n.10 (2002);</w:t>
              </w:r>
            </w:hyperlink>
            <w:r>
              <w:rPr>
                <w:rFonts w:ascii="Arial" w:eastAsia="Arial" w:hAnsi="Arial" w:cs="Arial"/>
                <w:color w:val="000000"/>
                <w:sz w:val="20"/>
              </w:rPr>
              <w:t xml:space="preserve"> </w:t>
            </w:r>
            <w:hyperlink r:id="rId1571" w:history="1">
              <w:r>
                <w:rPr>
                  <w:rFonts w:ascii="Arial" w:eastAsia="Arial" w:hAnsi="Arial" w:cs="Arial"/>
                  <w:i/>
                  <w:color w:val="0077CC"/>
                  <w:sz w:val="20"/>
                  <w:u w:val="single"/>
                </w:rPr>
                <w:t>Cook, 84 Md. App. at 134-35, 578 A.2d at 289</w:t>
              </w:r>
            </w:hyperlink>
            <w:r>
              <w:rPr>
                <w:rFonts w:ascii="Arial" w:eastAsia="Arial" w:hAnsi="Arial" w:cs="Arial"/>
                <w:color w:val="000000"/>
                <w:sz w:val="20"/>
              </w:rPr>
              <w:t xml:space="preserve"> (all factors present); </w:t>
            </w:r>
            <w:hyperlink r:id="rId1572" w:history="1">
              <w:r>
                <w:rPr>
                  <w:rFonts w:ascii="Arial" w:eastAsia="Arial" w:hAnsi="Arial" w:cs="Arial"/>
                  <w:i/>
                  <w:color w:val="0077CC"/>
                  <w:sz w:val="20"/>
                  <w:u w:val="single"/>
                </w:rPr>
                <w:t>Folk v. State, 11 Md. App. 508, 514, 275 A.2d 184, 187 (1971).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573" w:history="1">
              <w:r>
                <w:rPr>
                  <w:rFonts w:ascii="Arial" w:eastAsia="Arial" w:hAnsi="Arial" w:cs="Arial"/>
                  <w:i/>
                  <w:color w:val="0077CC"/>
                  <w:sz w:val="20"/>
                  <w:u w:val="single"/>
                </w:rPr>
                <w:t>State v. Suddith, 379 Md. 425, 842 A.2d 716 (2004),</w:t>
              </w:r>
            </w:hyperlink>
            <w:r>
              <w:rPr>
                <w:rFonts w:ascii="Arial" w:eastAsia="Arial" w:hAnsi="Arial" w:cs="Arial"/>
                <w:color w:val="000000"/>
                <w:sz w:val="20"/>
              </w:rPr>
              <w:t xml:space="preserve"> the defendant, who was convicted of possession of heroin, cocaine, and drug paraphernalia, was traveling in a stolen vehicle that flipped over following a highspeed police chase. Drugs and paraphernalia were scattered throughout the entire exposed passenger cabin of the flipped vehicle. </w:t>
            </w:r>
            <w:hyperlink r:id="rId1574" w:history="1">
              <w:r>
                <w:rPr>
                  <w:rFonts w:ascii="Arial" w:eastAsia="Arial" w:hAnsi="Arial" w:cs="Arial"/>
                  <w:i/>
                  <w:color w:val="0077CC"/>
                  <w:sz w:val="20"/>
                  <w:u w:val="single"/>
                </w:rPr>
                <w:t>Id. at 427-28, 842 A.2d at 717-18.</w:t>
              </w:r>
            </w:hyperlink>
            <w:r>
              <w:rPr>
                <w:rFonts w:ascii="Arial" w:eastAsia="Arial" w:hAnsi="Arial" w:cs="Arial"/>
                <w:color w:val="000000"/>
                <w:sz w:val="20"/>
              </w:rPr>
              <w:t xml:space="preserve"> The Court of Appeals, in light of </w:t>
            </w:r>
            <w:hyperlink r:id="rId1575" w:history="1">
              <w:r>
                <w:rPr>
                  <w:rFonts w:ascii="Arial" w:eastAsia="Arial" w:hAnsi="Arial" w:cs="Arial"/>
                  <w:i/>
                  <w:color w:val="0077CC"/>
                  <w:sz w:val="20"/>
                  <w:u w:val="single"/>
                </w:rPr>
                <w:t>Maryland v. Pringle, 540 U.S. 366 (2003),</w:t>
              </w:r>
            </w:hyperlink>
            <w:r>
              <w:rPr>
                <w:rFonts w:ascii="Arial" w:eastAsia="Arial" w:hAnsi="Arial" w:cs="Arial"/>
                <w:color w:val="000000"/>
                <w:sz w:val="20"/>
              </w:rPr>
              <w:t xml:space="preserve"> ruled that the jury could have inferred knowledge based on the quantity of drugs and paraphernalia strewn throughout the vehicle's interior. </w:t>
            </w:r>
            <w:hyperlink r:id="rId1576" w:history="1">
              <w:r>
                <w:rPr>
                  <w:rFonts w:ascii="Arial" w:eastAsia="Arial" w:hAnsi="Arial" w:cs="Arial"/>
                  <w:i/>
                  <w:color w:val="0077CC"/>
                  <w:sz w:val="20"/>
                  <w:u w:val="single"/>
                </w:rPr>
                <w:t>Id. at 443-46, 842 A.2d at 727-28.</w:t>
              </w:r>
            </w:hyperlink>
            <w:r>
              <w:rPr>
                <w:rFonts w:ascii="Arial" w:eastAsia="Arial" w:hAnsi="Arial" w:cs="Arial"/>
                <w:color w:val="000000"/>
                <w:sz w:val="20"/>
              </w:rPr>
              <w:t xml:space="preserve"> In </w:t>
            </w:r>
            <w:r>
              <w:rPr>
                <w:rFonts w:ascii="Arial" w:eastAsia="Arial" w:hAnsi="Arial" w:cs="Arial"/>
                <w:i/>
                <w:color w:val="000000"/>
                <w:sz w:val="20"/>
              </w:rPr>
              <w:t>Pringle</w:t>
            </w:r>
            <w:r>
              <w:rPr>
                <w:rFonts w:ascii="Arial" w:eastAsia="Arial" w:hAnsi="Arial" w:cs="Arial"/>
                <w:color w:val="000000"/>
                <w:sz w:val="20"/>
              </w:rPr>
              <w:t xml:space="preserve">, the United States Supreme Court ruled that it was reasonable for a police officer to infer a criminal enterprise among three occupants of a vehicle, when, after consent to search was obtained, the police found a large amount of cash in the glove compartment and cocaine in the rear seat armrest. </w:t>
            </w:r>
            <w:hyperlink r:id="rId1577" w:history="1">
              <w:r>
                <w:rPr>
                  <w:rFonts w:ascii="Arial" w:eastAsia="Arial" w:hAnsi="Arial" w:cs="Arial"/>
                  <w:i/>
                  <w:color w:val="0077CC"/>
                  <w:sz w:val="20"/>
                  <w:u w:val="single"/>
                </w:rPr>
                <w:t>540 U.S. at 373.</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An important factor in determining constructive possession is proximity. The closer the defendant is to the thing allegedly possessed, the more likely it is that the defendant is in possession of the thing. Another factor to consider in determining constructive possession is proprietary interest. The greater the defendant's proprietary interest in the place in which the thing allegedly possessed rests, e.g., house, pocketbook, automobile, the more likely it is that the defendant is in possession of the thing. The proximity and proprietary interest factors almost always interrelate. Another factor is mutual use. The greater the degree of the defendant's participation with one or more persons who are in actual or constructive possession of the thing allegedly possessed, the more likely it is that the defendant is participating in a common design involving the mutual use and enjoyment--and thus possession--of the thing. </w:t>
            </w:r>
            <w:r>
              <w:rPr>
                <w:rFonts w:ascii="Arial" w:eastAsia="Arial" w:hAnsi="Arial" w:cs="Arial"/>
                <w:i/>
                <w:color w:val="000000"/>
                <w:sz w:val="20"/>
              </w:rPr>
              <w:t xml:space="preserve">See, e.g., </w:t>
            </w:r>
            <w:hyperlink r:id="rId1578" w:history="1">
              <w:r>
                <w:rPr>
                  <w:rFonts w:ascii="Arial" w:eastAsia="Arial" w:hAnsi="Arial" w:cs="Arial"/>
                  <w:i/>
                  <w:color w:val="0077CC"/>
                  <w:sz w:val="20"/>
                  <w:u w:val="single"/>
                </w:rPr>
                <w:t>Leach, 296 Md. 591, 463 A.2d 872</w:t>
              </w:r>
            </w:hyperlink>
            <w:r>
              <w:rPr>
                <w:rFonts w:ascii="Arial" w:eastAsia="Arial" w:hAnsi="Arial" w:cs="Arial"/>
                <w:color w:val="000000"/>
                <w:sz w:val="20"/>
              </w:rPr>
              <w:t xml:space="preserve"> (finding that the defendant was not in possession of PCP stored in a closed container on the bedroom dresser or drug paraphernalia found in the bedroom closet of someone else's apartment, even </w:t>
            </w:r>
            <w:r>
              <w:rPr>
                <w:rFonts w:ascii="Arial" w:eastAsia="Arial" w:hAnsi="Arial" w:cs="Arial"/>
                <w:color w:val="000000"/>
                <w:sz w:val="20"/>
              </w:rPr>
              <w:lastRenderedPageBreak/>
              <w:t xml:space="preserve">though the defendant had ready access to the premises); </w:t>
            </w:r>
            <w:hyperlink r:id="rId1579" w:history="1">
              <w:r>
                <w:rPr>
                  <w:rFonts w:ascii="Arial" w:eastAsia="Arial" w:hAnsi="Arial" w:cs="Arial"/>
                  <w:i/>
                  <w:color w:val="0077CC"/>
                  <w:sz w:val="20"/>
                  <w:u w:val="single"/>
                </w:rPr>
                <w:t>Hill v. State, 237 Md. 630, 206 A.2d 677 (1965)</w:t>
              </w:r>
            </w:hyperlink>
            <w:r>
              <w:rPr>
                <w:rFonts w:ascii="Arial" w:eastAsia="Arial" w:hAnsi="Arial" w:cs="Arial"/>
                <w:color w:val="000000"/>
                <w:sz w:val="20"/>
              </w:rPr>
              <w:t xml:space="preserve"> (finding evidence sufficient for possession where the defendant, who was one of three occupants of an apartment containing a burnt teaspoon, traces of heroin in a bottle cap, and a hypodermic needle, had fresh needle marks and admitted that others used the heroin in her presence, and that she had used it once several days earlier); </w:t>
            </w:r>
            <w:hyperlink r:id="rId1580" w:history="1">
              <w:r>
                <w:rPr>
                  <w:rFonts w:ascii="Arial" w:eastAsia="Arial" w:hAnsi="Arial" w:cs="Arial"/>
                  <w:i/>
                  <w:color w:val="0077CC"/>
                  <w:sz w:val="20"/>
                  <w:u w:val="single"/>
                </w:rPr>
                <w:t>Yanch v. State, 201 Md. 296, 93 A.2d 749 (1953)</w:t>
              </w:r>
            </w:hyperlink>
            <w:r>
              <w:rPr>
                <w:rFonts w:ascii="Arial" w:eastAsia="Arial" w:hAnsi="Arial" w:cs="Arial"/>
                <w:color w:val="000000"/>
                <w:sz w:val="20"/>
              </w:rPr>
              <w:t xml:space="preserve"> (finding that the defendant wife of the tavern owner was not in possession of lottery slips secreted between newspapers collected by the maid and stored on top of a piano in a public dining room); </w:t>
            </w:r>
            <w:hyperlink r:id="rId1581" w:history="1">
              <w:r>
                <w:rPr>
                  <w:rFonts w:ascii="Arial" w:eastAsia="Arial" w:hAnsi="Arial" w:cs="Arial"/>
                  <w:i/>
                  <w:color w:val="0077CC"/>
                  <w:sz w:val="20"/>
                  <w:u w:val="single"/>
                </w:rPr>
                <w:t>Puckett v. State, 13 Md. App. 584, 284 A.2d 252 (1971)</w:t>
              </w:r>
            </w:hyperlink>
            <w:r>
              <w:rPr>
                <w:rFonts w:ascii="Arial" w:eastAsia="Arial" w:hAnsi="Arial" w:cs="Arial"/>
                <w:color w:val="000000"/>
                <w:sz w:val="20"/>
              </w:rPr>
              <w:t xml:space="preserve"> (finding that the defendant, who spent much of his time at construction sites out-of-state, was not in possession of marijuana plants growing at the edge of a vegetable garden on the premises he jointly owned with his wife),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265 Md. 742 (1972);</w:t>
            </w:r>
            <w:r>
              <w:rPr>
                <w:rFonts w:ascii="Arial" w:eastAsia="Arial" w:hAnsi="Arial" w:cs="Arial"/>
                <w:color w:val="000000"/>
                <w:sz w:val="20"/>
              </w:rPr>
              <w:t xml:space="preserve"> </w:t>
            </w:r>
            <w:hyperlink r:id="rId1582" w:history="1">
              <w:r>
                <w:rPr>
                  <w:rFonts w:ascii="Arial" w:eastAsia="Arial" w:hAnsi="Arial" w:cs="Arial"/>
                  <w:i/>
                  <w:color w:val="0077CC"/>
                  <w:sz w:val="20"/>
                  <w:u w:val="single"/>
                </w:rPr>
                <w:t>Wilkins v. State, 11 Md. App. 113, 273 A.2d 236</w:t>
              </w:r>
            </w:hyperlink>
            <w:r>
              <w:rPr>
                <w:rFonts w:ascii="Arial" w:eastAsia="Arial" w:hAnsi="Arial" w:cs="Arial"/>
                <w:color w:val="000000"/>
                <w:sz w:val="20"/>
              </w:rPr>
              <w:t xml:space="preserve"> (holding that exclusive possession of the premises is sufficient, without more, to infer possession of that contained therein),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261 Md. 730 (1971);</w:t>
            </w:r>
            <w:r>
              <w:rPr>
                <w:rFonts w:ascii="Arial" w:eastAsia="Arial" w:hAnsi="Arial" w:cs="Arial"/>
                <w:color w:val="000000"/>
                <w:sz w:val="20"/>
              </w:rPr>
              <w:t xml:space="preserve"> </w:t>
            </w:r>
            <w:hyperlink r:id="rId1583" w:history="1">
              <w:r>
                <w:rPr>
                  <w:rFonts w:ascii="Arial" w:eastAsia="Arial" w:hAnsi="Arial" w:cs="Arial"/>
                  <w:i/>
                  <w:color w:val="0077CC"/>
                  <w:sz w:val="20"/>
                  <w:u w:val="single"/>
                </w:rPr>
                <w:t>Middleton v. State, 10 Md. App. 18, 267 A.2d 759</w:t>
              </w:r>
            </w:hyperlink>
            <w:r>
              <w:rPr>
                <w:rFonts w:ascii="Arial" w:eastAsia="Arial" w:hAnsi="Arial" w:cs="Arial"/>
                <w:color w:val="000000"/>
                <w:sz w:val="20"/>
              </w:rPr>
              <w:t xml:space="preserve"> (finding that the defendant, who, with another, stole a car, was in possession of narcotics in the car's trunk),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259 Md. 734 (1970);</w:t>
            </w:r>
            <w:r>
              <w:rPr>
                <w:rFonts w:ascii="Arial" w:eastAsia="Arial" w:hAnsi="Arial" w:cs="Arial"/>
                <w:color w:val="000000"/>
                <w:sz w:val="20"/>
              </w:rPr>
              <w:t xml:space="preserve"> </w:t>
            </w:r>
            <w:hyperlink r:id="rId1584" w:history="1">
              <w:r>
                <w:rPr>
                  <w:rFonts w:ascii="Arial" w:eastAsia="Arial" w:hAnsi="Arial" w:cs="Arial"/>
                  <w:i/>
                  <w:color w:val="0077CC"/>
                  <w:sz w:val="20"/>
                  <w:u w:val="single"/>
                </w:rPr>
                <w:t>Scott v. State, 7 Md. App. 505, 256 A.2d 384 (1969)</w:t>
              </w:r>
            </w:hyperlink>
            <w:r>
              <w:rPr>
                <w:rFonts w:ascii="Arial" w:eastAsia="Arial" w:hAnsi="Arial" w:cs="Arial"/>
                <w:color w:val="000000"/>
                <w:sz w:val="20"/>
              </w:rPr>
              <w:t xml:space="preserve"> (finding that the defendant was not in possession of heroin in his sister's pocketbook in that portion of his premises that she occupied),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256 Md. 747 (1970);</w:t>
            </w:r>
            <w:r>
              <w:rPr>
                <w:rFonts w:ascii="Arial" w:eastAsia="Arial" w:hAnsi="Arial" w:cs="Arial"/>
                <w:color w:val="000000"/>
                <w:sz w:val="20"/>
              </w:rPr>
              <w:t xml:space="preserve"> </w:t>
            </w:r>
            <w:hyperlink r:id="rId1585" w:history="1">
              <w:r>
                <w:rPr>
                  <w:rFonts w:ascii="Arial" w:eastAsia="Arial" w:hAnsi="Arial" w:cs="Arial"/>
                  <w:i/>
                  <w:color w:val="0077CC"/>
                  <w:sz w:val="20"/>
                  <w:u w:val="single"/>
                </w:rPr>
                <w:t>Broadway v. State, 3 Md. App. 164, 237 A.2d 820</w:t>
              </w:r>
            </w:hyperlink>
            <w:r>
              <w:rPr>
                <w:rFonts w:ascii="Arial" w:eastAsia="Arial" w:hAnsi="Arial" w:cs="Arial"/>
                <w:color w:val="000000"/>
                <w:sz w:val="20"/>
              </w:rPr>
              <w:t xml:space="preserve"> (finding that the defendant, who was visiting two occupants of the premises, was in possession of heroin located on the floor one foot away, particularly in light of his fresh needle marks),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250 Md. 731 (1968).</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586" w:history="1">
              <w:r>
                <w:rPr>
                  <w:rFonts w:ascii="Arial" w:eastAsia="Arial" w:hAnsi="Arial" w:cs="Arial"/>
                  <w:i/>
                  <w:color w:val="0077CC"/>
                  <w:sz w:val="20"/>
                  <w:u w:val="single"/>
                </w:rPr>
                <w:t>Smith v. State, 415 Md. 174, 999 A.2d 986 (2010),</w:t>
              </w:r>
            </w:hyperlink>
            <w:r>
              <w:rPr>
                <w:rFonts w:ascii="Arial" w:eastAsia="Arial" w:hAnsi="Arial" w:cs="Arial"/>
                <w:color w:val="000000"/>
                <w:sz w:val="20"/>
              </w:rPr>
              <w:t xml:space="preserve"> police executed a search warrant and found twelve to fourteen persons engulfed in a heavy cloud of marijuana. </w:t>
            </w:r>
            <w:hyperlink r:id="rId1587" w:history="1">
              <w:r>
                <w:rPr>
                  <w:rFonts w:ascii="Arial" w:eastAsia="Arial" w:hAnsi="Arial" w:cs="Arial"/>
                  <w:i/>
                  <w:color w:val="0077CC"/>
                  <w:sz w:val="20"/>
                  <w:u w:val="single"/>
                </w:rPr>
                <w:t>Id. at 178, 999 A.2d at 988.</w:t>
              </w:r>
            </w:hyperlink>
            <w:r>
              <w:rPr>
                <w:rFonts w:ascii="Arial" w:eastAsia="Arial" w:hAnsi="Arial" w:cs="Arial"/>
                <w:color w:val="000000"/>
                <w:sz w:val="20"/>
              </w:rPr>
              <w:t xml:space="preserve"> The defendant was seated at a table with four other individuals. </w:t>
            </w:r>
            <w:r>
              <w:rPr>
                <w:rFonts w:ascii="Arial" w:eastAsia="Arial" w:hAnsi="Arial" w:cs="Arial"/>
                <w:i/>
                <w:color w:val="000000"/>
                <w:sz w:val="20"/>
              </w:rPr>
              <w:t>Id.</w:t>
            </w:r>
            <w:r>
              <w:rPr>
                <w:rFonts w:ascii="Arial" w:eastAsia="Arial" w:hAnsi="Arial" w:cs="Arial"/>
                <w:color w:val="000000"/>
                <w:sz w:val="20"/>
              </w:rPr>
              <w:t xml:space="preserve"> In the center of the table, within arm's reach of the defendant, was a marijuana cigarette that had been burned down to a small portion. </w:t>
            </w:r>
            <w:r>
              <w:rPr>
                <w:rFonts w:ascii="Arial" w:eastAsia="Arial" w:hAnsi="Arial" w:cs="Arial"/>
                <w:i/>
                <w:color w:val="000000"/>
                <w:sz w:val="20"/>
              </w:rPr>
              <w:t>Id.</w:t>
            </w:r>
            <w:r>
              <w:rPr>
                <w:rFonts w:ascii="Arial" w:eastAsia="Arial" w:hAnsi="Arial" w:cs="Arial"/>
                <w:color w:val="000000"/>
                <w:sz w:val="20"/>
              </w:rPr>
              <w:t xml:space="preserve"> A black leather jacket, which was hanging on a chair at the table where the defendant was sitting, but not hanging from the defendant's chair, was found to contain fifteen Ziploc bags of marijuana in the pocket. </w:t>
            </w:r>
            <w:hyperlink r:id="rId1588" w:history="1">
              <w:r>
                <w:rPr>
                  <w:rFonts w:ascii="Arial" w:eastAsia="Arial" w:hAnsi="Arial" w:cs="Arial"/>
                  <w:i/>
                  <w:color w:val="0077CC"/>
                  <w:sz w:val="20"/>
                  <w:u w:val="single"/>
                </w:rPr>
                <w:t>Id. at 179, 999 A.2d at 988.</w:t>
              </w:r>
            </w:hyperlink>
            <w:r>
              <w:rPr>
                <w:rFonts w:ascii="Arial" w:eastAsia="Arial" w:hAnsi="Arial" w:cs="Arial"/>
                <w:color w:val="000000"/>
                <w:sz w:val="20"/>
              </w:rPr>
              <w:t xml:space="preserve"> The Court of Appeals stated that:</w:t>
            </w:r>
          </w:p>
          <w:p w:rsidR="004729FB" w:rsidRDefault="004729FB" w:rsidP="00713DA5">
            <w:pPr>
              <w:spacing w:before="60" w:line="260" w:lineRule="atLeast"/>
              <w:ind w:left="460" w:right="360"/>
              <w:jc w:val="both"/>
            </w:pPr>
            <w:r>
              <w:rPr>
                <w:rFonts w:ascii="Arial" w:eastAsia="Arial" w:hAnsi="Arial" w:cs="Arial"/>
                <w:color w:val="000000"/>
                <w:sz w:val="20"/>
              </w:rPr>
              <w:t>[W]e have found several factors to be relevant in the determination of whether an individual was in the possession of the CDS [Controlled Dangerous Substance], including, the defendant's proximity to the drugs, whether the drugs were in plain view of and/or accessible to the defendant, whether there was inidicia of mutual use and enjoyment of the drugs, and whether the defendant has an ownership or possessory interest in the location where the police discovered the drugs.</w:t>
            </w:r>
          </w:p>
          <w:p w:rsidR="004729FB" w:rsidRDefault="004729FB" w:rsidP="00713DA5">
            <w:pPr>
              <w:spacing w:before="240" w:line="260" w:lineRule="atLeast"/>
              <w:ind w:left="60" w:right="360"/>
              <w:jc w:val="both"/>
            </w:pPr>
            <w:hyperlink r:id="rId1589" w:history="1">
              <w:r>
                <w:rPr>
                  <w:rFonts w:ascii="Arial" w:eastAsia="Arial" w:hAnsi="Arial" w:cs="Arial"/>
                  <w:i/>
                  <w:color w:val="0077CC"/>
                  <w:sz w:val="20"/>
                  <w:u w:val="single"/>
                </w:rPr>
                <w:t>Id. at 198, 999 A.2d at 999-1000</w:t>
              </w:r>
            </w:hyperlink>
            <w:r>
              <w:rPr>
                <w:rFonts w:ascii="Arial" w:eastAsia="Arial" w:hAnsi="Arial" w:cs="Arial"/>
                <w:color w:val="000000"/>
                <w:sz w:val="20"/>
              </w:rPr>
              <w:t xml:space="preserve"> (citations omitted). The Court upheld the conviction, stating that defendant "was in close proximity to the known marijuana in the blunt, the lit and partially-consumed marijuana blunt was in [the defendant's] view, the blunt was accessible easily to him, and it was reasonable to infer from the circumstances that he was engaging in the mutual use and enjoyment of the marijuana." </w:t>
            </w:r>
            <w:hyperlink r:id="rId1590" w:history="1">
              <w:r>
                <w:rPr>
                  <w:rFonts w:ascii="Arial" w:eastAsia="Arial" w:hAnsi="Arial" w:cs="Arial"/>
                  <w:i/>
                  <w:color w:val="0077CC"/>
                  <w:sz w:val="20"/>
                  <w:u w:val="single"/>
                </w:rPr>
                <w:t>Id. at 200, 999 A.2d at 1001.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Although circumstantial evidence to support constructive possession is sufficient, guilt must rest on more than mere suspicion, probability, conjecture, or surmise. </w:t>
            </w:r>
            <w:r>
              <w:rPr>
                <w:rFonts w:ascii="Arial" w:eastAsia="Arial" w:hAnsi="Arial" w:cs="Arial"/>
                <w:i/>
                <w:color w:val="000000"/>
                <w:sz w:val="20"/>
              </w:rPr>
              <w:t xml:space="preserve">See </w:t>
            </w:r>
            <w:hyperlink r:id="rId1591" w:history="1">
              <w:r>
                <w:rPr>
                  <w:rFonts w:ascii="Arial" w:eastAsia="Arial" w:hAnsi="Arial" w:cs="Arial"/>
                  <w:i/>
                  <w:color w:val="0077CC"/>
                  <w:sz w:val="20"/>
                  <w:u w:val="single"/>
                </w:rPr>
                <w:t>Taylor, 346 Md. at 459-64, 697 A.2d at 465-67</w:t>
              </w:r>
            </w:hyperlink>
            <w:r>
              <w:rPr>
                <w:rFonts w:ascii="Arial" w:eastAsia="Arial" w:hAnsi="Arial" w:cs="Arial"/>
                <w:color w:val="000000"/>
                <w:sz w:val="20"/>
              </w:rPr>
              <w:t xml:space="preserve"> (finding insufficient evidence of possession of marijuana, despite evidence that marijuana had been smoked recently on the premises, when no drugs or drug paraphernalia were found on the defendant or in his belongings, and no one observed the defendant or any of the other occupants smoking marijuana); </w:t>
            </w:r>
            <w:r>
              <w:rPr>
                <w:rFonts w:ascii="Arial" w:eastAsia="Arial" w:hAnsi="Arial" w:cs="Arial"/>
                <w:i/>
                <w:color w:val="000000"/>
                <w:sz w:val="20"/>
              </w:rPr>
              <w:t xml:space="preserve">see also </w:t>
            </w:r>
            <w:hyperlink r:id="rId1592" w:history="1">
              <w:r>
                <w:rPr>
                  <w:rFonts w:ascii="Arial" w:eastAsia="Arial" w:hAnsi="Arial" w:cs="Arial"/>
                  <w:i/>
                  <w:color w:val="0077CC"/>
                  <w:sz w:val="20"/>
                  <w:u w:val="single"/>
                </w:rPr>
                <w:t>Fleming v. State, 373 Md. 426, 431-39, 818 A.2d 1117, 1120-25 (2003)</w:t>
              </w:r>
            </w:hyperlink>
            <w:r>
              <w:rPr>
                <w:rFonts w:ascii="Arial" w:eastAsia="Arial" w:hAnsi="Arial" w:cs="Arial"/>
                <w:color w:val="000000"/>
                <w:sz w:val="20"/>
              </w:rPr>
              <w:t xml:space="preserve"> (holding that the defendant was entitled to a mere presence instruction because the concept of mere presence was not adequately covered by the possession instruction).</w:t>
            </w:r>
          </w:p>
          <w:p w:rsidR="004729FB" w:rsidRDefault="004729FB" w:rsidP="00713DA5">
            <w:pPr>
              <w:spacing w:before="240" w:line="260" w:lineRule="atLeast"/>
              <w:ind w:left="60" w:right="360"/>
              <w:jc w:val="both"/>
            </w:pPr>
            <w:r>
              <w:rPr>
                <w:rFonts w:ascii="Arial" w:eastAsia="Arial" w:hAnsi="Arial" w:cs="Arial"/>
                <w:color w:val="000000"/>
                <w:sz w:val="20"/>
              </w:rPr>
              <w:t xml:space="preserve">Simultaneous possession of two different controlled dangerous substances may constitute either one or two units of prosecution. At the one end of the spectrum, simultaneous possession of two different substances constitutes only one offense when the substances "'have been mechanically or chemically combined in such manner that at the time of possession it is not possible, in any practical sense, to separate them.'" </w:t>
            </w:r>
            <w:hyperlink r:id="rId1593" w:history="1">
              <w:r>
                <w:rPr>
                  <w:rFonts w:ascii="Arial" w:eastAsia="Arial" w:hAnsi="Arial" w:cs="Arial"/>
                  <w:i/>
                  <w:color w:val="0077CC"/>
                  <w:sz w:val="20"/>
                  <w:u w:val="single"/>
                </w:rPr>
                <w:t>State v. Owens, 320 Md. 682, 687-88, 579 A.2d 766, 768-69 (1990)</w:t>
              </w:r>
            </w:hyperlink>
            <w:r>
              <w:rPr>
                <w:rFonts w:ascii="Arial" w:eastAsia="Arial" w:hAnsi="Arial" w:cs="Arial"/>
                <w:color w:val="000000"/>
                <w:sz w:val="20"/>
              </w:rPr>
              <w:t xml:space="preserve"> (quoting </w:t>
            </w:r>
            <w:hyperlink r:id="rId1594" w:history="1">
              <w:r>
                <w:rPr>
                  <w:rFonts w:ascii="Arial" w:eastAsia="Arial" w:hAnsi="Arial" w:cs="Arial"/>
                  <w:i/>
                  <w:color w:val="0077CC"/>
                  <w:sz w:val="20"/>
                  <w:u w:val="single"/>
                </w:rPr>
                <w:t>Cunningham v. State, 318 Md. 182, 188 n.2, 567 A.2d 126, 129 n.2 (1989))</w:t>
              </w:r>
            </w:hyperlink>
            <w:r>
              <w:rPr>
                <w:rFonts w:ascii="Arial" w:eastAsia="Arial" w:hAnsi="Arial" w:cs="Arial"/>
                <w:color w:val="000000"/>
                <w:sz w:val="20"/>
              </w:rPr>
              <w:t xml:space="preserve"> (finding that marijuana "laced," i.e., dipped into, or sprayed with, </w:t>
            </w:r>
            <w:r>
              <w:rPr>
                <w:rFonts w:ascii="Arial" w:eastAsia="Arial" w:hAnsi="Arial" w:cs="Arial"/>
                <w:color w:val="000000"/>
                <w:sz w:val="20"/>
              </w:rPr>
              <w:lastRenderedPageBreak/>
              <w:t>PCP constitutes one unit of prosecution).</w:t>
            </w:r>
          </w:p>
          <w:p w:rsidR="004729FB" w:rsidRDefault="004729FB" w:rsidP="00713DA5">
            <w:pPr>
              <w:spacing w:before="240" w:line="260" w:lineRule="atLeast"/>
              <w:ind w:left="60" w:right="360"/>
              <w:jc w:val="both"/>
            </w:pPr>
            <w:r>
              <w:rPr>
                <w:rFonts w:ascii="Arial" w:eastAsia="Arial" w:hAnsi="Arial" w:cs="Arial"/>
                <w:color w:val="000000"/>
                <w:sz w:val="20"/>
              </w:rPr>
              <w:t xml:space="preserve">At the other end of the spectrum, simultaneous possession of two different substances in one container constitutes two offenses when the substances are not mixed or compounded and are still readily separated. </w:t>
            </w:r>
            <w:hyperlink r:id="rId1595" w:history="1">
              <w:r>
                <w:rPr>
                  <w:rFonts w:ascii="Arial" w:eastAsia="Arial" w:hAnsi="Arial" w:cs="Arial"/>
                  <w:i/>
                  <w:color w:val="0077CC"/>
                  <w:sz w:val="20"/>
                  <w:u w:val="single"/>
                </w:rPr>
                <w:t>Cunningham, 318 Md. at 188, 567 A.2d at 129</w:t>
              </w:r>
            </w:hyperlink>
            <w:r>
              <w:rPr>
                <w:rFonts w:ascii="Arial" w:eastAsia="Arial" w:hAnsi="Arial" w:cs="Arial"/>
                <w:color w:val="000000"/>
                <w:sz w:val="20"/>
              </w:rPr>
              <w:t xml:space="preserve"> (finding that fifteen capsules of cocaine and five envelopes of heroin constitute two units of prosecution). However, when there is evidence that the defendant possessed either cocaine or heroin, but it cannot be determined which one, the defendant cannot be found guilty of either possession of cocaine or possession of heroin. </w:t>
            </w:r>
            <w:hyperlink r:id="rId1596" w:history="1">
              <w:r>
                <w:rPr>
                  <w:rFonts w:ascii="Arial" w:eastAsia="Arial" w:hAnsi="Arial" w:cs="Arial"/>
                  <w:i/>
                  <w:color w:val="0077CC"/>
                  <w:sz w:val="20"/>
                  <w:u w:val="single"/>
                </w:rPr>
                <w:t>State v. Simpson, 318 Md. 194, 567 A.2d 132 (1989).</w:t>
              </w:r>
            </w:hyperlink>
            <w:r>
              <w:rPr>
                <w:rFonts w:ascii="Arial" w:eastAsia="Arial" w:hAnsi="Arial" w:cs="Arial"/>
                <w:color w:val="000000"/>
                <w:sz w:val="20"/>
              </w:rPr>
              <w:t xml:space="preserve"> "[T]he identification of the particular controlled dangerous substance… is so inextricably tied to the critical matters of the appropriate unit of prosecution and the permissible or mandated punishment that it must be treated as an element of the offense." </w:t>
            </w:r>
            <w:hyperlink r:id="rId1597" w:history="1">
              <w:r>
                <w:rPr>
                  <w:rFonts w:ascii="Arial" w:eastAsia="Arial" w:hAnsi="Arial" w:cs="Arial"/>
                  <w:i/>
                  <w:color w:val="0077CC"/>
                  <w:sz w:val="20"/>
                  <w:u w:val="single"/>
                </w:rPr>
                <w:t>Id. at 198, 567 A.2d at 133.</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Cocaine has eight potential isomers, only one of which is natural. The potential for avoiding criminal liability for a non-natural isomer is the "cocaine isomer defense," which relies on the State's inability to prove that the substance is the natural isomer or a controlled equivalent isomer. In </w:t>
            </w:r>
            <w:hyperlink r:id="rId1598" w:history="1">
              <w:r>
                <w:rPr>
                  <w:rFonts w:ascii="Arial" w:eastAsia="Arial" w:hAnsi="Arial" w:cs="Arial"/>
                  <w:i/>
                  <w:color w:val="0077CC"/>
                  <w:sz w:val="20"/>
                  <w:u w:val="single"/>
                </w:rPr>
                <w:t>Best v. State, 79 Md. App. 241, 260-78, 556 A.2d 701, 711-19,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317 Md. 70, 562 A.2d 718 (1989),</w:t>
            </w:r>
            <w:r>
              <w:rPr>
                <w:rFonts w:ascii="Arial" w:eastAsia="Arial" w:hAnsi="Arial" w:cs="Arial"/>
                <w:color w:val="000000"/>
                <w:sz w:val="20"/>
              </w:rPr>
              <w:t xml:space="preserve"> the Court of Special Appeals rejected the defense, holding that there was sufficient evidence from which to infer that the D-cocaine isomer is the chemical equivalent of the natural L-cocaine isomer because they have the same molecular formula and the mirror image molecular structure, and most chemical tests cannot distinguish between them. Moreover, CRIM. LAW I § 5-403(b)(3)(iv) lists "cocaine, its salts, optical and geometric isomers, and salts of isomers" as controlled dangerous substances.</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599" w:history="1">
              <w:r>
                <w:rPr>
                  <w:rFonts w:ascii="Arial" w:eastAsia="Arial" w:hAnsi="Arial" w:cs="Arial"/>
                  <w:i/>
                  <w:color w:val="0077CC"/>
                  <w:sz w:val="20"/>
                  <w:u w:val="single"/>
                </w:rPr>
                <w:t>Anderson v. State, 385 Md. 123, 867 A.2d 1040 (2005),</w:t>
              </w:r>
            </w:hyperlink>
            <w:r>
              <w:rPr>
                <w:rFonts w:ascii="Arial" w:eastAsia="Arial" w:hAnsi="Arial" w:cs="Arial"/>
                <w:color w:val="000000"/>
                <w:sz w:val="20"/>
              </w:rPr>
              <w:t xml:space="preserve"> the Court of Appeals addressed the interplay among possession, possession with intent to distribute, and distribution, both from a merger standpoint and from a criminal transaction or unit of prosecution standpoint. The Court held that possession is a lesser included offense of both possession with intent to distribute and distribution and, thus, (1) possession merges into possession with intent to distribute, and (2) possession merges into distribution. </w:t>
            </w:r>
            <w:hyperlink r:id="rId1600" w:history="1">
              <w:r>
                <w:rPr>
                  <w:rFonts w:ascii="Arial" w:eastAsia="Arial" w:hAnsi="Arial" w:cs="Arial"/>
                  <w:i/>
                  <w:color w:val="0077CC"/>
                  <w:sz w:val="20"/>
                  <w:u w:val="single"/>
                </w:rPr>
                <w:t>Id. at 132-33, 867 A.2d at 1045</w:t>
              </w:r>
            </w:hyperlink>
            <w:r>
              <w:rPr>
                <w:rFonts w:ascii="Arial" w:eastAsia="Arial" w:hAnsi="Arial" w:cs="Arial"/>
                <w:color w:val="000000"/>
                <w:sz w:val="20"/>
              </w:rPr>
              <w:t xml:space="preserve"> (citing </w:t>
            </w:r>
            <w:hyperlink r:id="rId1601" w:history="1">
              <w:r>
                <w:rPr>
                  <w:rFonts w:ascii="Arial" w:eastAsia="Arial" w:hAnsi="Arial" w:cs="Arial"/>
                  <w:i/>
                  <w:color w:val="0077CC"/>
                  <w:sz w:val="20"/>
                  <w:u w:val="single"/>
                </w:rPr>
                <w:t>State v. Woodson, 338 Md. 322, 329, 658 A.2d 272, 276 (1995),</w:t>
              </w:r>
            </w:hyperlink>
            <w:r>
              <w:rPr>
                <w:rFonts w:ascii="Arial" w:eastAsia="Arial" w:hAnsi="Arial" w:cs="Arial"/>
                <w:color w:val="000000"/>
                <w:sz w:val="20"/>
              </w:rPr>
              <w:t xml:space="preserve"> for the former conclusion, and </w:t>
            </w:r>
            <w:hyperlink r:id="rId1602" w:history="1">
              <w:r>
                <w:rPr>
                  <w:rFonts w:ascii="Arial" w:eastAsia="Arial" w:hAnsi="Arial" w:cs="Arial"/>
                  <w:i/>
                  <w:color w:val="0077CC"/>
                  <w:sz w:val="20"/>
                  <w:u w:val="single"/>
                </w:rPr>
                <w:t>Hankins v. State, 80 Md. App. 647, 565 A.2d 686 (1989),</w:t>
              </w:r>
            </w:hyperlink>
            <w:r>
              <w:rPr>
                <w:rFonts w:ascii="Arial" w:eastAsia="Arial" w:hAnsi="Arial" w:cs="Arial"/>
                <w:color w:val="000000"/>
                <w:sz w:val="20"/>
              </w:rPr>
              <w:t xml:space="preserve"> for the latter conclusion).</w:t>
            </w:r>
          </w:p>
          <w:p w:rsidR="004729FB" w:rsidRDefault="004729FB" w:rsidP="00713DA5">
            <w:pPr>
              <w:spacing w:before="200" w:line="260" w:lineRule="atLeast"/>
              <w:ind w:left="60" w:right="360"/>
              <w:jc w:val="both"/>
            </w:pPr>
            <w:r>
              <w:rPr>
                <w:rFonts w:ascii="Arial" w:eastAsia="Arial" w:hAnsi="Arial" w:cs="Arial"/>
                <w:color w:val="000000"/>
                <w:sz w:val="20"/>
              </w:rPr>
              <w:t xml:space="preserve">However, because merger requires that the offenses arise from the same criminal transaction, the merger relationship of these offenses--from an "element" standpoint--resolves only part of the problem. For example, if there is possession in the first incident and, after the first incident ends, there is possession in the second incident, the possession in the second incident merges into the possession with intent to distribute in the second incident, but the possession in the first incident does not merge into the possession with intent to distribute in the second incident. The Court stated that "[t]he common thread, if there is one, is to consider if there is a commonality of time, location, and purpose: was the contraband that formed the basis of the two offenses possessed at the same time, in the same location, and for essentially the same purpose? If so, courts have found the two offenses to be the same." </w:t>
            </w:r>
            <w:r>
              <w:rPr>
                <w:rFonts w:ascii="Arial" w:eastAsia="Arial" w:hAnsi="Arial" w:cs="Arial"/>
                <w:i/>
                <w:color w:val="000000"/>
                <w:sz w:val="20"/>
              </w:rPr>
              <w:t>Id.</w:t>
            </w:r>
            <w:r>
              <w:rPr>
                <w:rFonts w:ascii="Arial" w:eastAsia="Arial" w:hAnsi="Arial" w:cs="Arial"/>
                <w:color w:val="000000"/>
                <w:sz w:val="20"/>
              </w:rPr>
              <w:t xml:space="preserve"> at 135, 867 A.2d at 1047.</w:t>
            </w:r>
          </w:p>
          <w:p w:rsidR="004729FB" w:rsidRDefault="004729FB" w:rsidP="00713DA5">
            <w:pPr>
              <w:spacing w:before="200" w:line="260" w:lineRule="atLeast"/>
              <w:ind w:left="60" w:right="360"/>
              <w:jc w:val="both"/>
            </w:pPr>
            <w:r>
              <w:rPr>
                <w:rFonts w:ascii="Arial" w:eastAsia="Arial" w:hAnsi="Arial" w:cs="Arial"/>
                <w:color w:val="000000"/>
                <w:sz w:val="20"/>
              </w:rPr>
              <w:t>This instruction was lightly edited in June 2018 to fix a potential ambiguity in circumstances involving purely individual constructive possession.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06" style="position:absolute;left:0;text-align:left;z-index:25193267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89" name="Picture 8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609" w:history="1">
        <w:r>
          <w:rPr>
            <w:rFonts w:ascii="Arial" w:eastAsia="Arial" w:hAnsi="Arial" w:cs="Arial"/>
            <w:b/>
            <w:bCs/>
            <w:i/>
            <w:color w:val="0077CC"/>
            <w:kern w:val="32"/>
            <w:sz w:val="28"/>
            <w:szCs w:val="32"/>
            <w:u w:val="single"/>
          </w:rPr>
          <w:t>MPJI-Cr 4:23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MISCONDUCT IN OFFICE (MALFEASANCE, MISFEASANCE, AND NONFEASANCE)</w:t>
      </w:r>
    </w:p>
    <w:p w:rsidR="004729FB" w:rsidRDefault="004729FB" w:rsidP="004729FB">
      <w:pPr>
        <w:keepNext/>
        <w:spacing w:before="240" w:line="340" w:lineRule="atLeast"/>
      </w:pPr>
      <w:r>
        <w:br/>
      </w:r>
      <w:r>
        <w:rPr>
          <w:rFonts w:ascii="Arial" w:eastAsia="Arial" w:hAnsi="Arial" w:cs="Arial"/>
          <w:b/>
          <w:color w:val="000000"/>
          <w:sz w:val="28"/>
        </w:rPr>
        <w:t>4:23Misconduct in Office (Malfeasance, Misfeasance, and Nonfeasance)</w:t>
      </w:r>
    </w:p>
    <w:p w:rsidR="004729FB" w:rsidRDefault="004729FB" w:rsidP="004729FB">
      <w:pPr>
        <w:spacing w:line="60" w:lineRule="exact"/>
      </w:pPr>
      <w:r>
        <w:pict>
          <v:line id="_x0000_s1297" style="position:absolute;z-index:25192345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misconduct in office. Misconduct in office is corrupt behavior by a public official in the exercise of [his] [her] duties of office or while acting under color of office.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a public officer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[[acted in [his] [her] official capacity]] [[took advantage of [his] [her] public office]]; and</w:t>
      </w:r>
    </w:p>
    <w:p w:rsidR="004729FB" w:rsidRDefault="004729FB" w:rsidP="004729FB">
      <w:pPr>
        <w:spacing w:before="200" w:line="260" w:lineRule="atLeast"/>
        <w:ind w:left="400"/>
        <w:jc w:val="both"/>
      </w:pPr>
      <w:r>
        <w:rPr>
          <w:rFonts w:ascii="Arial" w:eastAsia="Arial" w:hAnsi="Arial" w:cs="Arial"/>
          <w:b/>
          <w:color w:val="000000"/>
          <w:sz w:val="20"/>
        </w:rPr>
        <w:t>(3) that the defendant [corruptly did an unlawful act] [[corruptly failed to do an act required by the duties of [his] [her] office]] [corruptly did a lawful act]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 xml:space="preserve">The specific [act] [failure to act] alleged in this case is </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Misconduct in office, a common law misdemeanor, consists of corrupt behavior by a public officer while in the exercise of official duties or while acting under color of law. </w:t>
            </w:r>
            <w:hyperlink r:id="rId1610" w:history="1">
              <w:r>
                <w:rPr>
                  <w:rFonts w:ascii="Arial" w:eastAsia="Arial" w:hAnsi="Arial" w:cs="Arial"/>
                  <w:i/>
                  <w:color w:val="0077CC"/>
                  <w:sz w:val="20"/>
                  <w:u w:val="single"/>
                </w:rPr>
                <w:t>Duncan v. State, 282 Md. 385, 387, 384 A.2d 456, 458 (1978);</w:t>
              </w:r>
            </w:hyperlink>
            <w:r>
              <w:rPr>
                <w:rFonts w:ascii="Arial" w:eastAsia="Arial" w:hAnsi="Arial" w:cs="Arial"/>
                <w:color w:val="000000"/>
                <w:sz w:val="20"/>
              </w:rPr>
              <w:t xml:space="preserve"> </w:t>
            </w:r>
            <w:hyperlink r:id="rId1611" w:history="1">
              <w:r>
                <w:rPr>
                  <w:rFonts w:ascii="Arial" w:eastAsia="Arial" w:hAnsi="Arial" w:cs="Arial"/>
                  <w:i/>
                  <w:color w:val="0077CC"/>
                  <w:sz w:val="20"/>
                  <w:u w:val="single"/>
                </w:rPr>
                <w:t>Chester v. State, 32 Md. App. 593, 601-10, 363 A.2d 605, 610-15 (1976).</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ROLLIN M. PERKINS &amp; RONALD N. BOYCE, CRIMINAL LAW 540-50 (3d ed. 1982); RICHARD P. GILBERT &amp; CHARLES E. MOYLAN, JR., MARYLAND CRIMINAL LAW: PRACTICE &amp; PROCEDURE §§ 20 </w:t>
            </w:r>
            <w:r>
              <w:rPr>
                <w:rFonts w:ascii="Arial" w:eastAsia="Arial" w:hAnsi="Arial" w:cs="Arial"/>
                <w:i/>
                <w:color w:val="000000"/>
                <w:sz w:val="20"/>
              </w:rPr>
              <w:t>et seq.</w:t>
            </w:r>
            <w:r>
              <w:rPr>
                <w:rFonts w:ascii="Arial" w:eastAsia="Arial" w:hAnsi="Arial" w:cs="Arial"/>
                <w:color w:val="000000"/>
                <w:sz w:val="20"/>
              </w:rPr>
              <w:t xml:space="preserve">, at 219-23 (1983 &amp; Supp. 1990). Although the commentators have referred to the crime, alternatively, as malfeasance, misfeasance, and nonfeasance, PERKINS &amp; BOYCE, </w:t>
            </w:r>
            <w:r>
              <w:rPr>
                <w:rFonts w:ascii="Arial" w:eastAsia="Arial" w:hAnsi="Arial" w:cs="Arial"/>
                <w:i/>
                <w:color w:val="000000"/>
                <w:sz w:val="20"/>
              </w:rPr>
              <w:t>supra</w:t>
            </w:r>
            <w:r>
              <w:rPr>
                <w:rFonts w:ascii="Arial" w:eastAsia="Arial" w:hAnsi="Arial" w:cs="Arial"/>
                <w:color w:val="000000"/>
                <w:sz w:val="20"/>
              </w:rPr>
              <w:t xml:space="preserve">, at 544, the Committee omitted these distinctions because they may confuse the jury. A public officer includes anyone employed by or holding appointment under the government. </w:t>
            </w:r>
            <w:r>
              <w:rPr>
                <w:rFonts w:ascii="Arial" w:eastAsia="Arial" w:hAnsi="Arial" w:cs="Arial"/>
                <w:i/>
                <w:color w:val="000000"/>
                <w:sz w:val="20"/>
              </w:rPr>
              <w:t xml:space="preserve">E.g., </w:t>
            </w:r>
            <w:hyperlink r:id="rId1612" w:history="1">
              <w:r>
                <w:rPr>
                  <w:rFonts w:ascii="Arial" w:eastAsia="Arial" w:hAnsi="Arial" w:cs="Arial"/>
                  <w:i/>
                  <w:color w:val="0077CC"/>
                  <w:sz w:val="20"/>
                  <w:u w:val="single"/>
                </w:rPr>
                <w:t>Resetar v. State Bd. of Educ., 284 Md. 537, 399 A.2d 225</w:t>
              </w:r>
            </w:hyperlink>
            <w:r>
              <w:rPr>
                <w:rFonts w:ascii="Arial" w:eastAsia="Arial" w:hAnsi="Arial" w:cs="Arial"/>
                <w:color w:val="000000"/>
                <w:sz w:val="20"/>
              </w:rPr>
              <w:t xml:space="preserve"> (junior high school teacher),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444 U.S. 838 (1979).</w:t>
            </w:r>
          </w:p>
          <w:p w:rsidR="004729FB" w:rsidRDefault="004729FB" w:rsidP="00713DA5">
            <w:pPr>
              <w:spacing w:before="240" w:line="260" w:lineRule="atLeast"/>
              <w:ind w:left="60" w:right="360"/>
              <w:jc w:val="both"/>
            </w:pPr>
            <w:r>
              <w:rPr>
                <w:rFonts w:ascii="Arial" w:eastAsia="Arial" w:hAnsi="Arial" w:cs="Arial"/>
                <w:color w:val="000000"/>
                <w:sz w:val="20"/>
              </w:rPr>
              <w:t xml:space="preserve">"The word 'corruption,' as an element of misconduct in office, is used in the sense of depravity, perversion or taint." PERKINS &amp; BOYCE, </w:t>
            </w:r>
            <w:r>
              <w:rPr>
                <w:rFonts w:ascii="Arial" w:eastAsia="Arial" w:hAnsi="Arial" w:cs="Arial"/>
                <w:i/>
                <w:color w:val="000000"/>
                <w:sz w:val="20"/>
              </w:rPr>
              <w:t>supra</w:t>
            </w:r>
            <w:r>
              <w:rPr>
                <w:rFonts w:ascii="Arial" w:eastAsia="Arial" w:hAnsi="Arial" w:cs="Arial"/>
                <w:color w:val="000000"/>
                <w:sz w:val="20"/>
              </w:rPr>
              <w:t xml:space="preserve">, at 542. Thus, the conduct must be a willful abuse of authority and not merely an error in judgment. HYMAN GINSBERG &amp; ISIDORE GINSBERG, CRIMINAL LAW &amp; PROCEDURE IN MARYLAND 152 (1940); </w:t>
            </w:r>
            <w:r>
              <w:rPr>
                <w:rFonts w:ascii="Arial" w:eastAsia="Arial" w:hAnsi="Arial" w:cs="Arial"/>
                <w:i/>
                <w:color w:val="000000"/>
                <w:sz w:val="20"/>
              </w:rPr>
              <w:t xml:space="preserve">see </w:t>
            </w:r>
            <w:hyperlink r:id="rId1613" w:history="1">
              <w:r>
                <w:rPr>
                  <w:rFonts w:ascii="Arial" w:eastAsia="Arial" w:hAnsi="Arial" w:cs="Arial"/>
                  <w:i/>
                  <w:color w:val="0077CC"/>
                  <w:sz w:val="20"/>
                  <w:u w:val="single"/>
                </w:rPr>
                <w:t>State v. Schultz, 367 A.2d 423, 429 (N.J. 1976)</w:t>
              </w:r>
            </w:hyperlink>
            <w:r>
              <w:rPr>
                <w:rFonts w:ascii="Arial" w:eastAsia="Arial" w:hAnsi="Arial" w:cs="Arial"/>
                <w:color w:val="000000"/>
                <w:sz w:val="20"/>
              </w:rPr>
              <w:t xml:space="preserve"> ("[T]he word 'corrupt' does not necessarily … mean financial dishonesty [but] rather connotes that the wrongful act … is done with 'evil motive or in bad faith and not honestly.'" (quoting </w:t>
            </w:r>
            <w:hyperlink r:id="rId1614" w:history="1">
              <w:r>
                <w:rPr>
                  <w:rFonts w:ascii="Arial" w:eastAsia="Arial" w:hAnsi="Arial" w:cs="Arial"/>
                  <w:i/>
                  <w:color w:val="0077CC"/>
                  <w:sz w:val="20"/>
                  <w:u w:val="single"/>
                </w:rPr>
                <w:t>State v. Begyn, 167 A.2d 161, 169 (N.J. 1961))).</w:t>
              </w:r>
            </w:hyperlink>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The Committee did not define or explain "corrupt" or "corruptly," believing that the words "corrupt" and "corruptly" communicate their meaning better than a definition would. </w:t>
            </w:r>
            <w:r>
              <w:rPr>
                <w:rFonts w:ascii="Arial" w:eastAsia="Arial" w:hAnsi="Arial" w:cs="Arial"/>
                <w:i/>
                <w:color w:val="000000"/>
                <w:sz w:val="20"/>
              </w:rPr>
              <w:t xml:space="preserve">See </w:t>
            </w:r>
            <w:hyperlink r:id="rId1615" w:history="1">
              <w:r>
                <w:rPr>
                  <w:rFonts w:ascii="Arial" w:eastAsia="Arial" w:hAnsi="Arial" w:cs="Arial"/>
                  <w:i/>
                  <w:color w:val="0077CC"/>
                  <w:sz w:val="20"/>
                  <w:u w:val="single"/>
                </w:rPr>
                <w:t>United States v. Reeves, 752 F.2d 995, 998 (5th Cir. 1985)</w:t>
              </w:r>
            </w:hyperlink>
            <w:r>
              <w:rPr>
                <w:rFonts w:ascii="Arial" w:eastAsia="Arial" w:hAnsi="Arial" w:cs="Arial"/>
                <w:color w:val="000000"/>
                <w:sz w:val="20"/>
              </w:rPr>
              <w:t xml:space="preserve"> (defining "corruptly" as an act "done </w:t>
            </w:r>
            <w:r>
              <w:rPr>
                <w:rFonts w:ascii="Arial" w:eastAsia="Arial" w:hAnsi="Arial" w:cs="Arial"/>
                <w:i/>
                <w:color w:val="000000"/>
                <w:sz w:val="20"/>
              </w:rPr>
              <w:t>with an intent to give some advantage</w:t>
            </w:r>
            <w:r>
              <w:rPr>
                <w:rFonts w:ascii="Arial" w:eastAsia="Arial" w:hAnsi="Arial" w:cs="Arial"/>
                <w:color w:val="000000"/>
                <w:sz w:val="20"/>
              </w:rPr>
              <w:t xml:space="preserve"> inconsistent with the official duty and rights of others" (emphasis in original) (quoting </w:t>
            </w:r>
            <w:hyperlink r:id="rId1616" w:history="1">
              <w:r>
                <w:rPr>
                  <w:rFonts w:ascii="Arial" w:eastAsia="Arial" w:hAnsi="Arial" w:cs="Arial"/>
                  <w:i/>
                  <w:color w:val="0077CC"/>
                  <w:sz w:val="20"/>
                  <w:u w:val="single"/>
                </w:rPr>
                <w:t>United States v. Ogle, 613 F.2d 233, 238 (10th Cir. 1979)));</w:t>
              </w:r>
            </w:hyperlink>
            <w:r>
              <w:rPr>
                <w:rFonts w:ascii="Arial" w:eastAsia="Arial" w:hAnsi="Arial" w:cs="Arial"/>
                <w:color w:val="000000"/>
                <w:sz w:val="20"/>
              </w:rPr>
              <w:t xml:space="preserve"> </w:t>
            </w:r>
            <w:hyperlink r:id="rId1617" w:history="1">
              <w:r>
                <w:rPr>
                  <w:rFonts w:ascii="Arial" w:eastAsia="Arial" w:hAnsi="Arial" w:cs="Arial"/>
                  <w:i/>
                  <w:color w:val="0077CC"/>
                  <w:sz w:val="20"/>
                  <w:u w:val="single"/>
                </w:rPr>
                <w:t>United States v. Ryan, 455 F.2d 728, 734 (9th Cir. 1971)</w:t>
              </w:r>
            </w:hyperlink>
            <w:r>
              <w:rPr>
                <w:rFonts w:ascii="Arial" w:eastAsia="Arial" w:hAnsi="Arial" w:cs="Arial"/>
                <w:color w:val="000000"/>
                <w:sz w:val="20"/>
              </w:rPr>
              <w:t xml:space="preserve"> (defining "corrupt" as with "evil or wicked purpose" and stating that [s]pecific intent to impede the administration of justice is an essential element").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307" style="position:absolute;left:0;text-align:left;z-index:251933696;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10:50:00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77923642</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618" w:history="1">
        <w:r>
          <w:rPr>
            <w:rFonts w:ascii="Arial" w:eastAsia="Arial" w:hAnsi="Arial" w:cs="Arial"/>
            <w:color w:val="000000"/>
            <w:sz w:val="20"/>
            <w:u w:val="single"/>
          </w:rPr>
          <w:t xml:space="preserve"> </w:t>
        </w:r>
      </w:hyperlink>
      <w:hyperlink r:id="rId1619" w:history="1">
        <w:r>
          <w:rPr>
            <w:rFonts w:ascii="Arial" w:eastAsia="Arial" w:hAnsi="Arial" w:cs="Arial"/>
            <w:i/>
            <w:color w:val="0077CC"/>
            <w:sz w:val="20"/>
            <w:u w:val="single"/>
          </w:rPr>
          <w:t>Narcotics and Controlled Dangerous Substance--Possession with Intent to Distribute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620" w:history="1">
        <w:r>
          <w:rPr>
            <w:rFonts w:ascii="Arial" w:eastAsia="Arial" w:hAnsi="Arial" w:cs="Arial"/>
            <w:color w:val="000000"/>
            <w:sz w:val="20"/>
            <w:u w:val="single"/>
          </w:rPr>
          <w:t xml:space="preserve"> </w:t>
        </w:r>
      </w:hyperlink>
      <w:hyperlink r:id="rId1621" w:history="1">
        <w:r>
          <w:rPr>
            <w:rFonts w:ascii="Arial" w:eastAsia="Arial" w:hAnsi="Arial" w:cs="Arial"/>
            <w:i/>
            <w:color w:val="0077CC"/>
            <w:sz w:val="20"/>
            <w:u w:val="single"/>
          </w:rPr>
          <w:t>Narcotics and Controlled Dangerous Substance--Distribution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622" w:history="1">
        <w:r>
          <w:rPr>
            <w:rFonts w:ascii="Arial" w:eastAsia="Arial" w:hAnsi="Arial" w:cs="Arial"/>
            <w:color w:val="000000"/>
            <w:sz w:val="20"/>
            <w:u w:val="single"/>
          </w:rPr>
          <w:t xml:space="preserve"> </w:t>
        </w:r>
      </w:hyperlink>
      <w:hyperlink r:id="rId1623" w:history="1">
        <w:r>
          <w:rPr>
            <w:rFonts w:ascii="Arial" w:eastAsia="Arial" w:hAnsi="Arial" w:cs="Arial"/>
            <w:i/>
            <w:color w:val="0077CC"/>
            <w:sz w:val="20"/>
            <w:u w:val="single"/>
          </w:rPr>
          <w:t>Narcotics and Controlled Dangerous Substance--Manufacture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624" w:history="1">
        <w:r>
          <w:rPr>
            <w:rFonts w:ascii="Arial" w:eastAsia="Arial" w:hAnsi="Arial" w:cs="Arial"/>
            <w:color w:val="000000"/>
            <w:sz w:val="20"/>
            <w:u w:val="single"/>
          </w:rPr>
          <w:t xml:space="preserve"> </w:t>
        </w:r>
      </w:hyperlink>
      <w:hyperlink r:id="rId1625" w:history="1">
        <w:r>
          <w:rPr>
            <w:rFonts w:ascii="Arial" w:eastAsia="Arial" w:hAnsi="Arial" w:cs="Arial"/>
            <w:i/>
            <w:color w:val="0077CC"/>
            <w:sz w:val="20"/>
            <w:u w:val="single"/>
          </w:rPr>
          <w:t>Narcotics and Controlled Dangerous Substance--Drug Paraphernalia (Use or Possession)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626" w:history="1">
        <w:r>
          <w:rPr>
            <w:rFonts w:ascii="Arial" w:eastAsia="Arial" w:hAnsi="Arial" w:cs="Arial"/>
            <w:color w:val="000000"/>
            <w:sz w:val="20"/>
            <w:u w:val="single"/>
          </w:rPr>
          <w:t xml:space="preserve"> </w:t>
        </w:r>
      </w:hyperlink>
      <w:hyperlink r:id="rId1627" w:history="1">
        <w:r>
          <w:rPr>
            <w:rFonts w:ascii="Arial" w:eastAsia="Arial" w:hAnsi="Arial" w:cs="Arial"/>
            <w:i/>
            <w:color w:val="0077CC"/>
            <w:sz w:val="20"/>
            <w:u w:val="single"/>
          </w:rPr>
          <w:t>Narcotics and Controlled Dangerous Substance--Drug Paraphernalia (Delivery or Sale of Drug Paraphernalia)</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628" w:history="1">
        <w:r>
          <w:rPr>
            <w:rFonts w:ascii="Arial" w:eastAsia="Arial" w:hAnsi="Arial" w:cs="Arial"/>
            <w:color w:val="000000"/>
            <w:sz w:val="20"/>
            <w:u w:val="single"/>
          </w:rPr>
          <w:t xml:space="preserve"> </w:t>
        </w:r>
      </w:hyperlink>
      <w:hyperlink r:id="rId1629" w:history="1">
        <w:r>
          <w:rPr>
            <w:rFonts w:ascii="Arial" w:eastAsia="Arial" w:hAnsi="Arial" w:cs="Arial"/>
            <w:i/>
            <w:color w:val="0077CC"/>
            <w:sz w:val="20"/>
            <w:u w:val="single"/>
          </w:rPr>
          <w:t>Narcotics and Controlled Dangerous Substance--Drug Paraphernalia (Possession or Distribution of Controlled Paraphernalia)</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630" w:history="1">
        <w:r>
          <w:rPr>
            <w:rFonts w:ascii="Arial" w:eastAsia="Arial" w:hAnsi="Arial" w:cs="Arial"/>
            <w:color w:val="000000"/>
            <w:sz w:val="20"/>
            <w:u w:val="single"/>
          </w:rPr>
          <w:t xml:space="preserve"> </w:t>
        </w:r>
      </w:hyperlink>
      <w:hyperlink r:id="rId1631" w:history="1">
        <w:r>
          <w:rPr>
            <w:rFonts w:ascii="Arial" w:eastAsia="Arial" w:hAnsi="Arial" w:cs="Arial"/>
            <w:i/>
            <w:color w:val="0077CC"/>
            <w:sz w:val="20"/>
            <w:u w:val="single"/>
          </w:rPr>
          <w:t>Narcotics and Controlled Dangerous Substance--Keeping a Common Nuisance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632" w:history="1">
        <w:r>
          <w:rPr>
            <w:rFonts w:ascii="Arial" w:eastAsia="Arial" w:hAnsi="Arial" w:cs="Arial"/>
            <w:color w:val="000000"/>
            <w:sz w:val="20"/>
            <w:u w:val="single"/>
          </w:rPr>
          <w:t xml:space="preserve"> </w:t>
        </w:r>
      </w:hyperlink>
      <w:hyperlink r:id="rId1633" w:history="1">
        <w:r>
          <w:rPr>
            <w:rFonts w:ascii="Arial" w:eastAsia="Arial" w:hAnsi="Arial" w:cs="Arial"/>
            <w:i/>
            <w:color w:val="0077CC"/>
            <w:sz w:val="20"/>
            <w:u w:val="single"/>
          </w:rPr>
          <w:t>Narcotics and Controlled Dangerous Substance--DRUG PARAPHERNALIA (Delivery or Sale to a Minor)</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634" w:history="1">
        <w:r>
          <w:rPr>
            <w:rFonts w:ascii="Arial" w:eastAsia="Arial" w:hAnsi="Arial" w:cs="Arial"/>
            <w:color w:val="000000"/>
            <w:sz w:val="20"/>
            <w:u w:val="single"/>
          </w:rPr>
          <w:t xml:space="preserve"> </w:t>
        </w:r>
      </w:hyperlink>
      <w:hyperlink r:id="rId1635" w:history="1">
        <w:r>
          <w:rPr>
            <w:rFonts w:ascii="Arial" w:eastAsia="Arial" w:hAnsi="Arial" w:cs="Arial"/>
            <w:i/>
            <w:color w:val="0077CC"/>
            <w:sz w:val="20"/>
            <w:u w:val="single"/>
          </w:rPr>
          <w:t>Narcotics and Controlled Dangerous Substance--Importation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1636" w:history="1">
        <w:r>
          <w:rPr>
            <w:rFonts w:ascii="Arial" w:eastAsia="Arial" w:hAnsi="Arial" w:cs="Arial"/>
            <w:color w:val="000000"/>
            <w:sz w:val="20"/>
            <w:u w:val="single"/>
          </w:rPr>
          <w:t xml:space="preserve"> </w:t>
        </w:r>
      </w:hyperlink>
      <w:hyperlink r:id="rId1637" w:history="1">
        <w:r>
          <w:rPr>
            <w:rFonts w:ascii="Arial" w:eastAsia="Arial" w:hAnsi="Arial" w:cs="Arial"/>
            <w:i/>
            <w:color w:val="0077CC"/>
            <w:sz w:val="20"/>
            <w:u w:val="single"/>
          </w:rPr>
          <w:t>Narcotics and Controlled Dangerous Substance--Drug Kingpin</w:t>
        </w:r>
      </w:hyperlink>
    </w:p>
    <w:p w:rsidR="004729FB" w:rsidRDefault="004729FB" w:rsidP="004729FB">
      <w:pPr>
        <w:spacing w:before="80" w:line="240" w:lineRule="atLeast"/>
        <w:ind w:left="290"/>
        <w:sectPr w:rsidR="004729FB" w:rsidSect="004729FB">
          <w:headerReference w:type="even" r:id="rId1638"/>
          <w:headerReference w:type="default" r:id="rId1639"/>
          <w:footerReference w:type="even" r:id="rId1640"/>
          <w:footerReference w:type="default" r:id="rId1641"/>
          <w:headerReference w:type="first" r:id="rId1642"/>
          <w:footerReference w:type="first" r:id="rId1643"/>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9" name="Picture 10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650" w:history="1">
        <w:r>
          <w:rPr>
            <w:rFonts w:ascii="Arial" w:eastAsia="Arial" w:hAnsi="Arial" w:cs="Arial"/>
            <w:b/>
            <w:bCs/>
            <w:i/>
            <w:color w:val="0077CC"/>
            <w:kern w:val="32"/>
            <w:sz w:val="28"/>
            <w:szCs w:val="32"/>
            <w:u w:val="single"/>
          </w:rPr>
          <w:t>MPJI-Cr 4:24.1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SUBSTANCE--POSSESSION WITH INTENT TO DISTRIBUTE</w:t>
      </w:r>
    </w:p>
    <w:p w:rsidR="004729FB" w:rsidRDefault="004729FB" w:rsidP="004729FB">
      <w:pPr>
        <w:keepNext/>
        <w:spacing w:before="240" w:line="340" w:lineRule="atLeast"/>
      </w:pPr>
      <w:r>
        <w:br/>
      </w:r>
      <w:r>
        <w:rPr>
          <w:rFonts w:ascii="Arial" w:eastAsia="Arial" w:hAnsi="Arial" w:cs="Arial"/>
          <w:b/>
          <w:color w:val="000000"/>
          <w:sz w:val="28"/>
        </w:rPr>
        <w:t>4:24.1Narcotics and Controlled Dangerous Substance--Possession with Intent to Distribute</w:t>
      </w:r>
    </w:p>
    <w:p w:rsidR="004729FB" w:rsidRDefault="004729FB" w:rsidP="004729FB">
      <w:pPr>
        <w:spacing w:line="60" w:lineRule="exact"/>
      </w:pPr>
      <w:r>
        <w:pict>
          <v:line id="_x0000_s1312" style="position:absolute;z-index:2519398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also is charged with the crime of possession of (</w:t>
      </w:r>
      <w:r>
        <w:rPr>
          <w:rFonts w:ascii="Arial" w:eastAsia="Arial" w:hAnsi="Arial" w:cs="Arial"/>
          <w:b/>
          <w:color w:val="000000"/>
          <w:sz w:val="20"/>
          <w:u w:val="single"/>
        </w:rPr>
        <w:t>controlled dangerous substance</w:t>
      </w:r>
      <w:r>
        <w:rPr>
          <w:rFonts w:ascii="Arial" w:eastAsia="Arial" w:hAnsi="Arial" w:cs="Arial"/>
          <w:b/>
          <w:color w:val="000000"/>
          <w:sz w:val="20"/>
        </w:rPr>
        <w:t>) with intent to distribute.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w:t>
      </w:r>
      <w:r>
        <w:rPr>
          <w:rFonts w:ascii="Arial" w:eastAsia="Arial" w:hAnsi="Arial" w:cs="Arial"/>
          <w:b/>
          <w:color w:val="000000"/>
          <w:sz w:val="20"/>
          <w:u w:val="single"/>
        </w:rPr>
        <w:t>controlled dangerous substance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possessed (</w:t>
      </w:r>
      <w:r>
        <w:rPr>
          <w:rFonts w:ascii="Arial" w:eastAsia="Arial" w:hAnsi="Arial" w:cs="Arial"/>
          <w:b/>
          <w:color w:val="000000"/>
          <w:sz w:val="20"/>
          <w:u w:val="single"/>
        </w:rPr>
        <w:t>controlled dangerous substance</w:t>
      </w:r>
      <w:r>
        <w:rPr>
          <w:rFonts w:ascii="Arial" w:eastAsia="Arial" w:hAnsi="Arial" w:cs="Arial"/>
          <w:b/>
          <w:color w:val="000000"/>
          <w:sz w:val="20"/>
        </w:rPr>
        <w:t>) with the intent to distribute some or all of it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Distribute means to sell, exchange, or transfer possession of the substance, or to give it away. No specific quantity is required for you to find the intent to distribute. There is no specific amount below which the intent to distribute disappears and there is no specific amount above which the intent to distribute appears. You may consider the quantity of the controlled dangerous substance along with all other circumstances in determining whether the defendant intended to distribute the controlled dangerous substance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4:24 (Narcotics and Controlled Dangerous Substance--Possession).</w:t>
            </w:r>
          </w:p>
          <w:p w:rsidR="004729FB" w:rsidRDefault="004729FB" w:rsidP="00713DA5">
            <w:pPr>
              <w:spacing w:before="200" w:line="260" w:lineRule="atLeast"/>
              <w:ind w:left="60" w:right="360"/>
              <w:jc w:val="both"/>
            </w:pPr>
            <w:r>
              <w:rPr>
                <w:rFonts w:ascii="Arial" w:eastAsia="Arial" w:hAnsi="Arial" w:cs="Arial"/>
                <w:color w:val="000000"/>
                <w:sz w:val="20"/>
              </w:rPr>
              <w:t>It is unlawful to "possess a controlled dangerous substance in sufficient quantity reasonably to indicate under all circumstances an intent to distribute or dispense a controlled dangerous substance." CRIM. LAW I § 5-602(2). There is no minimum quantity necessary to establish possession with an intent to distribute because a "specified minimum would be in effect a license to possess the minimum or less." RICHARD P. GILBERT &amp; CHARLES E. MOYLAN, JR., MARYLAND CRIMINAL LAW: PRACTICE &amp; PROCEDURE § 16.2, at 173-74 (1983).</w:t>
            </w:r>
          </w:p>
          <w:p w:rsidR="004729FB" w:rsidRDefault="004729FB" w:rsidP="00713DA5">
            <w:pPr>
              <w:spacing w:before="240" w:line="260" w:lineRule="atLeast"/>
              <w:ind w:left="60" w:right="360"/>
              <w:jc w:val="both"/>
            </w:pPr>
            <w:r>
              <w:rPr>
                <w:rFonts w:ascii="Arial" w:eastAsia="Arial" w:hAnsi="Arial" w:cs="Arial"/>
                <w:color w:val="000000"/>
                <w:sz w:val="20"/>
              </w:rPr>
              <w:t xml:space="preserve">"This element of intent … is seldom proved directly, but is more often found by drawing inferences from facts proved which reasonably indicate under all the circumstances the existence of the required intent." </w:t>
            </w:r>
            <w:hyperlink r:id="rId1651" w:history="1">
              <w:r>
                <w:rPr>
                  <w:rFonts w:ascii="Arial" w:eastAsia="Arial" w:hAnsi="Arial" w:cs="Arial"/>
                  <w:i/>
                  <w:color w:val="0077CC"/>
                  <w:sz w:val="20"/>
                  <w:u w:val="single"/>
                </w:rPr>
                <w:t>Waller v. State, 13 Md. App. 615, 618, 284 A.2d 446, 447 (1971),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264 Md. 752 (1972);</w:t>
            </w:r>
            <w:r>
              <w:rPr>
                <w:rFonts w:ascii="Arial" w:eastAsia="Arial" w:hAnsi="Arial" w:cs="Arial"/>
                <w:color w:val="000000"/>
                <w:sz w:val="20"/>
              </w:rPr>
              <w:t xml:space="preserve"> </w:t>
            </w:r>
            <w:r>
              <w:rPr>
                <w:rFonts w:ascii="Arial" w:eastAsia="Arial" w:hAnsi="Arial" w:cs="Arial"/>
                <w:i/>
                <w:color w:val="000000"/>
                <w:sz w:val="20"/>
              </w:rPr>
              <w:t xml:space="preserve">see </w:t>
            </w:r>
            <w:hyperlink r:id="rId1652" w:history="1">
              <w:r>
                <w:rPr>
                  <w:rFonts w:ascii="Arial" w:eastAsia="Arial" w:hAnsi="Arial" w:cs="Arial"/>
                  <w:i/>
                  <w:color w:val="0077CC"/>
                  <w:sz w:val="20"/>
                  <w:u w:val="single"/>
                </w:rPr>
                <w:t>Colin v. State, 101 Md. App. 395, 407, 646 A.2d 1095, 1101</w:t>
              </w:r>
            </w:hyperlink>
            <w:r>
              <w:rPr>
                <w:rFonts w:ascii="Arial" w:eastAsia="Arial" w:hAnsi="Arial" w:cs="Arial"/>
                <w:color w:val="000000"/>
                <w:sz w:val="20"/>
              </w:rPr>
              <w:t xml:space="preserve"> (holding that possession of a large quantity of cocaine is circumstantial evidence of intent),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337 Md. 42, 650 A.2d 725 (1994).</w:t>
            </w:r>
            <w:r>
              <w:rPr>
                <w:rFonts w:ascii="Arial" w:eastAsia="Arial" w:hAnsi="Arial" w:cs="Arial"/>
                <w:color w:val="000000"/>
                <w:sz w:val="20"/>
              </w:rPr>
              <w:t xml:space="preserve"> Thus, quantity alone or quantity coupled with other facts may indicate an intent to distribute. </w:t>
            </w:r>
            <w:hyperlink r:id="rId1653" w:history="1">
              <w:r>
                <w:rPr>
                  <w:rFonts w:ascii="Arial" w:eastAsia="Arial" w:hAnsi="Arial" w:cs="Arial"/>
                  <w:i/>
                  <w:color w:val="0077CC"/>
                  <w:sz w:val="20"/>
                  <w:u w:val="single"/>
                </w:rPr>
                <w:t>Colin, 101 Md. App. at 407, 646 A.2d at 1101</w:t>
              </w:r>
            </w:hyperlink>
            <w:r>
              <w:rPr>
                <w:rFonts w:ascii="Arial" w:eastAsia="Arial" w:hAnsi="Arial" w:cs="Arial"/>
                <w:color w:val="000000"/>
                <w:sz w:val="20"/>
              </w:rPr>
              <w:t xml:space="preserve"> (3,743.7 grams of cocaine, worth approximately $ 508,980); </w:t>
            </w:r>
            <w:hyperlink r:id="rId1654" w:history="1">
              <w:r>
                <w:rPr>
                  <w:rFonts w:ascii="Arial" w:eastAsia="Arial" w:hAnsi="Arial" w:cs="Arial"/>
                  <w:i/>
                  <w:color w:val="0077CC"/>
                  <w:sz w:val="20"/>
                  <w:u w:val="single"/>
                </w:rPr>
                <w:t xml:space="preserve">Collins v. State, 89 Md. App. 273, 277-78, </w:t>
              </w:r>
              <w:r>
                <w:rPr>
                  <w:rFonts w:ascii="Arial" w:eastAsia="Arial" w:hAnsi="Arial" w:cs="Arial"/>
                  <w:i/>
                  <w:color w:val="0077CC"/>
                  <w:sz w:val="20"/>
                  <w:u w:val="single"/>
                </w:rPr>
                <w:lastRenderedPageBreak/>
                <w:t>598 A.2d 8, 10-11 (1991)</w:t>
              </w:r>
            </w:hyperlink>
            <w:r>
              <w:rPr>
                <w:rFonts w:ascii="Arial" w:eastAsia="Arial" w:hAnsi="Arial" w:cs="Arial"/>
                <w:color w:val="000000"/>
                <w:sz w:val="20"/>
              </w:rPr>
              <w:t xml:space="preserve"> (0.1 gram of crack and two homemade pipes, plus evidence of having passed "a piece of something" in return for a $ 20 bill); </w:t>
            </w:r>
            <w:hyperlink r:id="rId1655" w:history="1">
              <w:r>
                <w:rPr>
                  <w:rFonts w:ascii="Arial" w:eastAsia="Arial" w:hAnsi="Arial" w:cs="Arial"/>
                  <w:i/>
                  <w:color w:val="0077CC"/>
                  <w:sz w:val="20"/>
                  <w:u w:val="single"/>
                </w:rPr>
                <w:t>Hippler v. State, 83 Md. App. 325, 337-39, 574 A.2d 348, 354-55</w:t>
              </w:r>
            </w:hyperlink>
            <w:r>
              <w:rPr>
                <w:rFonts w:ascii="Arial" w:eastAsia="Arial" w:hAnsi="Arial" w:cs="Arial"/>
                <w:color w:val="000000"/>
                <w:sz w:val="20"/>
              </w:rPr>
              <w:t xml:space="preserve"> (thirty-day supply of PCP),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321 Md. 67, 580 A.2d 1077 (1990);</w:t>
            </w:r>
            <w:r>
              <w:rPr>
                <w:rFonts w:ascii="Arial" w:eastAsia="Arial" w:hAnsi="Arial" w:cs="Arial"/>
                <w:color w:val="000000"/>
                <w:sz w:val="20"/>
              </w:rPr>
              <w:t xml:space="preserve"> </w:t>
            </w:r>
            <w:hyperlink r:id="rId1656" w:history="1">
              <w:r>
                <w:rPr>
                  <w:rFonts w:ascii="Arial" w:eastAsia="Arial" w:hAnsi="Arial" w:cs="Arial"/>
                  <w:i/>
                  <w:color w:val="0077CC"/>
                  <w:sz w:val="20"/>
                  <w:u w:val="single"/>
                </w:rPr>
                <w:t>Vandegrift v. State, 82 Md. App. 617, 643, 573 A.2d 56, 68</w:t>
              </w:r>
            </w:hyperlink>
            <w:r>
              <w:rPr>
                <w:rFonts w:ascii="Arial" w:eastAsia="Arial" w:hAnsi="Arial" w:cs="Arial"/>
                <w:color w:val="000000"/>
                <w:sz w:val="20"/>
              </w:rPr>
              <w:t xml:space="preserve"> (ten pounds of packaged marijuana, plus drug paraphernalia),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320 Md. 801, 580 A.2d 219 (1990);</w:t>
            </w:r>
            <w:r>
              <w:rPr>
                <w:rFonts w:ascii="Arial" w:eastAsia="Arial" w:hAnsi="Arial" w:cs="Arial"/>
                <w:color w:val="000000"/>
                <w:sz w:val="20"/>
              </w:rPr>
              <w:t xml:space="preserve"> </w:t>
            </w:r>
            <w:hyperlink r:id="rId1657" w:history="1">
              <w:r>
                <w:rPr>
                  <w:rFonts w:ascii="Arial" w:eastAsia="Arial" w:hAnsi="Arial" w:cs="Arial"/>
                  <w:i/>
                  <w:color w:val="0077CC"/>
                  <w:sz w:val="20"/>
                  <w:u w:val="single"/>
                </w:rPr>
                <w:t>Chan v. State, 78 Md. App. 287, 319-20, 552 A.2d 1351, 1367 (1989)</w:t>
              </w:r>
            </w:hyperlink>
            <w:r>
              <w:rPr>
                <w:rFonts w:ascii="Arial" w:eastAsia="Arial" w:hAnsi="Arial" w:cs="Arial"/>
                <w:color w:val="000000"/>
                <w:sz w:val="20"/>
              </w:rPr>
              <w:t xml:space="preserve"> (ninety-four grams of cocaine, a sifter with cocaine residue, scales, a strainer, a glassine baggie containing cocaine, and $ 1,800 in cash); </w:t>
            </w:r>
            <w:hyperlink r:id="rId1658" w:history="1">
              <w:r>
                <w:rPr>
                  <w:rFonts w:ascii="Arial" w:eastAsia="Arial" w:hAnsi="Arial" w:cs="Arial"/>
                  <w:i/>
                  <w:color w:val="0077CC"/>
                  <w:sz w:val="20"/>
                  <w:u w:val="single"/>
                </w:rPr>
                <w:t>Baldwin v. State, 56 Md. App. 529, 468 A.2d 394 (1983)</w:t>
              </w:r>
            </w:hyperlink>
            <w:r>
              <w:rPr>
                <w:rFonts w:ascii="Arial" w:eastAsia="Arial" w:hAnsi="Arial" w:cs="Arial"/>
                <w:color w:val="000000"/>
                <w:sz w:val="20"/>
              </w:rPr>
              <w:t xml:space="preserve"> (ninety-three pounds of PCP),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299 Md. 425, 474 A.2d 218 (1984);</w:t>
            </w:r>
            <w:r>
              <w:rPr>
                <w:rFonts w:ascii="Arial" w:eastAsia="Arial" w:hAnsi="Arial" w:cs="Arial"/>
                <w:color w:val="000000"/>
                <w:sz w:val="20"/>
              </w:rPr>
              <w:t xml:space="preserve"> </w:t>
            </w:r>
            <w:hyperlink r:id="rId1659" w:history="1">
              <w:r>
                <w:rPr>
                  <w:rFonts w:ascii="Arial" w:eastAsia="Arial" w:hAnsi="Arial" w:cs="Arial"/>
                  <w:i/>
                  <w:color w:val="0077CC"/>
                  <w:sz w:val="20"/>
                  <w:u w:val="single"/>
                </w:rPr>
                <w:t>Jones v. State, 56 Md. App. 101, 466 A.2d 895 (1983)</w:t>
              </w:r>
            </w:hyperlink>
            <w:r>
              <w:rPr>
                <w:rFonts w:ascii="Arial" w:eastAsia="Arial" w:hAnsi="Arial" w:cs="Arial"/>
                <w:color w:val="000000"/>
                <w:sz w:val="20"/>
              </w:rPr>
              <w:t xml:space="preserve"> (small quantity coupled with direct evidence of intent based on a sale); </w:t>
            </w:r>
            <w:hyperlink r:id="rId1660" w:history="1">
              <w:r>
                <w:rPr>
                  <w:rFonts w:ascii="Arial" w:eastAsia="Arial" w:hAnsi="Arial" w:cs="Arial"/>
                  <w:i/>
                  <w:color w:val="0077CC"/>
                  <w:sz w:val="20"/>
                  <w:u w:val="single"/>
                </w:rPr>
                <w:t>Gray v. State, 38 Md. App. 343, 380 A.2d 1071 (1977)</w:t>
              </w:r>
            </w:hyperlink>
            <w:r>
              <w:rPr>
                <w:rFonts w:ascii="Arial" w:eastAsia="Arial" w:hAnsi="Arial" w:cs="Arial"/>
                <w:color w:val="000000"/>
                <w:sz w:val="20"/>
              </w:rPr>
              <w:t xml:space="preserve"> (seventy bags of heroin),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282 Md. 732 (1978);</w:t>
            </w:r>
            <w:r>
              <w:rPr>
                <w:rFonts w:ascii="Arial" w:eastAsia="Arial" w:hAnsi="Arial" w:cs="Arial"/>
                <w:color w:val="000000"/>
                <w:sz w:val="20"/>
              </w:rPr>
              <w:t xml:space="preserve"> </w:t>
            </w:r>
            <w:hyperlink r:id="rId1661" w:history="1">
              <w:r>
                <w:rPr>
                  <w:rFonts w:ascii="Arial" w:eastAsia="Arial" w:hAnsi="Arial" w:cs="Arial"/>
                  <w:i/>
                  <w:color w:val="0077CC"/>
                  <w:sz w:val="20"/>
                  <w:u w:val="single"/>
                </w:rPr>
                <w:t>Bouldin v. State, 26 Md. App. 545, 338 A.2d 404 (1975)</w:t>
              </w:r>
            </w:hyperlink>
            <w:r>
              <w:rPr>
                <w:rFonts w:ascii="Arial" w:eastAsia="Arial" w:hAnsi="Arial" w:cs="Arial"/>
                <w:color w:val="000000"/>
                <w:sz w:val="20"/>
              </w:rPr>
              <w:t xml:space="preserve"> ("bundles" of heroin, i.e., twenty to thirty bags of heroin wrapped in bundles usually only possessed by dealers), </w:t>
            </w:r>
            <w:r>
              <w:rPr>
                <w:rFonts w:ascii="Arial" w:eastAsia="Arial" w:hAnsi="Arial" w:cs="Arial"/>
                <w:i/>
                <w:color w:val="000000"/>
                <w:sz w:val="20"/>
              </w:rPr>
              <w:t>rev'd on other grounds</w:t>
            </w:r>
            <w:r>
              <w:rPr>
                <w:rFonts w:ascii="Arial" w:eastAsia="Arial" w:hAnsi="Arial" w:cs="Arial"/>
                <w:color w:val="000000"/>
                <w:sz w:val="20"/>
              </w:rPr>
              <w:t xml:space="preserve">, </w:t>
            </w:r>
            <w:hyperlink r:id="rId1662" w:history="1">
              <w:r>
                <w:rPr>
                  <w:rFonts w:ascii="Arial" w:eastAsia="Arial" w:hAnsi="Arial" w:cs="Arial"/>
                  <w:i/>
                  <w:color w:val="0077CC"/>
                  <w:sz w:val="20"/>
                  <w:u w:val="single"/>
                </w:rPr>
                <w:t>276 Md. 511, 350 A.2d 130 (1976);</w:t>
              </w:r>
            </w:hyperlink>
            <w:r>
              <w:rPr>
                <w:rFonts w:ascii="Arial" w:eastAsia="Arial" w:hAnsi="Arial" w:cs="Arial"/>
                <w:color w:val="000000"/>
                <w:sz w:val="20"/>
              </w:rPr>
              <w:t xml:space="preserve"> </w:t>
            </w:r>
            <w:hyperlink r:id="rId1663" w:history="1">
              <w:r>
                <w:rPr>
                  <w:rFonts w:ascii="Arial" w:eastAsia="Arial" w:hAnsi="Arial" w:cs="Arial"/>
                  <w:i/>
                  <w:color w:val="0077CC"/>
                  <w:sz w:val="20"/>
                  <w:u w:val="single"/>
                </w:rPr>
                <w:t>Butler v. State, 19 Md. App. 601, 313 A.2d 554</w:t>
              </w:r>
            </w:hyperlink>
            <w:r>
              <w:rPr>
                <w:rFonts w:ascii="Arial" w:eastAsia="Arial" w:hAnsi="Arial" w:cs="Arial"/>
                <w:color w:val="000000"/>
                <w:sz w:val="20"/>
              </w:rPr>
              <w:t xml:space="preserve"> (334 bags of heroin found in a rented room where the defendant kept no belongings and did not live),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271 Md. 732 (1974);</w:t>
            </w:r>
            <w:r>
              <w:rPr>
                <w:rFonts w:ascii="Arial" w:eastAsia="Arial" w:hAnsi="Arial" w:cs="Arial"/>
                <w:color w:val="000000"/>
                <w:sz w:val="20"/>
              </w:rPr>
              <w:t xml:space="preserve"> </w:t>
            </w:r>
            <w:hyperlink r:id="rId1664" w:history="1">
              <w:r>
                <w:rPr>
                  <w:rFonts w:ascii="Arial" w:eastAsia="Arial" w:hAnsi="Arial" w:cs="Arial"/>
                  <w:i/>
                  <w:color w:val="0077CC"/>
                  <w:sz w:val="20"/>
                  <w:u w:val="single"/>
                </w:rPr>
                <w:t>Soles v. State, 16 Md. App. 656, 299 A.2d 502 (1973)</w:t>
              </w:r>
            </w:hyperlink>
            <w:r>
              <w:rPr>
                <w:rFonts w:ascii="Arial" w:eastAsia="Arial" w:hAnsi="Arial" w:cs="Arial"/>
                <w:color w:val="000000"/>
                <w:sz w:val="20"/>
              </w:rPr>
              <w:t xml:space="preserve"> (large quantity of cocaine, packaging and cutting equipment, and a large sum of cash),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415 U.S. 950 (1974);</w:t>
            </w:r>
            <w:r>
              <w:rPr>
                <w:rFonts w:ascii="Arial" w:eastAsia="Arial" w:hAnsi="Arial" w:cs="Arial"/>
                <w:color w:val="000000"/>
                <w:sz w:val="20"/>
              </w:rPr>
              <w:t xml:space="preserve"> </w:t>
            </w:r>
            <w:hyperlink r:id="rId1665" w:history="1">
              <w:r>
                <w:rPr>
                  <w:rFonts w:ascii="Arial" w:eastAsia="Arial" w:hAnsi="Arial" w:cs="Arial"/>
                  <w:i/>
                  <w:color w:val="0077CC"/>
                  <w:sz w:val="20"/>
                  <w:u w:val="single"/>
                </w:rPr>
                <w:t>Ertwine v. State, 18 Md. App. 619, 308 A.2d 414 (1973)</w:t>
              </w:r>
            </w:hyperlink>
            <w:r>
              <w:rPr>
                <w:rFonts w:ascii="Arial" w:eastAsia="Arial" w:hAnsi="Arial" w:cs="Arial"/>
                <w:color w:val="000000"/>
                <w:sz w:val="20"/>
              </w:rPr>
              <w:t xml:space="preserve"> (one-half pound of marijuana, one ounce of hashish, and four pipes); </w:t>
            </w:r>
            <w:hyperlink r:id="rId1666" w:history="1">
              <w:r>
                <w:rPr>
                  <w:rFonts w:ascii="Arial" w:eastAsia="Arial" w:hAnsi="Arial" w:cs="Arial"/>
                  <w:i/>
                  <w:color w:val="0077CC"/>
                  <w:sz w:val="20"/>
                  <w:u w:val="single"/>
                </w:rPr>
                <w:t>Peterson v. State, 15 Md. App. 478, 292 A.2d 714</w:t>
              </w:r>
            </w:hyperlink>
            <w:r>
              <w:rPr>
                <w:rFonts w:ascii="Arial" w:eastAsia="Arial" w:hAnsi="Arial" w:cs="Arial"/>
                <w:color w:val="000000"/>
                <w:sz w:val="20"/>
              </w:rPr>
              <w:t xml:space="preserve"> (large quantity of heroin found in automobile coupled with prior observation of sales from the vehicle),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266 Md. 741 (1972);</w:t>
            </w:r>
            <w:r>
              <w:rPr>
                <w:rFonts w:ascii="Arial" w:eastAsia="Arial" w:hAnsi="Arial" w:cs="Arial"/>
                <w:color w:val="000000"/>
                <w:sz w:val="20"/>
              </w:rPr>
              <w:t xml:space="preserve"> </w:t>
            </w:r>
            <w:hyperlink r:id="rId1667" w:history="1">
              <w:r>
                <w:rPr>
                  <w:rFonts w:ascii="Arial" w:eastAsia="Arial" w:hAnsi="Arial" w:cs="Arial"/>
                  <w:i/>
                  <w:color w:val="0077CC"/>
                  <w:sz w:val="20"/>
                  <w:u w:val="single"/>
                </w:rPr>
                <w:t>Killie v. State, 14 Md. App. 465, 287 A.2d 310</w:t>
              </w:r>
            </w:hyperlink>
            <w:r>
              <w:rPr>
                <w:rFonts w:ascii="Arial" w:eastAsia="Arial" w:hAnsi="Arial" w:cs="Arial"/>
                <w:color w:val="000000"/>
                <w:sz w:val="20"/>
              </w:rPr>
              <w:t xml:space="preserve"> (undercover agent observed one bag of marijuana, but was given a pipe of marijuana to smoke),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265 Md. 740 (1972);</w:t>
            </w:r>
            <w:r>
              <w:rPr>
                <w:rFonts w:ascii="Arial" w:eastAsia="Arial" w:hAnsi="Arial" w:cs="Arial"/>
                <w:color w:val="000000"/>
                <w:sz w:val="20"/>
              </w:rPr>
              <w:t xml:space="preserve"> </w:t>
            </w:r>
            <w:hyperlink r:id="rId1668" w:history="1">
              <w:r>
                <w:rPr>
                  <w:rFonts w:ascii="Arial" w:eastAsia="Arial" w:hAnsi="Arial" w:cs="Arial"/>
                  <w:i/>
                  <w:color w:val="0077CC"/>
                  <w:sz w:val="20"/>
                  <w:u w:val="single"/>
                </w:rPr>
                <w:t>Williams v. State, 14 Md. App. 619, 287 A.2d 803</w:t>
              </w:r>
            </w:hyperlink>
            <w:r>
              <w:rPr>
                <w:rFonts w:ascii="Arial" w:eastAsia="Arial" w:hAnsi="Arial" w:cs="Arial"/>
                <w:color w:val="000000"/>
                <w:sz w:val="20"/>
              </w:rPr>
              <w:t xml:space="preserve"> (forty bags of heroin),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265 Md. 744 (1972);</w:t>
            </w:r>
            <w:r>
              <w:rPr>
                <w:rFonts w:ascii="Arial" w:eastAsia="Arial" w:hAnsi="Arial" w:cs="Arial"/>
                <w:color w:val="000000"/>
                <w:sz w:val="20"/>
              </w:rPr>
              <w:t xml:space="preserve"> </w:t>
            </w:r>
            <w:hyperlink r:id="rId1669" w:history="1">
              <w:r>
                <w:rPr>
                  <w:rFonts w:ascii="Arial" w:eastAsia="Arial" w:hAnsi="Arial" w:cs="Arial"/>
                  <w:i/>
                  <w:color w:val="0077CC"/>
                  <w:sz w:val="20"/>
                  <w:u w:val="single"/>
                </w:rPr>
                <w:t>Puckett v. State, 13 Md. App. 584, 284 A.2d 252</w:t>
              </w:r>
            </w:hyperlink>
            <w:r>
              <w:rPr>
                <w:rFonts w:ascii="Arial" w:eastAsia="Arial" w:hAnsi="Arial" w:cs="Arial"/>
                <w:color w:val="000000"/>
                <w:sz w:val="20"/>
              </w:rPr>
              <w:t xml:space="preserve"> (twenty-three growing marijuana plants),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265 Md. 742 (1972);</w:t>
            </w:r>
            <w:r>
              <w:rPr>
                <w:rFonts w:ascii="Arial" w:eastAsia="Arial" w:hAnsi="Arial" w:cs="Arial"/>
                <w:color w:val="000000"/>
                <w:sz w:val="20"/>
              </w:rPr>
              <w:t xml:space="preserve"> </w:t>
            </w:r>
            <w:hyperlink r:id="rId1670" w:history="1">
              <w:r>
                <w:rPr>
                  <w:rFonts w:ascii="Arial" w:eastAsia="Arial" w:hAnsi="Arial" w:cs="Arial"/>
                  <w:i/>
                  <w:color w:val="0077CC"/>
                  <w:sz w:val="20"/>
                  <w:u w:val="single"/>
                </w:rPr>
                <w:t>Graybeal v. State, 13 Md. App. 557, 284 A.2d 37 (1971)</w:t>
              </w:r>
            </w:hyperlink>
            <w:r>
              <w:rPr>
                <w:rFonts w:ascii="Arial" w:eastAsia="Arial" w:hAnsi="Arial" w:cs="Arial"/>
                <w:color w:val="000000"/>
                <w:sz w:val="20"/>
              </w:rPr>
              <w:t xml:space="preserve"> (seventy growing marijuana plants).</w:t>
            </w:r>
          </w:p>
          <w:p w:rsidR="004729FB" w:rsidRDefault="004729FB" w:rsidP="00713DA5">
            <w:pPr>
              <w:spacing w:before="240" w:line="260" w:lineRule="atLeast"/>
              <w:ind w:left="60" w:right="360"/>
              <w:jc w:val="both"/>
            </w:pPr>
            <w:r>
              <w:rPr>
                <w:rFonts w:ascii="Arial" w:eastAsia="Arial" w:hAnsi="Arial" w:cs="Arial"/>
                <w:color w:val="000000"/>
                <w:sz w:val="20"/>
              </w:rPr>
              <w:t xml:space="preserve">An instruction that intent to distribute "may be shown by evidence of possession in a quantity and under circumstances sufficient to support an inference of an intent to ...distribute" is sufficient, and the defendant is not entitled to a separate instruction on specific intent. </w:t>
            </w:r>
            <w:hyperlink r:id="rId1671" w:history="1">
              <w:r>
                <w:rPr>
                  <w:rFonts w:ascii="Arial" w:eastAsia="Arial" w:hAnsi="Arial" w:cs="Arial"/>
                  <w:i/>
                  <w:color w:val="0077CC"/>
                  <w:sz w:val="20"/>
                  <w:u w:val="single"/>
                </w:rPr>
                <w:t>Ricks v. State, 70 Md. App. 287, 296, 520 A.2d 1136, 1141 (1987)</w:t>
              </w:r>
            </w:hyperlink>
            <w:r>
              <w:rPr>
                <w:rFonts w:ascii="Arial" w:eastAsia="Arial" w:hAnsi="Arial" w:cs="Arial"/>
                <w:color w:val="000000"/>
                <w:sz w:val="20"/>
              </w:rPr>
              <w:t xml:space="preserve"> (quoting </w:t>
            </w:r>
            <w:hyperlink r:id="rId1672" w:history="1">
              <w:r>
                <w:rPr>
                  <w:rFonts w:ascii="Arial" w:eastAsia="Arial" w:hAnsi="Arial" w:cs="Arial"/>
                  <w:i/>
                  <w:color w:val="0077CC"/>
                  <w:sz w:val="20"/>
                  <w:u w:val="single"/>
                </w:rPr>
                <w:t>State v. Beers, 21 Md. App. 39, 41, 318 A.2d 825, 826 (1974)),</w:t>
              </w:r>
            </w:hyperlink>
            <w:r>
              <w:rPr>
                <w:rFonts w:ascii="Arial" w:eastAsia="Arial" w:hAnsi="Arial" w:cs="Arial"/>
                <w:color w:val="000000"/>
                <w:sz w:val="20"/>
              </w:rPr>
              <w:t xml:space="preserve"> </w:t>
            </w:r>
            <w:r>
              <w:rPr>
                <w:rFonts w:ascii="Arial" w:eastAsia="Arial" w:hAnsi="Arial" w:cs="Arial"/>
                <w:i/>
                <w:color w:val="000000"/>
                <w:sz w:val="20"/>
              </w:rPr>
              <w:t>aff'd on other grounds</w:t>
            </w:r>
            <w:r>
              <w:rPr>
                <w:rFonts w:ascii="Arial" w:eastAsia="Arial" w:hAnsi="Arial" w:cs="Arial"/>
                <w:color w:val="000000"/>
                <w:sz w:val="20"/>
              </w:rPr>
              <w:t xml:space="preserve">, </w:t>
            </w:r>
            <w:hyperlink r:id="rId1673" w:history="1">
              <w:r>
                <w:rPr>
                  <w:rFonts w:ascii="Arial" w:eastAsia="Arial" w:hAnsi="Arial" w:cs="Arial"/>
                  <w:i/>
                  <w:color w:val="0077CC"/>
                  <w:sz w:val="20"/>
                  <w:u w:val="single"/>
                </w:rPr>
                <w:t>312 Md. 11, 537 A.2d 612,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488 U.S. 832 (1988);</w:t>
            </w:r>
            <w:r>
              <w:rPr>
                <w:rFonts w:ascii="Arial" w:eastAsia="Arial" w:hAnsi="Arial" w:cs="Arial"/>
                <w:color w:val="000000"/>
                <w:sz w:val="20"/>
              </w:rPr>
              <w:t xml:space="preserve"> </w:t>
            </w:r>
            <w:r>
              <w:rPr>
                <w:rFonts w:ascii="Arial" w:eastAsia="Arial" w:hAnsi="Arial" w:cs="Arial"/>
                <w:i/>
                <w:color w:val="000000"/>
                <w:sz w:val="20"/>
              </w:rPr>
              <w:t xml:space="preserve">see </w:t>
            </w:r>
            <w:hyperlink r:id="rId1674" w:history="1">
              <w:r>
                <w:rPr>
                  <w:rFonts w:ascii="Arial" w:eastAsia="Arial" w:hAnsi="Arial" w:cs="Arial"/>
                  <w:i/>
                  <w:color w:val="0077CC"/>
                  <w:sz w:val="20"/>
                  <w:u w:val="single"/>
                </w:rPr>
                <w:t>Purnell v. State, 171 Md. App. 582, 616-17, 911 A.2d 867, 887-88 (2006)</w:t>
              </w:r>
            </w:hyperlink>
            <w:r>
              <w:rPr>
                <w:rFonts w:ascii="Arial" w:eastAsia="Arial" w:hAnsi="Arial" w:cs="Arial"/>
                <w:color w:val="000000"/>
                <w:sz w:val="20"/>
              </w:rPr>
              <w:t xml:space="preserve"> (stating that the manner in which the substance is packaged may support an inference that the substance was intended for distribution),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398 Md. 315, 920 A.2d 1060 (2007);</w:t>
            </w:r>
            <w:r>
              <w:rPr>
                <w:rFonts w:ascii="Arial" w:eastAsia="Arial" w:hAnsi="Arial" w:cs="Arial"/>
                <w:color w:val="000000"/>
                <w:sz w:val="20"/>
              </w:rPr>
              <w:t xml:space="preserve"> </w:t>
            </w:r>
            <w:hyperlink r:id="rId1675" w:history="1">
              <w:r>
                <w:rPr>
                  <w:rFonts w:ascii="Arial" w:eastAsia="Arial" w:hAnsi="Arial" w:cs="Arial"/>
                  <w:i/>
                  <w:color w:val="0077CC"/>
                  <w:sz w:val="20"/>
                  <w:u w:val="single"/>
                </w:rPr>
                <w:t>Herbert v. State, 136 Md. App. 458, 463-69, 726 A.2d 190, 193-97 (2001)</w:t>
              </w:r>
            </w:hyperlink>
            <w:r>
              <w:rPr>
                <w:rFonts w:ascii="Arial" w:eastAsia="Arial" w:hAnsi="Arial" w:cs="Arial"/>
                <w:color w:val="000000"/>
                <w:sz w:val="20"/>
              </w:rPr>
              <w:t xml:space="preserve"> (finding that possession of copious amounts of marijuana and paraphernalia indicated intent to distribute).</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676" w:history="1">
              <w:r>
                <w:rPr>
                  <w:rFonts w:ascii="Arial" w:eastAsia="Arial" w:hAnsi="Arial" w:cs="Arial"/>
                  <w:i/>
                  <w:color w:val="0077CC"/>
                  <w:sz w:val="20"/>
                  <w:u w:val="single"/>
                </w:rPr>
                <w:t>State v. Wadlow, 93 Md. App. 260, 611 A.2d 1091 (1992),</w:t>
              </w:r>
            </w:hyperlink>
            <w:r>
              <w:rPr>
                <w:rFonts w:ascii="Arial" w:eastAsia="Arial" w:hAnsi="Arial" w:cs="Arial"/>
                <w:color w:val="000000"/>
                <w:sz w:val="20"/>
              </w:rPr>
              <w:t xml:space="preserve"> </w:t>
            </w:r>
            <w:r>
              <w:rPr>
                <w:rFonts w:ascii="Arial" w:eastAsia="Arial" w:hAnsi="Arial" w:cs="Arial"/>
                <w:i/>
                <w:color w:val="000000"/>
                <w:sz w:val="20"/>
              </w:rPr>
              <w:t>aff'd in part, rev'd in part</w:t>
            </w:r>
            <w:r>
              <w:rPr>
                <w:rFonts w:ascii="Arial" w:eastAsia="Arial" w:hAnsi="Arial" w:cs="Arial"/>
                <w:color w:val="000000"/>
                <w:sz w:val="20"/>
              </w:rPr>
              <w:t xml:space="preserve">, </w:t>
            </w:r>
            <w:hyperlink r:id="rId1677" w:history="1">
              <w:r>
                <w:rPr>
                  <w:rFonts w:ascii="Arial" w:eastAsia="Arial" w:hAnsi="Arial" w:cs="Arial"/>
                  <w:i/>
                  <w:color w:val="0077CC"/>
                  <w:sz w:val="20"/>
                  <w:u w:val="single"/>
                </w:rPr>
                <w:t>335 Md. 122, 642 A.2d 213 (1994),</w:t>
              </w:r>
            </w:hyperlink>
            <w:r>
              <w:rPr>
                <w:rFonts w:ascii="Arial" w:eastAsia="Arial" w:hAnsi="Arial" w:cs="Arial"/>
                <w:color w:val="000000"/>
                <w:sz w:val="20"/>
              </w:rPr>
              <w:t xml:space="preserve"> the Court of Special Appeals stated:</w:t>
            </w:r>
          </w:p>
          <w:p w:rsidR="004729FB" w:rsidRDefault="004729FB" w:rsidP="00713DA5">
            <w:pPr>
              <w:spacing w:before="200" w:line="260" w:lineRule="atLeast"/>
              <w:ind w:left="460" w:right="360"/>
              <w:jc w:val="both"/>
            </w:pPr>
            <w:r>
              <w:rPr>
                <w:rFonts w:ascii="Arial" w:eastAsia="Arial" w:hAnsi="Arial" w:cs="Arial"/>
                <w:color w:val="000000"/>
                <w:sz w:val="20"/>
              </w:rPr>
              <w:t xml:space="preserve">So far as the crime itself is concerned, the quantity of the CDS "is not an end in itself; it is but evidence of intent. It is the intent itself that is critical." </w:t>
            </w:r>
            <w:hyperlink r:id="rId1678" w:history="1">
              <w:r>
                <w:rPr>
                  <w:rFonts w:ascii="Arial" w:eastAsia="Arial" w:hAnsi="Arial" w:cs="Arial"/>
                  <w:i/>
                  <w:color w:val="0077CC"/>
                  <w:sz w:val="20"/>
                  <w:u w:val="single"/>
                </w:rPr>
                <w:t>Anaweck v. State, 63 Md. App. 239, 255, 492 A.2d 658,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296, 498 A.2d 1183 (1985).</w:t>
            </w:r>
            <w:r>
              <w:rPr>
                <w:rFonts w:ascii="Arial" w:eastAsia="Arial" w:hAnsi="Arial" w:cs="Arial"/>
                <w:color w:val="000000"/>
                <w:sz w:val="20"/>
              </w:rPr>
              <w:t xml:space="preserve"> Thus, even a large quantity of drugs might not yield a finding of intent to distribute if other circumstances indicated large private consumption. Conversely, a much smaller quantity might yield such finding of intent, if evidence other than the quantity possessed showed that intent. </w:t>
            </w:r>
            <w:r>
              <w:rPr>
                <w:rFonts w:ascii="Arial" w:eastAsia="Arial" w:hAnsi="Arial" w:cs="Arial"/>
                <w:i/>
                <w:color w:val="000000"/>
                <w:sz w:val="20"/>
              </w:rPr>
              <w:t>Id.</w:t>
            </w:r>
          </w:p>
          <w:p w:rsidR="004729FB" w:rsidRDefault="004729FB" w:rsidP="00713DA5">
            <w:pPr>
              <w:spacing w:before="240" w:line="260" w:lineRule="atLeast"/>
              <w:ind w:left="60" w:right="360"/>
              <w:jc w:val="both"/>
            </w:pPr>
            <w:hyperlink r:id="rId1679" w:history="1">
              <w:r>
                <w:rPr>
                  <w:rFonts w:ascii="Arial" w:eastAsia="Arial" w:hAnsi="Arial" w:cs="Arial"/>
                  <w:i/>
                  <w:color w:val="0077CC"/>
                  <w:sz w:val="20"/>
                  <w:u w:val="single"/>
                </w:rPr>
                <w:t>Wadlow, 93 Md. App. at 280-81, 611 A.2d at 1101.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680" w:history="1">
              <w:r>
                <w:rPr>
                  <w:rFonts w:ascii="Arial" w:eastAsia="Arial" w:hAnsi="Arial" w:cs="Arial"/>
                  <w:i/>
                  <w:color w:val="0077CC"/>
                  <w:sz w:val="20"/>
                  <w:u w:val="single"/>
                </w:rPr>
                <w:t>Fleming v. State, 373 Md. 426, 818 A.2d 1117 (2003),</w:t>
              </w:r>
            </w:hyperlink>
            <w:r>
              <w:rPr>
                <w:rFonts w:ascii="Arial" w:eastAsia="Arial" w:hAnsi="Arial" w:cs="Arial"/>
                <w:color w:val="000000"/>
                <w:sz w:val="20"/>
              </w:rPr>
              <w:t xml:space="preserve"> the Court of Appeals held that it was error to deny the defendant's request for a mere presence instruction after the defendant presented evidence that he had no knowledge or control of the drugs.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lastRenderedPageBreak/>
        <w:br/>
      </w:r>
      <w:r>
        <w:rPr>
          <w:rFonts w:ascii="Arial" w:eastAsia="Arial" w:hAnsi="Arial" w:cs="Arial"/>
          <w:b/>
          <w:color w:val="000000"/>
          <w:sz w:val="28"/>
        </w:rPr>
        <w:t>Reference</w:t>
      </w:r>
    </w:p>
    <w:p w:rsidR="004729FB" w:rsidRDefault="004729FB" w:rsidP="004729FB">
      <w:pPr>
        <w:spacing w:line="60" w:lineRule="exact"/>
      </w:pPr>
      <w:r>
        <w:pict>
          <v:line id="_x0000_s1322" style="position:absolute;z-index:25195008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32" style="position:absolute;left:0;text-align:left;z-index:25196032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8" name="Picture 10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687" w:history="1">
        <w:r>
          <w:rPr>
            <w:rFonts w:ascii="Arial" w:eastAsia="Arial" w:hAnsi="Arial" w:cs="Arial"/>
            <w:b/>
            <w:bCs/>
            <w:i/>
            <w:color w:val="0077CC"/>
            <w:kern w:val="32"/>
            <w:sz w:val="28"/>
            <w:szCs w:val="32"/>
            <w:u w:val="single"/>
          </w:rPr>
          <w:t>MPJI-Cr 4:24.2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SUBSTANCE--DISTRIBUTION</w:t>
      </w:r>
    </w:p>
    <w:p w:rsidR="004729FB" w:rsidRDefault="004729FB" w:rsidP="004729FB">
      <w:pPr>
        <w:keepNext/>
        <w:spacing w:before="240" w:line="340" w:lineRule="atLeast"/>
      </w:pPr>
      <w:r>
        <w:br/>
      </w:r>
      <w:r>
        <w:rPr>
          <w:rFonts w:ascii="Arial" w:eastAsia="Arial" w:hAnsi="Arial" w:cs="Arial"/>
          <w:b/>
          <w:color w:val="000000"/>
          <w:sz w:val="28"/>
        </w:rPr>
        <w:t>4:24.2Narcotics and Controlled Dangerous Substance--Distribution</w:t>
      </w:r>
    </w:p>
    <w:p w:rsidR="004729FB" w:rsidRDefault="004729FB" w:rsidP="004729FB">
      <w:pPr>
        <w:spacing w:line="60" w:lineRule="exact"/>
      </w:pPr>
      <w:r>
        <w:pict>
          <v:line id="_x0000_s1313" style="position:absolute;z-index:2519408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distribution of (</w:t>
      </w:r>
      <w:r>
        <w:rPr>
          <w:rFonts w:ascii="Arial" w:eastAsia="Arial" w:hAnsi="Arial" w:cs="Arial"/>
          <w:b/>
          <w:color w:val="000000"/>
          <w:sz w:val="20"/>
          <w:u w:val="single"/>
        </w:rPr>
        <w:t>controlled dangerous substance</w:t>
      </w:r>
      <w:r>
        <w:rPr>
          <w:rFonts w:ascii="Arial" w:eastAsia="Arial" w:hAnsi="Arial" w:cs="Arial"/>
          <w:b/>
          <w:color w:val="000000"/>
          <w:sz w:val="20"/>
        </w:rPr>
        <w:t>), which is a controlled dangerous substance.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sold, exchanged, transferred, or gave away (controlled dangerous substance); and</w:t>
      </w:r>
    </w:p>
    <w:p w:rsidR="004729FB" w:rsidRDefault="004729FB" w:rsidP="004729FB">
      <w:pPr>
        <w:spacing w:before="200" w:line="260" w:lineRule="atLeast"/>
        <w:ind w:left="400"/>
        <w:jc w:val="both"/>
      </w:pPr>
      <w:r>
        <w:rPr>
          <w:rFonts w:ascii="Arial" w:eastAsia="Arial" w:hAnsi="Arial" w:cs="Arial"/>
          <w:b/>
          <w:color w:val="000000"/>
          <w:sz w:val="20"/>
        </w:rPr>
        <w:t>(2) that the substance was (controlled dangerous substance)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4:24 (Narcotics and Controlled Dangerous Substance--Possession).</w:t>
            </w:r>
          </w:p>
          <w:p w:rsidR="004729FB" w:rsidRDefault="004729FB" w:rsidP="00713DA5">
            <w:pPr>
              <w:spacing w:before="240" w:line="260" w:lineRule="atLeast"/>
              <w:ind w:left="60" w:right="360"/>
              <w:jc w:val="both"/>
            </w:pPr>
            <w:r>
              <w:rPr>
                <w:rFonts w:ascii="Arial" w:eastAsia="Arial" w:hAnsi="Arial" w:cs="Arial"/>
                <w:color w:val="000000"/>
                <w:sz w:val="20"/>
              </w:rPr>
              <w:t xml:space="preserve">To distribute means to sell, </w:t>
            </w:r>
            <w:r>
              <w:rPr>
                <w:rFonts w:ascii="Arial" w:eastAsia="Arial" w:hAnsi="Arial" w:cs="Arial"/>
                <w:i/>
                <w:color w:val="000000"/>
                <w:sz w:val="20"/>
              </w:rPr>
              <w:t xml:space="preserve">see, e.g., </w:t>
            </w:r>
            <w:hyperlink r:id="rId1688" w:history="1">
              <w:r>
                <w:rPr>
                  <w:rFonts w:ascii="Arial" w:eastAsia="Arial" w:hAnsi="Arial" w:cs="Arial"/>
                  <w:i/>
                  <w:color w:val="0077CC"/>
                  <w:sz w:val="20"/>
                  <w:u w:val="single"/>
                </w:rPr>
                <w:t>Bingman v. State, 285 Md. 59, 400 A.2d 765 (1979),</w:t>
              </w:r>
            </w:hyperlink>
            <w:r>
              <w:rPr>
                <w:rFonts w:ascii="Arial" w:eastAsia="Arial" w:hAnsi="Arial" w:cs="Arial"/>
                <w:color w:val="000000"/>
                <w:sz w:val="20"/>
              </w:rPr>
              <w:t xml:space="preserve"> give away, </w:t>
            </w:r>
            <w:r>
              <w:rPr>
                <w:rFonts w:ascii="Arial" w:eastAsia="Arial" w:hAnsi="Arial" w:cs="Arial"/>
                <w:i/>
                <w:color w:val="000000"/>
                <w:sz w:val="20"/>
              </w:rPr>
              <w:t xml:space="preserve">see, e.g., </w:t>
            </w:r>
            <w:hyperlink r:id="rId1689" w:history="1">
              <w:r>
                <w:rPr>
                  <w:rFonts w:ascii="Arial" w:eastAsia="Arial" w:hAnsi="Arial" w:cs="Arial"/>
                  <w:i/>
                  <w:color w:val="0077CC"/>
                  <w:sz w:val="20"/>
                  <w:u w:val="single"/>
                </w:rPr>
                <w:t>Killie v. State, 14 Md. App. 465, 287 A.2d 310,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265 Md. 740 (1972),</w:t>
            </w:r>
            <w:r>
              <w:rPr>
                <w:rFonts w:ascii="Arial" w:eastAsia="Arial" w:hAnsi="Arial" w:cs="Arial"/>
                <w:color w:val="000000"/>
                <w:sz w:val="20"/>
              </w:rPr>
              <w:t xml:space="preserve"> or transfer possession, i.e., deliver, CRIM. LAW I § 5-101(i), (m). Distribution includes any delivery other than the lawful dispensing of a controlled dangerous substance by a practitioner. CRIM. LAW I § 5-101(i), (l), (m). Thus, any unlawful delivery of a controlled substance violates § 5-602. Possession is a necessary element of the crime of distribution. </w:t>
            </w:r>
            <w:hyperlink r:id="rId1690" w:history="1">
              <w:r>
                <w:rPr>
                  <w:rFonts w:ascii="Arial" w:eastAsia="Arial" w:hAnsi="Arial" w:cs="Arial"/>
                  <w:i/>
                  <w:color w:val="0077CC"/>
                  <w:sz w:val="20"/>
                  <w:u w:val="single"/>
                </w:rPr>
                <w:t>Anderson v. State, 385 Md. 123, 133, 867 A.2d 1040, 1045 (2005).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Such delivery may include a sale to an undercover police officer, </w:t>
            </w:r>
            <w:hyperlink r:id="rId1691" w:history="1">
              <w:r>
                <w:rPr>
                  <w:rFonts w:ascii="Arial" w:eastAsia="Arial" w:hAnsi="Arial" w:cs="Arial"/>
                  <w:i/>
                  <w:color w:val="0077CC"/>
                  <w:sz w:val="20"/>
                  <w:u w:val="single"/>
                </w:rPr>
                <w:t>Bingman, 285 Md. 59, 400 A.2d 765,</w:t>
              </w:r>
            </w:hyperlink>
            <w:r>
              <w:rPr>
                <w:rFonts w:ascii="Arial" w:eastAsia="Arial" w:hAnsi="Arial" w:cs="Arial"/>
                <w:color w:val="000000"/>
                <w:sz w:val="20"/>
              </w:rPr>
              <w:t xml:space="preserve"> or a "controlled buy" via an informant. </w:t>
            </w:r>
            <w:hyperlink r:id="rId1692" w:history="1">
              <w:r>
                <w:rPr>
                  <w:rFonts w:ascii="Arial" w:eastAsia="Arial" w:hAnsi="Arial" w:cs="Arial"/>
                  <w:i/>
                  <w:color w:val="0077CC"/>
                  <w:sz w:val="20"/>
                  <w:u w:val="single"/>
                </w:rPr>
                <w:t>Johnson v. State, 221 Md. 177, 156 A.2d 441 (1959),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363 U.S. 816 (1960);</w:t>
            </w:r>
            <w:r>
              <w:rPr>
                <w:rFonts w:ascii="Arial" w:eastAsia="Arial" w:hAnsi="Arial" w:cs="Arial"/>
                <w:color w:val="000000"/>
                <w:sz w:val="20"/>
              </w:rPr>
              <w:t xml:space="preserve"> </w:t>
            </w:r>
            <w:hyperlink r:id="rId1693" w:history="1">
              <w:r>
                <w:rPr>
                  <w:rFonts w:ascii="Arial" w:eastAsia="Arial" w:hAnsi="Arial" w:cs="Arial"/>
                  <w:i/>
                  <w:color w:val="0077CC"/>
                  <w:sz w:val="20"/>
                  <w:u w:val="single"/>
                </w:rPr>
                <w:t>Ross v. State, 24 Md. App. 246, 330 A.2d 507 (1975),</w:t>
              </w:r>
            </w:hyperlink>
            <w:r>
              <w:rPr>
                <w:rFonts w:ascii="Arial" w:eastAsia="Arial" w:hAnsi="Arial" w:cs="Arial"/>
                <w:color w:val="000000"/>
                <w:sz w:val="20"/>
              </w:rPr>
              <w:t xml:space="preserve"> </w:t>
            </w:r>
            <w:r>
              <w:rPr>
                <w:rFonts w:ascii="Arial" w:eastAsia="Arial" w:hAnsi="Arial" w:cs="Arial"/>
                <w:i/>
                <w:color w:val="000000"/>
                <w:sz w:val="20"/>
              </w:rPr>
              <w:t>rev'd on other grounds</w:t>
            </w:r>
            <w:r>
              <w:rPr>
                <w:rFonts w:ascii="Arial" w:eastAsia="Arial" w:hAnsi="Arial" w:cs="Arial"/>
                <w:color w:val="000000"/>
                <w:sz w:val="20"/>
              </w:rPr>
              <w:t xml:space="preserve">, </w:t>
            </w:r>
            <w:hyperlink r:id="rId1694" w:history="1">
              <w:r>
                <w:rPr>
                  <w:rFonts w:ascii="Arial" w:eastAsia="Arial" w:hAnsi="Arial" w:cs="Arial"/>
                  <w:i/>
                  <w:color w:val="0077CC"/>
                  <w:sz w:val="20"/>
                  <w:u w:val="single"/>
                </w:rPr>
                <w:t>276 Md. 664, 350 A.2d 680 (1976).</w:t>
              </w:r>
            </w:hyperlink>
            <w:r>
              <w:rPr>
                <w:rFonts w:ascii="Arial" w:eastAsia="Arial" w:hAnsi="Arial" w:cs="Arial"/>
                <w:color w:val="000000"/>
                <w:sz w:val="20"/>
              </w:rPr>
              <w:t xml:space="preserve"> A conviction of distribution also may be sustained when a controlled dangerous substance is given away, </w:t>
            </w:r>
            <w:hyperlink r:id="rId1695" w:history="1">
              <w:r>
                <w:rPr>
                  <w:rFonts w:ascii="Arial" w:eastAsia="Arial" w:hAnsi="Arial" w:cs="Arial"/>
                  <w:i/>
                  <w:color w:val="0077CC"/>
                  <w:sz w:val="20"/>
                  <w:u w:val="single"/>
                </w:rPr>
                <w:t>Hignut v. State, 17 Md. App. 399, 303 A.2d 173 (1973),</w:t>
              </w:r>
            </w:hyperlink>
            <w:r>
              <w:rPr>
                <w:rFonts w:ascii="Arial" w:eastAsia="Arial" w:hAnsi="Arial" w:cs="Arial"/>
                <w:color w:val="000000"/>
                <w:sz w:val="20"/>
              </w:rPr>
              <w:t xml:space="preserve"> or delivered to another, i.e., where a transfer of possession takes place. CRIM. LAW I § 5-101(i).</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696" w:history="1">
              <w:r>
                <w:rPr>
                  <w:rFonts w:ascii="Arial" w:eastAsia="Arial" w:hAnsi="Arial" w:cs="Arial"/>
                  <w:i/>
                  <w:color w:val="0077CC"/>
                  <w:sz w:val="20"/>
                  <w:u w:val="single"/>
                </w:rPr>
                <w:t>Hawkins v. State, 77 Md. App. 338, 347-48, 550 A.2d 416, 421 (1988),</w:t>
              </w:r>
            </w:hyperlink>
            <w:r>
              <w:rPr>
                <w:rFonts w:ascii="Arial" w:eastAsia="Arial" w:hAnsi="Arial" w:cs="Arial"/>
                <w:color w:val="000000"/>
                <w:sz w:val="20"/>
              </w:rPr>
              <w:t xml:space="preserve"> there was sufficient evidence of distribution. The defendant was approached, at night, in a parking lot frequented by drug dealers. </w:t>
            </w:r>
            <w:hyperlink r:id="rId1697" w:history="1">
              <w:r>
                <w:rPr>
                  <w:rFonts w:ascii="Arial" w:eastAsia="Arial" w:hAnsi="Arial" w:cs="Arial"/>
                  <w:i/>
                  <w:color w:val="0077CC"/>
                  <w:sz w:val="20"/>
                  <w:u w:val="single"/>
                </w:rPr>
                <w:t>Id. at 341, 550 A.2d at 417.</w:t>
              </w:r>
            </w:hyperlink>
            <w:r>
              <w:rPr>
                <w:rFonts w:ascii="Arial" w:eastAsia="Arial" w:hAnsi="Arial" w:cs="Arial"/>
                <w:color w:val="000000"/>
                <w:sz w:val="20"/>
              </w:rPr>
              <w:t xml:space="preserve"> He pulled out a baggie containing tin foil packets and gave one to the person approaching. </w:t>
            </w:r>
            <w:r>
              <w:rPr>
                <w:rFonts w:ascii="Arial" w:eastAsia="Arial" w:hAnsi="Arial" w:cs="Arial"/>
                <w:i/>
                <w:color w:val="000000"/>
                <w:sz w:val="20"/>
              </w:rPr>
              <w:t>Id.</w:t>
            </w:r>
            <w:r>
              <w:rPr>
                <w:rFonts w:ascii="Arial" w:eastAsia="Arial" w:hAnsi="Arial" w:cs="Arial"/>
                <w:color w:val="000000"/>
                <w:sz w:val="20"/>
              </w:rPr>
              <w:t xml:space="preserve"> That person sniffed it and then gave the defendant money. </w:t>
            </w:r>
            <w:r>
              <w:rPr>
                <w:rFonts w:ascii="Arial" w:eastAsia="Arial" w:hAnsi="Arial" w:cs="Arial"/>
                <w:i/>
                <w:color w:val="000000"/>
                <w:sz w:val="20"/>
              </w:rPr>
              <w:t>Id.</w:t>
            </w:r>
            <w:r>
              <w:rPr>
                <w:rFonts w:ascii="Arial" w:eastAsia="Arial" w:hAnsi="Arial" w:cs="Arial"/>
                <w:color w:val="000000"/>
                <w:sz w:val="20"/>
              </w:rPr>
              <w:t xml:space="preserve"> All of the packets that were recovered from the defendant contained marijuana and PCP. </w:t>
            </w:r>
            <w:r>
              <w:rPr>
                <w:rFonts w:ascii="Arial" w:eastAsia="Arial" w:hAnsi="Arial" w:cs="Arial"/>
                <w:i/>
                <w:color w:val="000000"/>
                <w:sz w:val="20"/>
              </w:rPr>
              <w:t xml:space="preserve">See </w:t>
            </w:r>
            <w:hyperlink r:id="rId1698" w:history="1">
              <w:r>
                <w:rPr>
                  <w:rFonts w:ascii="Arial" w:eastAsia="Arial" w:hAnsi="Arial" w:cs="Arial"/>
                  <w:i/>
                  <w:color w:val="0077CC"/>
                  <w:sz w:val="20"/>
                  <w:u w:val="single"/>
                </w:rPr>
                <w:t>id. at 347-48, 550 A.2d at 421.</w:t>
              </w:r>
            </w:hyperlink>
            <w:r>
              <w:rPr>
                <w:rFonts w:ascii="Arial" w:eastAsia="Arial" w:hAnsi="Arial" w:cs="Arial"/>
                <w:color w:val="000000"/>
                <w:sz w:val="20"/>
              </w:rPr>
              <w:t xml:space="preserve"> The Court found sufficient evidence of distribution even though the packet that was sold never was recovered. However, in </w:t>
            </w:r>
            <w:hyperlink r:id="rId1699" w:history="1">
              <w:r>
                <w:rPr>
                  <w:rFonts w:ascii="Arial" w:eastAsia="Arial" w:hAnsi="Arial" w:cs="Arial"/>
                  <w:i/>
                  <w:color w:val="0077CC"/>
                  <w:sz w:val="20"/>
                  <w:u w:val="single"/>
                </w:rPr>
                <w:t>Vandegrift v. State, 82 Md. App. 617, 642-43, 573 A.2d 56, 68,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320 Md. 801, 580 A.2d 219 (1990),</w:t>
            </w:r>
            <w:r>
              <w:rPr>
                <w:rFonts w:ascii="Arial" w:eastAsia="Arial" w:hAnsi="Arial" w:cs="Arial"/>
                <w:color w:val="000000"/>
                <w:sz w:val="20"/>
              </w:rPr>
              <w:t xml:space="preserve"> distribution was not established by the exchange of a brown paper bag for currency when there was no </w:t>
            </w:r>
            <w:r>
              <w:rPr>
                <w:rFonts w:ascii="Arial" w:eastAsia="Arial" w:hAnsi="Arial" w:cs="Arial"/>
                <w:color w:val="000000"/>
                <w:sz w:val="20"/>
              </w:rPr>
              <w:lastRenderedPageBreak/>
              <w:t xml:space="preserve">evidence that the bag contained marijuana, and the defendant's telephone communication did not refer to marijuana, even though there was evidence that the defendant generally distributed marijuana. The Court of Special Appeals has held that evidence of a single buy-sell transaction in which the defendant received money and handed it to a person who distributed drugs did not provide enough evidence to sustain a conviction for conspiracy to distribute. </w:t>
            </w:r>
            <w:hyperlink r:id="rId1700" w:history="1">
              <w:r>
                <w:rPr>
                  <w:rFonts w:ascii="Arial" w:eastAsia="Arial" w:hAnsi="Arial" w:cs="Arial"/>
                  <w:i/>
                  <w:color w:val="0077CC"/>
                  <w:sz w:val="20"/>
                  <w:u w:val="single"/>
                </w:rPr>
                <w:t>Heckstall v. State 120 Md. App. 621, 624-29, 707 A.2d 953, 955-57 (1998).</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23" style="position:absolute;left:0;text-align:left;z-index:25195110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7" name="Picture 10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07" w:history="1">
        <w:r>
          <w:rPr>
            <w:rFonts w:ascii="Arial" w:eastAsia="Arial" w:hAnsi="Arial" w:cs="Arial"/>
            <w:b/>
            <w:bCs/>
            <w:i/>
            <w:color w:val="0077CC"/>
            <w:kern w:val="32"/>
            <w:sz w:val="28"/>
            <w:szCs w:val="32"/>
            <w:u w:val="single"/>
          </w:rPr>
          <w:t>MPJI-Cr 4:24.3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SUBSTANCE--MANUFACTURE</w:t>
      </w:r>
    </w:p>
    <w:p w:rsidR="004729FB" w:rsidRDefault="004729FB" w:rsidP="004729FB">
      <w:pPr>
        <w:keepNext/>
        <w:spacing w:before="240" w:line="340" w:lineRule="atLeast"/>
      </w:pPr>
      <w:r>
        <w:br/>
      </w:r>
      <w:r>
        <w:rPr>
          <w:rFonts w:ascii="Arial" w:eastAsia="Arial" w:hAnsi="Arial" w:cs="Arial"/>
          <w:b/>
          <w:color w:val="000000"/>
          <w:sz w:val="28"/>
        </w:rPr>
        <w:t>4:24.3Narcotics and Controlled Dangerous Substance--Manufacture</w:t>
      </w:r>
    </w:p>
    <w:p w:rsidR="004729FB" w:rsidRDefault="004729FB" w:rsidP="004729FB">
      <w:pPr>
        <w:spacing w:line="60" w:lineRule="exact"/>
      </w:pPr>
      <w:r>
        <w:pict>
          <v:line id="_x0000_s1314" style="position:absolute;z-index:2519418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manufacturing (</w:t>
      </w:r>
      <w:r>
        <w:rPr>
          <w:rFonts w:ascii="Arial" w:eastAsia="Arial" w:hAnsi="Arial" w:cs="Arial"/>
          <w:b/>
          <w:color w:val="000000"/>
          <w:sz w:val="20"/>
          <w:u w:val="single"/>
        </w:rPr>
        <w:t>controlled dangerous substance</w:t>
      </w:r>
      <w:r>
        <w:rPr>
          <w:rFonts w:ascii="Arial" w:eastAsia="Arial" w:hAnsi="Arial" w:cs="Arial"/>
          <w:b/>
          <w:color w:val="000000"/>
          <w:sz w:val="20"/>
        </w:rPr>
        <w:t>), which is a controlled dangerous substance.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manufactured the substance; and</w:t>
      </w:r>
    </w:p>
    <w:p w:rsidR="004729FB" w:rsidRDefault="004729FB" w:rsidP="004729FB">
      <w:pPr>
        <w:spacing w:before="200" w:line="260" w:lineRule="atLeast"/>
        <w:ind w:left="400"/>
        <w:jc w:val="both"/>
      </w:pPr>
      <w:r>
        <w:rPr>
          <w:rFonts w:ascii="Arial" w:eastAsia="Arial" w:hAnsi="Arial" w:cs="Arial"/>
          <w:b/>
          <w:color w:val="000000"/>
          <w:sz w:val="20"/>
        </w:rPr>
        <w:t>(2) that the substance was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Manufacture means the production, preparation, growth, propagation, compounding, conversion, or processing of a controlled dangerous substance and includes any packaging or repackaging of the substance or labeling or relabeling of its containers. [Manufacturing does not include the preparation or compounding of a controlled dangerous substance for one's own use.] [Manufacturing does not include the mixing of a controlled dangerous substance with a substance that is not a controlled dangerous substance if it does not chemically alter the controlled dangerous substance.]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4:24 (Narcotics and Controlled Dangerous Substance--Possession).</w:t>
            </w:r>
          </w:p>
          <w:p w:rsidR="004729FB" w:rsidRDefault="004729FB" w:rsidP="00713DA5">
            <w:pPr>
              <w:spacing w:before="200" w:line="260" w:lineRule="atLeast"/>
              <w:ind w:left="60" w:right="360"/>
              <w:jc w:val="both"/>
            </w:pPr>
            <w:r>
              <w:rPr>
                <w:rFonts w:ascii="Arial" w:eastAsia="Arial" w:hAnsi="Arial" w:cs="Arial"/>
                <w:color w:val="000000"/>
                <w:sz w:val="20"/>
              </w:rPr>
              <w:t>Manufacture is defined in CRIM. LAW I § 5-101(q) as follows:</w:t>
            </w:r>
          </w:p>
          <w:p w:rsidR="004729FB" w:rsidRDefault="004729FB" w:rsidP="00713DA5">
            <w:pPr>
              <w:spacing w:before="60" w:line="260" w:lineRule="atLeast"/>
              <w:ind w:left="460" w:right="360"/>
              <w:jc w:val="both"/>
            </w:pPr>
            <w:r>
              <w:rPr>
                <w:rFonts w:ascii="Arial" w:eastAsia="Arial" w:hAnsi="Arial" w:cs="Arial"/>
                <w:color w:val="000000"/>
                <w:sz w:val="20"/>
              </w:rPr>
              <w:t>(1) "Manufacture", with respect to a controlled dangerous substance, means to produce, prepare, propagate, compound, convert, or process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(i) directly or indirectly by extraction from substances of natural origin;</w:t>
            </w:r>
          </w:p>
          <w:p w:rsidR="004729FB" w:rsidRDefault="004729FB" w:rsidP="00713DA5">
            <w:pPr>
              <w:spacing w:before="60" w:line="260" w:lineRule="atLeast"/>
              <w:ind w:left="860" w:right="360"/>
              <w:jc w:val="both"/>
            </w:pPr>
            <w:r>
              <w:rPr>
                <w:rFonts w:ascii="Arial" w:eastAsia="Arial" w:hAnsi="Arial" w:cs="Arial"/>
                <w:color w:val="000000"/>
                <w:sz w:val="20"/>
              </w:rPr>
              <w:t>(ii) independently by chemical synthesis; or</w:t>
            </w:r>
          </w:p>
          <w:p w:rsidR="004729FB" w:rsidRDefault="004729FB" w:rsidP="00713DA5">
            <w:pPr>
              <w:spacing w:before="60" w:line="260" w:lineRule="atLeast"/>
              <w:ind w:left="860" w:right="360"/>
              <w:jc w:val="both"/>
            </w:pPr>
            <w:r>
              <w:rPr>
                <w:rFonts w:ascii="Arial" w:eastAsia="Arial" w:hAnsi="Arial" w:cs="Arial"/>
                <w:color w:val="000000"/>
                <w:sz w:val="20"/>
              </w:rPr>
              <w:t>(iii) by a combination of extraction and chemical synthesis.</w:t>
            </w:r>
          </w:p>
          <w:p w:rsidR="004729FB" w:rsidRDefault="004729FB" w:rsidP="00713DA5">
            <w:pPr>
              <w:spacing w:before="60" w:line="260" w:lineRule="atLeast"/>
              <w:ind w:left="460" w:right="360"/>
              <w:jc w:val="both"/>
            </w:pPr>
            <w:r>
              <w:rPr>
                <w:rFonts w:ascii="Arial" w:eastAsia="Arial" w:hAnsi="Arial" w:cs="Arial"/>
                <w:color w:val="000000"/>
                <w:sz w:val="20"/>
              </w:rPr>
              <w:t>(2) "Manufacture" includes to package and repackage a controlled dangerous substance and label and relabel its containers.</w:t>
            </w:r>
          </w:p>
          <w:p w:rsidR="004729FB" w:rsidRDefault="004729FB" w:rsidP="00713DA5">
            <w:pPr>
              <w:spacing w:before="60" w:line="260" w:lineRule="atLeast"/>
              <w:ind w:left="460" w:right="360"/>
              <w:jc w:val="both"/>
            </w:pPr>
            <w:r>
              <w:rPr>
                <w:rFonts w:ascii="Arial" w:eastAsia="Arial" w:hAnsi="Arial" w:cs="Arial"/>
                <w:color w:val="000000"/>
                <w:sz w:val="20"/>
              </w:rPr>
              <w:t>(3) "Manufacture" does not include:</w:t>
            </w:r>
          </w:p>
          <w:p w:rsidR="004729FB" w:rsidRDefault="004729FB" w:rsidP="00713DA5">
            <w:pPr>
              <w:spacing w:before="60" w:line="260" w:lineRule="atLeast"/>
              <w:ind w:left="860" w:right="360"/>
              <w:jc w:val="both"/>
            </w:pPr>
            <w:r>
              <w:rPr>
                <w:rFonts w:ascii="Arial" w:eastAsia="Arial" w:hAnsi="Arial" w:cs="Arial"/>
                <w:color w:val="000000"/>
                <w:sz w:val="20"/>
              </w:rPr>
              <w:t>(i) to prepare or compound a controlled dangerous substance by an individual for the individual's own use; or</w:t>
            </w:r>
          </w:p>
          <w:p w:rsidR="004729FB" w:rsidRDefault="004729FB" w:rsidP="00713DA5">
            <w:pPr>
              <w:spacing w:before="60" w:line="260" w:lineRule="atLeast"/>
              <w:ind w:left="860" w:right="360"/>
              <w:jc w:val="both"/>
            </w:pPr>
            <w:r>
              <w:rPr>
                <w:rFonts w:ascii="Arial" w:eastAsia="Arial" w:hAnsi="Arial" w:cs="Arial"/>
                <w:color w:val="000000"/>
                <w:sz w:val="20"/>
              </w:rPr>
              <w:t>(ii) to prepare, compound, package, or label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1. by an authorized provider incidental to administering or dispensing a controlled dangerous substance in the course of professional practice; or</w:t>
            </w:r>
          </w:p>
          <w:p w:rsidR="004729FB" w:rsidRDefault="004729FB" w:rsidP="00713DA5">
            <w:pPr>
              <w:spacing w:before="60" w:line="260" w:lineRule="atLeast"/>
              <w:ind w:left="860" w:right="360"/>
              <w:jc w:val="both"/>
            </w:pPr>
            <w:r>
              <w:rPr>
                <w:rFonts w:ascii="Arial" w:eastAsia="Arial" w:hAnsi="Arial" w:cs="Arial"/>
                <w:color w:val="000000"/>
                <w:sz w:val="20"/>
              </w:rPr>
              <w:lastRenderedPageBreak/>
              <w:t>2. if the controlled dangerous substance is not for sale by an authorized provider, or by the authorized provider's agent under the authorized provider's supervision, for or incidental to research, teaching, or chemical analysis.</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708" w:history="1">
              <w:r>
                <w:rPr>
                  <w:rFonts w:ascii="Arial" w:eastAsia="Arial" w:hAnsi="Arial" w:cs="Arial"/>
                  <w:i/>
                  <w:color w:val="0077CC"/>
                  <w:sz w:val="20"/>
                  <w:u w:val="single"/>
                </w:rPr>
                <w:t>Graybeal v. State, 13 Md. App. 557, 563, 284 A.2d 37, 40 (1971),</w:t>
              </w:r>
            </w:hyperlink>
            <w:r>
              <w:rPr>
                <w:rFonts w:ascii="Arial" w:eastAsia="Arial" w:hAnsi="Arial" w:cs="Arial"/>
                <w:color w:val="000000"/>
                <w:sz w:val="20"/>
              </w:rPr>
              <w:t xml:space="preserve"> the Court of Special Appeals held that growing marijuana plants constitutes manufacture because manufacture is defined to include propagation. Manufacture does not include the preparation or compounding of a controlled dangerous substance for one's own use. CRIM. LAW I § 5-101(q)(3)(i). Moreover, it does not include the packaging or repackaging of all controlled dangerous substances but only the packaging or repackaging of those substances produced by extraction and/or chemical synthesis. </w:t>
            </w:r>
            <w:hyperlink r:id="rId1709" w:history="1">
              <w:r>
                <w:rPr>
                  <w:rFonts w:ascii="Arial" w:eastAsia="Arial" w:hAnsi="Arial" w:cs="Arial"/>
                  <w:i/>
                  <w:color w:val="0077CC"/>
                  <w:sz w:val="20"/>
                  <w:u w:val="single"/>
                </w:rPr>
                <w:t>Davis v. State, 319 Md. 56, 61-62, 570 A.2d 855, 858 (1990).</w:t>
              </w:r>
            </w:hyperlink>
            <w:r>
              <w:rPr>
                <w:rFonts w:ascii="Arial" w:eastAsia="Arial" w:hAnsi="Arial" w:cs="Arial"/>
                <w:color w:val="000000"/>
                <w:sz w:val="20"/>
              </w:rPr>
              <w:t xml:space="preserve"> "Cutting" a drug by mixing the produced form of the drug with a dilutant is not manufacturing if the cutting process does not involve chemical synthesis. </w:t>
            </w:r>
            <w:hyperlink r:id="rId1710" w:history="1">
              <w:r>
                <w:rPr>
                  <w:rFonts w:ascii="Arial" w:eastAsia="Arial" w:hAnsi="Arial" w:cs="Arial"/>
                  <w:i/>
                  <w:color w:val="0077CC"/>
                  <w:sz w:val="20"/>
                  <w:u w:val="single"/>
                </w:rPr>
                <w:t>Grant v. State, 141 Md. App. 517, 537-41, 786 A.2d 34, 45-48 (2001),</w:t>
              </w:r>
            </w:hyperlink>
            <w:r>
              <w:rPr>
                <w:rFonts w:ascii="Arial" w:eastAsia="Arial" w:hAnsi="Arial" w:cs="Arial"/>
                <w:color w:val="000000"/>
                <w:sz w:val="20"/>
              </w:rPr>
              <w:t xml:space="preserve"> </w:t>
            </w:r>
            <w:r>
              <w:rPr>
                <w:rFonts w:ascii="Arial" w:eastAsia="Arial" w:hAnsi="Arial" w:cs="Arial"/>
                <w:i/>
                <w:color w:val="000000"/>
                <w:sz w:val="20"/>
              </w:rPr>
              <w:t xml:space="preserve">superseded by statute on other grounds as stated in </w:t>
            </w:r>
            <w:hyperlink r:id="rId1711" w:history="1">
              <w:r>
                <w:rPr>
                  <w:rFonts w:ascii="Arial" w:eastAsia="Arial" w:hAnsi="Arial" w:cs="Arial"/>
                  <w:i/>
                  <w:color w:val="0077CC"/>
                  <w:sz w:val="20"/>
                  <w:u w:val="single"/>
                </w:rPr>
                <w:t>Britton v. State, 201 Md. App. 589, 30 A.3d 236 (2011).</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24" style="position:absolute;left:0;text-align:left;z-index:2519521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6" name="Picture 10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18" w:history="1">
        <w:r>
          <w:rPr>
            <w:rFonts w:ascii="Arial" w:eastAsia="Arial" w:hAnsi="Arial" w:cs="Arial"/>
            <w:b/>
            <w:bCs/>
            <w:i/>
            <w:color w:val="0077CC"/>
            <w:kern w:val="32"/>
            <w:sz w:val="28"/>
            <w:szCs w:val="32"/>
            <w:u w:val="single"/>
          </w:rPr>
          <w:t>MPJI-Cr 4:24.4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SUBSTANCE--DRUG PARAPHERNALIA (USE OR POSSESSION)</w:t>
      </w:r>
    </w:p>
    <w:p w:rsidR="004729FB" w:rsidRDefault="004729FB" w:rsidP="004729FB">
      <w:pPr>
        <w:keepNext/>
        <w:spacing w:before="240" w:line="340" w:lineRule="atLeast"/>
      </w:pPr>
      <w:r>
        <w:br/>
      </w:r>
      <w:r>
        <w:rPr>
          <w:rFonts w:ascii="Arial" w:eastAsia="Arial" w:hAnsi="Arial" w:cs="Arial"/>
          <w:b/>
          <w:color w:val="000000"/>
          <w:sz w:val="28"/>
        </w:rPr>
        <w:t>4:24.4Narcotics and Controlled Dangerous Substance--Drug Paraphernalia (Use or Possession)</w:t>
      </w:r>
    </w:p>
    <w:p w:rsidR="004729FB" w:rsidRDefault="004729FB" w:rsidP="004729FB">
      <w:pPr>
        <w:spacing w:line="60" w:lineRule="exact"/>
      </w:pPr>
      <w:r>
        <w:pict>
          <v:line id="_x0000_s1315" style="position:absolute;z-index:2519429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[using] [possession with intent to use] drug paraphernalia</w:t>
      </w:r>
      <w:r>
        <w:rPr>
          <w:rFonts w:ascii="Arial" w:eastAsia="Arial" w:hAnsi="Arial" w:cs="Arial"/>
          <w:color w:val="000000"/>
          <w:sz w:val="20"/>
        </w:rPr>
        <w:t xml:space="preserve">. </w:t>
      </w:r>
      <w:r>
        <w:rPr>
          <w:rFonts w:ascii="Arial" w:eastAsia="Arial" w:hAnsi="Arial" w:cs="Arial"/>
          <w:b/>
          <w:color w:val="000000"/>
          <w:sz w:val="20"/>
        </w:rPr>
        <w:t>In order to convict the defendant, the State must prove that the defendant [used] [possessed with intent to use] drug paraphernalia</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Drug paraphernalia means any equipment or materials used or intended for use in [manufacturing] [packaging] [storing] [concealing] [introducing into the human body] [other] a controlled dangerous substance. Paraphernalia includes (</w:t>
      </w:r>
      <w:r>
        <w:rPr>
          <w:rFonts w:ascii="Arial" w:eastAsia="Arial" w:hAnsi="Arial" w:cs="Arial"/>
          <w:b/>
          <w:color w:val="000000"/>
          <w:sz w:val="20"/>
          <w:u w:val="single"/>
        </w:rPr>
        <w:t>see statute for list of paraphernalia</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4:24 (Narcotics and Controlled Dangerous Substance--Possession).</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5-619 makes it illegal to use or possess drug paraphernalia with intent to use it. </w:t>
            </w:r>
            <w:r>
              <w:rPr>
                <w:rFonts w:ascii="Arial" w:eastAsia="Arial" w:hAnsi="Arial" w:cs="Arial"/>
                <w:i/>
                <w:color w:val="000000"/>
                <w:sz w:val="20"/>
              </w:rPr>
              <w:t>See</w:t>
            </w:r>
            <w:r>
              <w:rPr>
                <w:rFonts w:ascii="Arial" w:eastAsia="Arial" w:hAnsi="Arial" w:cs="Arial"/>
                <w:color w:val="000000"/>
                <w:sz w:val="20"/>
              </w:rPr>
              <w:t xml:space="preserve"> CRIM. LAW I § 5-619(c)(1). There are two ways to determine if an object is drug paraphernalia. Section 5-101(p) lists items that are drug paraphernalia per se. Section 5-619(a) contains a list of factors that shall be used to determine if other items are drug paraphernalia.</w:t>
            </w:r>
          </w:p>
          <w:p w:rsidR="004729FB" w:rsidRDefault="004729FB" w:rsidP="00713DA5">
            <w:pPr>
              <w:spacing w:before="240" w:line="260" w:lineRule="atLeast"/>
              <w:ind w:left="60" w:right="360"/>
              <w:jc w:val="both"/>
            </w:pPr>
            <w:r>
              <w:rPr>
                <w:rFonts w:ascii="Arial" w:eastAsia="Arial" w:hAnsi="Arial" w:cs="Arial"/>
                <w:color w:val="000000"/>
                <w:sz w:val="20"/>
              </w:rPr>
              <w:t xml:space="preserve">Maryland's drug paraphernalia statute, CRIM. LAW I § 5-619, is an almost verbatim adoption of the Model Drug Paraphernalia Act drafted by the Drug Enforcement Administration. In </w:t>
            </w:r>
            <w:hyperlink r:id="rId1719" w:history="1">
              <w:r>
                <w:rPr>
                  <w:rFonts w:ascii="Arial" w:eastAsia="Arial" w:hAnsi="Arial" w:cs="Arial"/>
                  <w:i/>
                  <w:color w:val="0077CC"/>
                  <w:sz w:val="20"/>
                  <w:u w:val="single"/>
                </w:rPr>
                <w:t>Mid-Atlantic Accessories Trade Association v. Maryland, 500 F. Supp. 834 (D. Md. 1980),</w:t>
              </w:r>
            </w:hyperlink>
            <w:r>
              <w:rPr>
                <w:rFonts w:ascii="Arial" w:eastAsia="Arial" w:hAnsi="Arial" w:cs="Arial"/>
                <w:color w:val="000000"/>
                <w:sz w:val="20"/>
              </w:rPr>
              <w:t xml:space="preserve"> the United States District Court for the District of Maryland ruled on the constitutionality of the statute, which was attacked as void for vagueness, overbroad, beyond the State's police power, authorizing unreasonable searches, violative of equal protection, and violative of the Commerce Clause. In upholding the constitutionality of the statute, the court relied on the statute's requirement of specific intent, stating:</w:t>
            </w:r>
          </w:p>
          <w:p w:rsidR="004729FB" w:rsidRDefault="004729FB" w:rsidP="00713DA5">
            <w:pPr>
              <w:spacing w:before="200" w:line="260" w:lineRule="atLeast"/>
              <w:ind w:left="460" w:right="360"/>
              <w:jc w:val="both"/>
            </w:pPr>
            <w:r>
              <w:rPr>
                <w:rFonts w:ascii="Arial" w:eastAsia="Arial" w:hAnsi="Arial" w:cs="Arial"/>
                <w:color w:val="000000"/>
                <w:sz w:val="20"/>
              </w:rPr>
              <w:t xml:space="preserve">First, drug paraphernalia is defined in [§ 5-101(p)(1)] as any item "used, intended for use, or designed for use" with illegal drugs. Secondly, the substantive offenses are defined in terms of specific intent. The prohibited acts are (1) using drug paraphernalia, or possessing same with intent to use, to, </w:t>
            </w:r>
            <w:r>
              <w:rPr>
                <w:rFonts w:ascii="Arial" w:eastAsia="Arial" w:hAnsi="Arial" w:cs="Arial"/>
                <w:i/>
                <w:color w:val="000000"/>
                <w:sz w:val="20"/>
              </w:rPr>
              <w:t>inter alia</w:t>
            </w:r>
            <w:r>
              <w:rPr>
                <w:rFonts w:ascii="Arial" w:eastAsia="Arial" w:hAnsi="Arial" w:cs="Arial"/>
                <w:color w:val="000000"/>
                <w:sz w:val="20"/>
              </w:rPr>
              <w:t xml:space="preserve">, inject, ingest, inhale or otherwise introduce illegal drugs into the human body and (2) selling or manufacturing drug paraphernalia knowing, or under circumstances where one reasonably should know, that the drug paraphernalia will be used, to, </w:t>
            </w:r>
            <w:r>
              <w:rPr>
                <w:rFonts w:ascii="Arial" w:eastAsia="Arial" w:hAnsi="Arial" w:cs="Arial"/>
                <w:i/>
                <w:color w:val="000000"/>
                <w:sz w:val="20"/>
              </w:rPr>
              <w:t>inter alia</w:t>
            </w:r>
            <w:r>
              <w:rPr>
                <w:rFonts w:ascii="Arial" w:eastAsia="Arial" w:hAnsi="Arial" w:cs="Arial"/>
                <w:color w:val="000000"/>
                <w:sz w:val="20"/>
              </w:rPr>
              <w:t xml:space="preserve">, inject, ingest, inhale or otherwise introduce </w:t>
            </w:r>
            <w:r>
              <w:rPr>
                <w:rFonts w:ascii="Arial" w:eastAsia="Arial" w:hAnsi="Arial" w:cs="Arial"/>
                <w:color w:val="000000"/>
                <w:sz w:val="20"/>
              </w:rPr>
              <w:lastRenderedPageBreak/>
              <w:t>illegal drugs into the human body. In the absence of the first sort of specific intent, nothing is drug paraphernalia. In the absence of the second, no act committed by a person involving drug paraphernalia is prohibited.</w:t>
            </w:r>
          </w:p>
          <w:p w:rsidR="004729FB" w:rsidRDefault="004729FB" w:rsidP="00713DA5">
            <w:pPr>
              <w:spacing w:before="240" w:line="260" w:lineRule="atLeast"/>
              <w:ind w:left="60" w:right="360"/>
              <w:jc w:val="both"/>
            </w:pPr>
            <w:hyperlink r:id="rId1720" w:history="1">
              <w:r>
                <w:rPr>
                  <w:rFonts w:ascii="Arial" w:eastAsia="Arial" w:hAnsi="Arial" w:cs="Arial"/>
                  <w:i/>
                  <w:color w:val="0077CC"/>
                  <w:sz w:val="20"/>
                  <w:u w:val="single"/>
                </w:rPr>
                <w:t>500 F. Supp. at 844;</w:t>
              </w:r>
            </w:hyperlink>
            <w:r>
              <w:rPr>
                <w:rFonts w:ascii="Arial" w:eastAsia="Arial" w:hAnsi="Arial" w:cs="Arial"/>
                <w:color w:val="000000"/>
                <w:sz w:val="20"/>
              </w:rPr>
              <w:t xml:space="preserve"> </w:t>
            </w:r>
            <w:r>
              <w:rPr>
                <w:rFonts w:ascii="Arial" w:eastAsia="Arial" w:hAnsi="Arial" w:cs="Arial"/>
                <w:i/>
                <w:color w:val="000000"/>
                <w:sz w:val="20"/>
              </w:rPr>
              <w:t>accord</w:t>
            </w:r>
            <w:r>
              <w:rPr>
                <w:rFonts w:ascii="Arial" w:eastAsia="Arial" w:hAnsi="Arial" w:cs="Arial"/>
                <w:color w:val="000000"/>
                <w:sz w:val="20"/>
              </w:rPr>
              <w:t xml:space="preserve"> 65 Op. Md. Att'y Gen. 92 (1980); </w:t>
            </w:r>
            <w:r>
              <w:rPr>
                <w:rFonts w:ascii="Arial" w:eastAsia="Arial" w:hAnsi="Arial" w:cs="Arial"/>
                <w:i/>
                <w:color w:val="000000"/>
                <w:sz w:val="20"/>
              </w:rPr>
              <w:t xml:space="preserve">cf. </w:t>
            </w:r>
            <w:hyperlink r:id="rId1721" w:history="1">
              <w:r>
                <w:rPr>
                  <w:rFonts w:ascii="Arial" w:eastAsia="Arial" w:hAnsi="Arial" w:cs="Arial"/>
                  <w:i/>
                  <w:color w:val="0077CC"/>
                  <w:sz w:val="20"/>
                  <w:u w:val="single"/>
                </w:rPr>
                <w:t>Burns v. State, 149 Md. App. 526, 817 A.2d 885 (2003)</w:t>
              </w:r>
            </w:hyperlink>
            <w:r>
              <w:rPr>
                <w:rFonts w:ascii="Arial" w:eastAsia="Arial" w:hAnsi="Arial" w:cs="Arial"/>
                <w:color w:val="000000"/>
                <w:sz w:val="20"/>
              </w:rPr>
              <w:t xml:space="preserve"> (holding that the location of a crack pipe provided probable cause to arrest).</w:t>
            </w:r>
          </w:p>
          <w:p w:rsidR="004729FB" w:rsidRDefault="004729FB" w:rsidP="00713DA5">
            <w:pPr>
              <w:spacing w:before="200" w:line="260" w:lineRule="atLeast"/>
              <w:ind w:left="60" w:right="360"/>
              <w:jc w:val="both"/>
            </w:pPr>
            <w:r>
              <w:rPr>
                <w:rFonts w:ascii="Arial" w:eastAsia="Arial" w:hAnsi="Arial" w:cs="Arial"/>
                <w:color w:val="000000"/>
                <w:sz w:val="20"/>
              </w:rPr>
              <w:t>Under Section 5-101(p):</w:t>
            </w:r>
          </w:p>
          <w:p w:rsidR="004729FB" w:rsidRDefault="004729FB" w:rsidP="00713DA5">
            <w:pPr>
              <w:spacing w:before="60" w:line="260" w:lineRule="atLeast"/>
              <w:ind w:left="460" w:right="360"/>
              <w:jc w:val="both"/>
            </w:pPr>
            <w:r>
              <w:rPr>
                <w:rFonts w:ascii="Arial" w:eastAsia="Arial" w:hAnsi="Arial" w:cs="Arial"/>
                <w:color w:val="000000"/>
                <w:sz w:val="20"/>
              </w:rPr>
              <w:t>(1) "Drug paraphernalia" means equipment, a product, or material that is used, intended for use, or designed for use, in:</w:t>
            </w:r>
          </w:p>
          <w:p w:rsidR="004729FB" w:rsidRDefault="004729FB" w:rsidP="00713DA5">
            <w:pPr>
              <w:spacing w:before="60" w:line="260" w:lineRule="atLeast"/>
              <w:ind w:left="860" w:right="360"/>
              <w:jc w:val="both"/>
            </w:pPr>
            <w:r>
              <w:rPr>
                <w:rFonts w:ascii="Arial" w:eastAsia="Arial" w:hAnsi="Arial" w:cs="Arial"/>
                <w:color w:val="000000"/>
                <w:sz w:val="20"/>
              </w:rPr>
              <w:t>(i) planting, propagating, cultivating, growing, harvesting, manufacturing, compounding, converting, producing, processing, preparing, testing, analyzing, packaging, repackaging, storing, containing, or concealing a controlled dangerous substance in violation of this title, or</w:t>
            </w:r>
          </w:p>
          <w:p w:rsidR="004729FB" w:rsidRDefault="004729FB" w:rsidP="00713DA5">
            <w:pPr>
              <w:spacing w:before="60" w:line="260" w:lineRule="atLeast"/>
              <w:ind w:left="860" w:right="360"/>
              <w:jc w:val="both"/>
            </w:pPr>
            <w:r>
              <w:rPr>
                <w:rFonts w:ascii="Arial" w:eastAsia="Arial" w:hAnsi="Arial" w:cs="Arial"/>
                <w:color w:val="000000"/>
                <w:sz w:val="20"/>
              </w:rPr>
              <w:t>(ii) injecting, ingesting, inhaling, or otherwise introducing into the human body a controlled dangerous substance in violation of this title.</w:t>
            </w:r>
          </w:p>
          <w:p w:rsidR="004729FB" w:rsidRDefault="004729FB" w:rsidP="00713DA5">
            <w:pPr>
              <w:spacing w:before="60" w:line="260" w:lineRule="atLeast"/>
              <w:ind w:left="460" w:right="360"/>
              <w:jc w:val="both"/>
            </w:pPr>
            <w:r>
              <w:rPr>
                <w:rFonts w:ascii="Arial" w:eastAsia="Arial" w:hAnsi="Arial" w:cs="Arial"/>
                <w:color w:val="000000"/>
                <w:sz w:val="20"/>
              </w:rPr>
              <w:t>(2) "Drug paraphernalia" includes:</w:t>
            </w:r>
          </w:p>
          <w:p w:rsidR="004729FB" w:rsidRDefault="004729FB" w:rsidP="00713DA5">
            <w:pPr>
              <w:spacing w:before="60" w:line="260" w:lineRule="atLeast"/>
              <w:ind w:left="860" w:right="360"/>
              <w:jc w:val="both"/>
            </w:pPr>
            <w:r>
              <w:rPr>
                <w:rFonts w:ascii="Arial" w:eastAsia="Arial" w:hAnsi="Arial" w:cs="Arial"/>
                <w:color w:val="000000"/>
                <w:sz w:val="20"/>
              </w:rPr>
              <w:t>(i) a kit used, intended for use, or designed for use in planting, propagating, cultivating, growing, or harvesting any species of plant that is a controlled dangerous substance or from which a controlled dangerous substance can be derived;</w:t>
            </w:r>
          </w:p>
          <w:p w:rsidR="004729FB" w:rsidRDefault="004729FB" w:rsidP="00713DA5">
            <w:pPr>
              <w:spacing w:before="60" w:line="260" w:lineRule="atLeast"/>
              <w:ind w:left="860" w:right="360"/>
              <w:jc w:val="both"/>
            </w:pPr>
            <w:r>
              <w:rPr>
                <w:rFonts w:ascii="Arial" w:eastAsia="Arial" w:hAnsi="Arial" w:cs="Arial"/>
                <w:color w:val="000000"/>
                <w:sz w:val="20"/>
              </w:rPr>
              <w:t>(ii) a kit used, intended for use, or designed for use in manufacturing, compounding, converting, producing, processing, or preparing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(iii) an isomerization device used, intended for use, or designed for use in increasing the potency of any species of plant which is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(iv) testing equipment used, intended for use, or designed for use in identifying or in analyzing the strength, effectiveness, or purity of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(v) a scale or balance used, intended for use, or designed for use in weighing or measuring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(vi) diluent or adulterant, such as quinine hydrochloride, mannitol, mannite, dextrose, or lactose, used, intended for use, or designed for use in cutting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(vii) a separation gin or sifter used, intended for use, or designed for use in removing twigs and seeds from, or in otherwise cleaning or refining, marijuana;</w:t>
            </w:r>
          </w:p>
          <w:p w:rsidR="004729FB" w:rsidRDefault="004729FB" w:rsidP="00713DA5">
            <w:pPr>
              <w:spacing w:before="60" w:line="260" w:lineRule="atLeast"/>
              <w:ind w:left="860" w:right="360"/>
              <w:jc w:val="both"/>
            </w:pPr>
            <w:r>
              <w:rPr>
                <w:rFonts w:ascii="Arial" w:eastAsia="Arial" w:hAnsi="Arial" w:cs="Arial"/>
                <w:color w:val="000000"/>
                <w:sz w:val="20"/>
              </w:rPr>
              <w:t>(viii) a blender, bowl, container, spoon, or mixing device used, intended for use, or designed for use in compounding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(ix) a capsule, balloon, envelope, or other container used, intended for use, or designed for use in packaging small quantities of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(x) a container or other object used, intended for use, or designed for use in storing or concealing a controlled dangerous substance;</w:t>
            </w:r>
          </w:p>
          <w:p w:rsidR="004729FB" w:rsidRDefault="004729FB" w:rsidP="00713DA5">
            <w:pPr>
              <w:spacing w:before="60" w:line="260" w:lineRule="atLeast"/>
              <w:ind w:left="860" w:right="360"/>
              <w:jc w:val="both"/>
            </w:pPr>
            <w:r>
              <w:rPr>
                <w:rFonts w:ascii="Arial" w:eastAsia="Arial" w:hAnsi="Arial" w:cs="Arial"/>
                <w:color w:val="000000"/>
                <w:sz w:val="20"/>
              </w:rPr>
              <w:t>(xi) a hypodermic syringe, needle, or other object used, intended for use, or designed for use in parenterally injecting a controlled dangerous substance into the human body; and</w:t>
            </w:r>
          </w:p>
          <w:p w:rsidR="004729FB" w:rsidRDefault="004729FB" w:rsidP="00713DA5">
            <w:pPr>
              <w:spacing w:before="60" w:line="260" w:lineRule="atLeast"/>
              <w:ind w:left="860" w:right="360"/>
              <w:jc w:val="both"/>
            </w:pPr>
            <w:r>
              <w:rPr>
                <w:rFonts w:ascii="Arial" w:eastAsia="Arial" w:hAnsi="Arial" w:cs="Arial"/>
                <w:color w:val="000000"/>
                <w:sz w:val="20"/>
              </w:rPr>
              <w:t>(xii) an object used, intended for use, or designed for use in ingesting, inhaling, or otherwise introducing marijuana, cocaine, hashish, or hashish oil into the human body such as:</w:t>
            </w:r>
          </w:p>
          <w:p w:rsidR="004729FB" w:rsidRDefault="004729FB" w:rsidP="00713DA5">
            <w:pPr>
              <w:spacing w:before="60" w:line="260" w:lineRule="atLeast"/>
              <w:ind w:left="860" w:right="360"/>
              <w:jc w:val="both"/>
            </w:pPr>
            <w:r>
              <w:rPr>
                <w:rFonts w:ascii="Arial" w:eastAsia="Arial" w:hAnsi="Arial" w:cs="Arial"/>
                <w:color w:val="000000"/>
                <w:sz w:val="20"/>
              </w:rPr>
              <w:t>1. a metal, wooden, acrylic, glass, stone, plastic, or ceramic pipe with or without screen, permanent screen, hashish head, or punctured metal bowl;</w:t>
            </w:r>
          </w:p>
          <w:p w:rsidR="004729FB" w:rsidRDefault="004729FB" w:rsidP="00713DA5">
            <w:pPr>
              <w:spacing w:before="60" w:line="260" w:lineRule="atLeast"/>
              <w:ind w:left="860" w:right="360"/>
              <w:jc w:val="both"/>
            </w:pPr>
            <w:r>
              <w:rPr>
                <w:rFonts w:ascii="Arial" w:eastAsia="Arial" w:hAnsi="Arial" w:cs="Arial"/>
                <w:color w:val="000000"/>
                <w:sz w:val="20"/>
              </w:rPr>
              <w:t>2. a water pipe;</w:t>
            </w:r>
          </w:p>
          <w:p w:rsidR="004729FB" w:rsidRDefault="004729FB" w:rsidP="00713DA5">
            <w:pPr>
              <w:spacing w:before="60" w:line="260" w:lineRule="atLeast"/>
              <w:ind w:left="860" w:right="360"/>
              <w:jc w:val="both"/>
            </w:pPr>
            <w:r>
              <w:rPr>
                <w:rFonts w:ascii="Arial" w:eastAsia="Arial" w:hAnsi="Arial" w:cs="Arial"/>
                <w:color w:val="000000"/>
                <w:sz w:val="20"/>
              </w:rPr>
              <w:t>3. a carburetion tube or device;</w:t>
            </w:r>
          </w:p>
          <w:p w:rsidR="004729FB" w:rsidRDefault="004729FB" w:rsidP="00713DA5">
            <w:pPr>
              <w:spacing w:before="60" w:line="260" w:lineRule="atLeast"/>
              <w:ind w:left="860" w:right="360"/>
              <w:jc w:val="both"/>
            </w:pPr>
            <w:r>
              <w:rPr>
                <w:rFonts w:ascii="Arial" w:eastAsia="Arial" w:hAnsi="Arial" w:cs="Arial"/>
                <w:color w:val="000000"/>
                <w:sz w:val="20"/>
              </w:rPr>
              <w:t>4. a smoking or carburetion mask;</w:t>
            </w:r>
          </w:p>
          <w:p w:rsidR="004729FB" w:rsidRDefault="004729FB" w:rsidP="00713DA5">
            <w:pPr>
              <w:spacing w:before="60" w:line="260" w:lineRule="atLeast"/>
              <w:ind w:left="860" w:right="360"/>
              <w:jc w:val="both"/>
            </w:pPr>
            <w:r>
              <w:rPr>
                <w:rFonts w:ascii="Arial" w:eastAsia="Arial" w:hAnsi="Arial" w:cs="Arial"/>
                <w:color w:val="000000"/>
                <w:sz w:val="20"/>
              </w:rPr>
              <w:t>5. an object known as a roach clip used to hold burning material, such as a marijuana cigarette that has become too small or too short to be held in the hand;</w:t>
            </w:r>
          </w:p>
          <w:p w:rsidR="004729FB" w:rsidRDefault="004729FB" w:rsidP="00713DA5">
            <w:pPr>
              <w:spacing w:before="60" w:line="260" w:lineRule="atLeast"/>
              <w:ind w:left="860" w:right="360"/>
              <w:jc w:val="both"/>
            </w:pPr>
            <w:r>
              <w:rPr>
                <w:rFonts w:ascii="Arial" w:eastAsia="Arial" w:hAnsi="Arial" w:cs="Arial"/>
                <w:color w:val="000000"/>
                <w:sz w:val="20"/>
              </w:rPr>
              <w:lastRenderedPageBreak/>
              <w:t>6. a miniature spoon used for cocaine and cocaine vials;</w:t>
            </w:r>
          </w:p>
          <w:p w:rsidR="004729FB" w:rsidRDefault="004729FB" w:rsidP="00713DA5">
            <w:pPr>
              <w:spacing w:before="60" w:line="260" w:lineRule="atLeast"/>
              <w:ind w:left="860" w:right="360"/>
              <w:jc w:val="both"/>
            </w:pPr>
            <w:r>
              <w:rPr>
                <w:rFonts w:ascii="Arial" w:eastAsia="Arial" w:hAnsi="Arial" w:cs="Arial"/>
                <w:color w:val="000000"/>
                <w:sz w:val="20"/>
              </w:rPr>
              <w:t>7. a chamber pipe;</w:t>
            </w:r>
          </w:p>
          <w:p w:rsidR="004729FB" w:rsidRDefault="004729FB" w:rsidP="00713DA5">
            <w:pPr>
              <w:spacing w:before="60" w:line="260" w:lineRule="atLeast"/>
              <w:ind w:left="860" w:right="360"/>
              <w:jc w:val="both"/>
            </w:pPr>
            <w:r>
              <w:rPr>
                <w:rFonts w:ascii="Arial" w:eastAsia="Arial" w:hAnsi="Arial" w:cs="Arial"/>
                <w:color w:val="000000"/>
                <w:sz w:val="20"/>
              </w:rPr>
              <w:t>8. a carburetor pipe;</w:t>
            </w:r>
          </w:p>
          <w:p w:rsidR="004729FB" w:rsidRDefault="004729FB" w:rsidP="00713DA5">
            <w:pPr>
              <w:spacing w:before="60" w:line="260" w:lineRule="atLeast"/>
              <w:ind w:left="860" w:right="360"/>
              <w:jc w:val="both"/>
            </w:pPr>
            <w:r>
              <w:rPr>
                <w:rFonts w:ascii="Arial" w:eastAsia="Arial" w:hAnsi="Arial" w:cs="Arial"/>
                <w:color w:val="000000"/>
                <w:sz w:val="20"/>
              </w:rPr>
              <w:t>9. an electric pipe;</w:t>
            </w:r>
          </w:p>
          <w:p w:rsidR="004729FB" w:rsidRDefault="004729FB" w:rsidP="00713DA5">
            <w:pPr>
              <w:spacing w:before="60" w:line="260" w:lineRule="atLeast"/>
              <w:ind w:left="860" w:right="360"/>
              <w:jc w:val="both"/>
            </w:pPr>
            <w:r>
              <w:rPr>
                <w:rFonts w:ascii="Arial" w:eastAsia="Arial" w:hAnsi="Arial" w:cs="Arial"/>
                <w:color w:val="000000"/>
                <w:sz w:val="20"/>
              </w:rPr>
              <w:t>10. an air-driven pipe;</w:t>
            </w:r>
          </w:p>
          <w:p w:rsidR="004729FB" w:rsidRDefault="004729FB" w:rsidP="00713DA5">
            <w:pPr>
              <w:spacing w:before="60" w:line="260" w:lineRule="atLeast"/>
              <w:ind w:left="860" w:right="360"/>
              <w:jc w:val="both"/>
            </w:pPr>
            <w:r>
              <w:rPr>
                <w:rFonts w:ascii="Arial" w:eastAsia="Arial" w:hAnsi="Arial" w:cs="Arial"/>
                <w:color w:val="000000"/>
                <w:sz w:val="20"/>
              </w:rPr>
              <w:t>11. a chillum;</w:t>
            </w:r>
          </w:p>
          <w:p w:rsidR="004729FB" w:rsidRDefault="004729FB" w:rsidP="00713DA5">
            <w:pPr>
              <w:spacing w:before="60" w:line="260" w:lineRule="atLeast"/>
              <w:ind w:left="860" w:right="360"/>
              <w:jc w:val="both"/>
            </w:pPr>
            <w:r>
              <w:rPr>
                <w:rFonts w:ascii="Arial" w:eastAsia="Arial" w:hAnsi="Arial" w:cs="Arial"/>
                <w:color w:val="000000"/>
                <w:sz w:val="20"/>
              </w:rPr>
              <w:t>12. a bong; and</w:t>
            </w:r>
          </w:p>
          <w:p w:rsidR="004729FB" w:rsidRDefault="004729FB" w:rsidP="00713DA5">
            <w:pPr>
              <w:spacing w:before="60" w:line="260" w:lineRule="atLeast"/>
              <w:ind w:left="860" w:right="360"/>
              <w:jc w:val="both"/>
            </w:pPr>
            <w:r>
              <w:rPr>
                <w:rFonts w:ascii="Arial" w:eastAsia="Arial" w:hAnsi="Arial" w:cs="Arial"/>
                <w:color w:val="000000"/>
                <w:sz w:val="20"/>
              </w:rPr>
              <w:t>13. an ice pipe or chiller.</w:t>
            </w:r>
          </w:p>
          <w:p w:rsidR="004729FB" w:rsidRDefault="004729FB" w:rsidP="00713DA5">
            <w:pPr>
              <w:spacing w:before="60" w:line="260" w:lineRule="atLeast"/>
              <w:ind w:left="60" w:right="360"/>
              <w:jc w:val="both"/>
            </w:pPr>
            <w:r>
              <w:rPr>
                <w:rFonts w:ascii="Arial" w:eastAsia="Arial" w:hAnsi="Arial" w:cs="Arial"/>
                <w:color w:val="000000"/>
                <w:sz w:val="20"/>
              </w:rPr>
              <w:t>CRIM. LAW § 5-101(p).</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25" style="position:absolute;left:0;text-align:left;z-index:2519531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5" name="Picture 10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28" w:history="1">
        <w:r>
          <w:rPr>
            <w:rFonts w:ascii="Arial" w:eastAsia="Arial" w:hAnsi="Arial" w:cs="Arial"/>
            <w:b/>
            <w:bCs/>
            <w:i/>
            <w:color w:val="0077CC"/>
            <w:kern w:val="32"/>
            <w:sz w:val="28"/>
            <w:szCs w:val="32"/>
            <w:u w:val="single"/>
          </w:rPr>
          <w:t>MPJI-Cr 4:24.5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SUBSTANCE--DRUG PARAPHERNALIA (DELIVERY OR SALE OF DRUG PARAPHERNALIA)</w:t>
      </w:r>
    </w:p>
    <w:p w:rsidR="004729FB" w:rsidRDefault="004729FB" w:rsidP="004729FB">
      <w:pPr>
        <w:keepNext/>
        <w:spacing w:before="240" w:line="340" w:lineRule="atLeast"/>
      </w:pPr>
      <w:r>
        <w:br/>
      </w:r>
      <w:r>
        <w:rPr>
          <w:rFonts w:ascii="Arial" w:eastAsia="Arial" w:hAnsi="Arial" w:cs="Arial"/>
          <w:b/>
          <w:color w:val="000000"/>
          <w:sz w:val="28"/>
        </w:rPr>
        <w:t>4:24.5Narcotics and Controlled Dangerous Substance--Drug Paraphernalia (Delivery or Sale of Drug Paraphernalia)</w:t>
      </w:r>
    </w:p>
    <w:p w:rsidR="004729FB" w:rsidRDefault="004729FB" w:rsidP="004729FB">
      <w:pPr>
        <w:spacing w:line="60" w:lineRule="exact"/>
      </w:pPr>
      <w:r>
        <w:pict>
          <v:line id="_x0000_s1316" style="position:absolute;z-index:2519439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[delivering] [selling] [possession with intent to deliver or sell] [manufacture with intent to deliver or sell] drug paraphernalia.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[delivered] [sold] [possessed with the intent to deliver or sell] [manufactured with the intent to deliver or sell] drug paraphernalia; and</w:t>
      </w:r>
    </w:p>
    <w:p w:rsidR="004729FB" w:rsidRDefault="004729FB" w:rsidP="004729FB">
      <w:pPr>
        <w:spacing w:before="200" w:line="260" w:lineRule="atLeast"/>
        <w:ind w:left="400"/>
        <w:jc w:val="both"/>
      </w:pPr>
      <w:r>
        <w:rPr>
          <w:rFonts w:ascii="Arial" w:eastAsia="Arial" w:hAnsi="Arial" w:cs="Arial"/>
          <w:b/>
          <w:color w:val="000000"/>
          <w:sz w:val="20"/>
        </w:rPr>
        <w:t>(2) that the defendant knew or, based on the circumstances, reasonably should have known that the drug paraphernalia would be used to (</w:t>
      </w:r>
      <w:r>
        <w:rPr>
          <w:rFonts w:ascii="Arial" w:eastAsia="Arial" w:hAnsi="Arial" w:cs="Arial"/>
          <w:b/>
          <w:color w:val="000000"/>
          <w:sz w:val="20"/>
          <w:u w:val="single"/>
        </w:rPr>
        <w:t>see statute for list of uses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Drug paraphernalia means any equipment or materials used or intended for use in [manufacturing] [packaging] [storing] [concealing] [introducing into the human body] a controlled dangerous substance. Paraphernalia includes (</w:t>
      </w:r>
      <w:r>
        <w:rPr>
          <w:rFonts w:ascii="Arial" w:eastAsia="Arial" w:hAnsi="Arial" w:cs="Arial"/>
          <w:b/>
          <w:color w:val="000000"/>
          <w:sz w:val="20"/>
          <w:u w:val="single"/>
        </w:rPr>
        <w:t>see statute for list of paraphernalia</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4:24 (Narcotics and Controlled Dangerous Substance--Possession); MPJI-Cr 4:24.1 (Narcotics and Controlled Dangerous Substance--Possession with Intent to Distribute); MPJI-Cr 4:24.2 (Narcotics and Controlled Dangerous Substance--Distribution); MPJI-Cr 4:24.3 (Narcotics and Controlled Dangerous Substance--Manufacture); MPJI-Cr 4:24.4 (Narcotics and Controlled Dangerous Substance--Drug Paraphernalia (Use of Drug Paraphernalia)); MPJI-Cr 4:24.6 (Narcotics and Controlled Dangerous Substance--Drug Paraphernalia (Possession with Intent to Use Drug Paraphernalia)).</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5-619(d)(1) prohibits the delivery or sale of drug paraphernalia, as well as its possession or manufacture with the intent to deliver or sell, when the defendant knows or should know that the drug paraphernalia will be used to enable a number of activities that might facilitate the process of introducing a controlled dangerous substance into the human body. The list of theses activities includes, but is not limited to, uses that help plant, propagate, cultivate, grow, harvest, manufacture, compound, convert, produce, process, prepare, test, analyze, pack, repack, store, contain, conceal, inject, ingest, and inhale a controlled dangerous substance. </w:t>
            </w:r>
            <w:r>
              <w:rPr>
                <w:rFonts w:ascii="Arial" w:eastAsia="Arial" w:hAnsi="Arial" w:cs="Arial"/>
                <w:i/>
                <w:color w:val="000000"/>
                <w:sz w:val="20"/>
              </w:rPr>
              <w:t>Id.</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5-619(d)(4) provides an enhanced punishment for delivery of drug paraphernalia to a </w:t>
            </w:r>
            <w:r>
              <w:rPr>
                <w:rFonts w:ascii="Arial" w:eastAsia="Arial" w:hAnsi="Arial" w:cs="Arial"/>
                <w:color w:val="000000"/>
                <w:sz w:val="20"/>
              </w:rPr>
              <w:lastRenderedPageBreak/>
              <w:t>person under eighteen years of age by a defendant at least three years older and provided that the defendant is at least eighteen years of age.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26" style="position:absolute;z-index:25195417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4:24.6.</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33" style="position:absolute;left:0;text-align:left;z-index:25196134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4" name="Picture 10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35" w:history="1">
        <w:r>
          <w:rPr>
            <w:rFonts w:ascii="Arial" w:eastAsia="Arial" w:hAnsi="Arial" w:cs="Arial"/>
            <w:b/>
            <w:bCs/>
            <w:i/>
            <w:color w:val="0077CC"/>
            <w:kern w:val="32"/>
            <w:sz w:val="28"/>
            <w:szCs w:val="32"/>
            <w:u w:val="single"/>
          </w:rPr>
          <w:t>MPJI-Cr 4:24.7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SUBSTANCE--DRUG PARAPHERNALIA (POSSESSION OR DISTRIBUTION OF CONTROLLED PARAPHERNALIA)</w:t>
      </w:r>
    </w:p>
    <w:p w:rsidR="004729FB" w:rsidRDefault="004729FB" w:rsidP="004729FB">
      <w:pPr>
        <w:keepNext/>
        <w:spacing w:before="240" w:line="340" w:lineRule="atLeast"/>
      </w:pPr>
      <w:r>
        <w:br/>
      </w:r>
      <w:r>
        <w:rPr>
          <w:rFonts w:ascii="Arial" w:eastAsia="Arial" w:hAnsi="Arial" w:cs="Arial"/>
          <w:b/>
          <w:color w:val="000000"/>
          <w:sz w:val="28"/>
        </w:rPr>
        <w:t>4:24.7Narcotics and Controlled Dangerous Substance--Drug Paraphernalia (Possession or Distribution of Controlled Paraphernalia)</w:t>
      </w:r>
    </w:p>
    <w:p w:rsidR="004729FB" w:rsidRDefault="004729FB" w:rsidP="004729FB">
      <w:pPr>
        <w:spacing w:line="60" w:lineRule="exact"/>
      </w:pPr>
      <w:r>
        <w:pict>
          <v:line id="_x0000_s1317" style="position:absolute;z-index:2519449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possession [and distribution] of (</w:t>
      </w:r>
      <w:r>
        <w:rPr>
          <w:rFonts w:ascii="Arial" w:eastAsia="Arial" w:hAnsi="Arial" w:cs="Arial"/>
          <w:b/>
          <w:color w:val="000000"/>
          <w:sz w:val="20"/>
          <w:u w:val="single"/>
        </w:rPr>
        <w:t>controlled paraphernalia</w:t>
      </w:r>
      <w:r>
        <w:rPr>
          <w:rFonts w:ascii="Arial" w:eastAsia="Arial" w:hAnsi="Arial" w:cs="Arial"/>
          <w:b/>
          <w:color w:val="000000"/>
          <w:sz w:val="20"/>
        </w:rPr>
        <w:t>), which is controlled paraphernalia.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[or distributed] [an] item[s]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item[s] was [were] (</w:t>
      </w:r>
      <w:r>
        <w:rPr>
          <w:rFonts w:ascii="Arial" w:eastAsia="Arial" w:hAnsi="Arial" w:cs="Arial"/>
          <w:b/>
          <w:color w:val="000000"/>
          <w:sz w:val="20"/>
          <w:u w:val="single"/>
        </w:rPr>
        <w:t>controlled paraphernalia</w:t>
      </w:r>
      <w:r>
        <w:rPr>
          <w:rFonts w:ascii="Arial" w:eastAsia="Arial" w:hAnsi="Arial" w:cs="Arial"/>
          <w:b/>
          <w:color w:val="000000"/>
          <w:sz w:val="20"/>
        </w:rPr>
        <w:t>)</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(3) that the defendant intended to use (</w:t>
      </w:r>
      <w:r>
        <w:rPr>
          <w:rFonts w:ascii="Arial" w:eastAsia="Arial" w:hAnsi="Arial" w:cs="Arial"/>
          <w:b/>
          <w:color w:val="000000"/>
          <w:sz w:val="20"/>
          <w:u w:val="single"/>
        </w:rPr>
        <w:t>controlled paraphernalia</w:t>
      </w:r>
      <w:r>
        <w:rPr>
          <w:rFonts w:ascii="Arial" w:eastAsia="Arial" w:hAnsi="Arial" w:cs="Arial"/>
          <w:b/>
          <w:color w:val="000000"/>
          <w:sz w:val="20"/>
        </w:rPr>
        <w:t>) to [administer] [manufacture] [distribute] [dispense] an illegal drug</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4:24 (Narcotics and Controlled Dangerous Substance--Possession); MPJI-Cr 4:24.1 (Narcotics and Controlled Dangerous Substance--Possession with Intent to Distribute); MPJI-Cr 4:24.2 (Narcotics and Controlled Dangerous Substance--Distribution); MPJI-Cr 4:24.3 (Narcotics and Controlled Dangerous Substance--Manufacture); MPJI-Cr 4:24.4 (Narcotics and Controlled Dangerous Substance--Drug Paraphernalia (Delivery or Sale)).</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5-620(a) makes it unlawful to obtain, attempt to obtain, or to possess "controlled paraphernalia," or to distribute controlled paraphernalia under circumstances indicating a purpose to illegally use it to administer a controlled dangerous substance. "Controlled paraphernalia" in § 5-620 differs from "drug paraphernalia" under § 5-619 in that: (1) controlled paraphernalia is statutorily defined, </w:t>
            </w:r>
            <w:r>
              <w:rPr>
                <w:rFonts w:ascii="Arial" w:eastAsia="Arial" w:hAnsi="Arial" w:cs="Arial"/>
                <w:i/>
                <w:color w:val="000000"/>
                <w:sz w:val="20"/>
              </w:rPr>
              <w:t>see</w:t>
            </w:r>
            <w:r>
              <w:rPr>
                <w:rFonts w:ascii="Arial" w:eastAsia="Arial" w:hAnsi="Arial" w:cs="Arial"/>
                <w:color w:val="000000"/>
                <w:sz w:val="20"/>
              </w:rPr>
              <w:t xml:space="preserve"> CRIM. LAW I § 5-101(h), and there is no alternative list of factors that generally defines "controlled paraphernalia," </w:t>
            </w:r>
            <w:r>
              <w:rPr>
                <w:rFonts w:ascii="Arial" w:eastAsia="Arial" w:hAnsi="Arial" w:cs="Arial"/>
                <w:i/>
                <w:color w:val="000000"/>
                <w:sz w:val="20"/>
              </w:rPr>
              <w:t>compare</w:t>
            </w:r>
            <w:r>
              <w:rPr>
                <w:rFonts w:ascii="Arial" w:eastAsia="Arial" w:hAnsi="Arial" w:cs="Arial"/>
                <w:color w:val="000000"/>
                <w:sz w:val="20"/>
              </w:rPr>
              <w:t xml:space="preserve"> CRIM. LAW I § 5-101(h), </w:t>
            </w:r>
            <w:r>
              <w:rPr>
                <w:rFonts w:ascii="Arial" w:eastAsia="Arial" w:hAnsi="Arial" w:cs="Arial"/>
                <w:i/>
                <w:color w:val="000000"/>
                <w:sz w:val="20"/>
              </w:rPr>
              <w:t>with id.</w:t>
            </w:r>
            <w:r>
              <w:rPr>
                <w:rFonts w:ascii="Arial" w:eastAsia="Arial" w:hAnsi="Arial" w:cs="Arial"/>
                <w:color w:val="000000"/>
                <w:sz w:val="20"/>
              </w:rPr>
              <w:t xml:space="preserve"> §§ 5-101(p), 5-619(a); and (2) under § 5-620, the penalty is greater, </w:t>
            </w:r>
            <w:r>
              <w:rPr>
                <w:rFonts w:ascii="Arial" w:eastAsia="Arial" w:hAnsi="Arial" w:cs="Arial"/>
                <w:i/>
                <w:color w:val="000000"/>
                <w:sz w:val="20"/>
              </w:rPr>
              <w:t>compare id.</w:t>
            </w:r>
            <w:r>
              <w:rPr>
                <w:rFonts w:ascii="Arial" w:eastAsia="Arial" w:hAnsi="Arial" w:cs="Arial"/>
                <w:color w:val="000000"/>
                <w:sz w:val="20"/>
              </w:rPr>
              <w:t xml:space="preserve"> § 5-620(d), </w:t>
            </w:r>
            <w:r>
              <w:rPr>
                <w:rFonts w:ascii="Arial" w:eastAsia="Arial" w:hAnsi="Arial" w:cs="Arial"/>
                <w:i/>
                <w:color w:val="000000"/>
                <w:sz w:val="20"/>
              </w:rPr>
              <w:t>with id.</w:t>
            </w:r>
            <w:r>
              <w:rPr>
                <w:rFonts w:ascii="Arial" w:eastAsia="Arial" w:hAnsi="Arial" w:cs="Arial"/>
                <w:color w:val="000000"/>
                <w:sz w:val="20"/>
              </w:rPr>
              <w:t xml:space="preserve"> § 5-619(d)(2)-(4).</w:t>
            </w:r>
          </w:p>
          <w:p w:rsidR="004729FB" w:rsidRDefault="004729FB" w:rsidP="00713DA5">
            <w:pPr>
              <w:spacing w:before="240" w:line="260" w:lineRule="atLeast"/>
              <w:ind w:left="60" w:right="360"/>
              <w:jc w:val="both"/>
            </w:pPr>
            <w:r>
              <w:rPr>
                <w:rFonts w:ascii="Arial" w:eastAsia="Arial" w:hAnsi="Arial" w:cs="Arial"/>
                <w:color w:val="000000"/>
                <w:sz w:val="20"/>
              </w:rPr>
              <w:t xml:space="preserve">Section 5-101(h) defines controlled paraphernalia as (1) a hypodermic syringe, needle, or anything adapted to administer a controlled dangerous substance by hypodermic injection; (2) a gelatin capsule, glassine envelope, or other container suitable for packaging individual quantities of a controlled dangerous substance, </w:t>
            </w:r>
            <w:r>
              <w:rPr>
                <w:rFonts w:ascii="Arial" w:eastAsia="Arial" w:hAnsi="Arial" w:cs="Arial"/>
                <w:i/>
                <w:color w:val="000000"/>
                <w:sz w:val="20"/>
              </w:rPr>
              <w:t xml:space="preserve">see, e.g., </w:t>
            </w:r>
            <w:hyperlink r:id="rId1736" w:history="1">
              <w:r>
                <w:rPr>
                  <w:rFonts w:ascii="Arial" w:eastAsia="Arial" w:hAnsi="Arial" w:cs="Arial"/>
                  <w:i/>
                  <w:color w:val="0077CC"/>
                  <w:sz w:val="20"/>
                  <w:u w:val="single"/>
                </w:rPr>
                <w:t>Wink v. State, 76 Md. App. 677, 683-84, 547 A.2d 1122, 1125-26 (1988),</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1737" w:history="1">
              <w:r>
                <w:rPr>
                  <w:rFonts w:ascii="Arial" w:eastAsia="Arial" w:hAnsi="Arial" w:cs="Arial"/>
                  <w:i/>
                  <w:color w:val="0077CC"/>
                  <w:sz w:val="20"/>
                  <w:u w:val="single"/>
                </w:rPr>
                <w:t>317 Md. 330, 563 A.2d 414 (1989);</w:t>
              </w:r>
            </w:hyperlink>
            <w:r>
              <w:rPr>
                <w:rFonts w:ascii="Arial" w:eastAsia="Arial" w:hAnsi="Arial" w:cs="Arial"/>
                <w:color w:val="000000"/>
                <w:sz w:val="20"/>
              </w:rPr>
              <w:t xml:space="preserve"> and (3) lactose, quinine, mannite, mannitol, dextrose, sucrose, procaind hydrochloride, or any other substance suitable as diluents or adulterants.</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In </w:t>
            </w:r>
            <w:hyperlink r:id="rId1738" w:history="1">
              <w:r>
                <w:rPr>
                  <w:rFonts w:ascii="Arial" w:eastAsia="Arial" w:hAnsi="Arial" w:cs="Arial"/>
                  <w:i/>
                  <w:color w:val="0077CC"/>
                  <w:sz w:val="20"/>
                  <w:u w:val="single"/>
                </w:rPr>
                <w:t>Russell v. State, 69 Md. App. 554, 518 A.2d 1081 (1987),</w:t>
              </w:r>
            </w:hyperlink>
            <w:r>
              <w:rPr>
                <w:rFonts w:ascii="Arial" w:eastAsia="Arial" w:hAnsi="Arial" w:cs="Arial"/>
                <w:color w:val="000000"/>
                <w:sz w:val="20"/>
              </w:rPr>
              <w:t xml:space="preserve"> the Court of Special Appeals stated:</w:t>
            </w:r>
          </w:p>
          <w:p w:rsidR="004729FB" w:rsidRDefault="004729FB" w:rsidP="00713DA5">
            <w:pPr>
              <w:spacing w:before="200" w:line="260" w:lineRule="atLeast"/>
              <w:ind w:left="460" w:right="360"/>
              <w:jc w:val="both"/>
            </w:pPr>
            <w:r>
              <w:rPr>
                <w:rFonts w:ascii="Arial" w:eastAsia="Arial" w:hAnsi="Arial" w:cs="Arial"/>
                <w:color w:val="000000"/>
                <w:sz w:val="20"/>
              </w:rPr>
              <w:t xml:space="preserve">Although [§ 5-620] and [§ 5-619] define similar offenses, the two prohibitions nevertheless contain some important differences. First, [§ 5-619] is a much broader statute than [§ 5-620]; [§ 5-619], unlike [§ 5-620], covers virtually every item of drug paraphernalia that can be used in connection with any of the many and diverse controlled dangerous substances. Second, [§ 5-619] contains a specialized definition of "drug paraphernalia"; [§ 5-620] does not. Third, [§ 5-619], unlike [§ 5-620], incorporates a specific intent standard in two ways: it defines drug paraphernalia as any item "used, designed for use, or intended for use" with illegal drugs; and it defines the substantive offenses in terms of specific intent. Fourth, [§ 5-619] contains thirteen factors that may be considered by enforcing authorities in determining whether the requisite intent exists to make an item drug paraphernalia; [§ 5-620] contains but one factor… . Because of these differences, [§ 5-620] and [§ 5-619] are </w:t>
            </w:r>
            <w:r>
              <w:rPr>
                <w:rFonts w:ascii="Arial" w:eastAsia="Arial" w:hAnsi="Arial" w:cs="Arial"/>
                <w:i/>
                <w:color w:val="000000"/>
                <w:sz w:val="20"/>
              </w:rPr>
              <w:t>not</w:t>
            </w:r>
            <w:r>
              <w:rPr>
                <w:rFonts w:ascii="Arial" w:eastAsia="Arial" w:hAnsi="Arial" w:cs="Arial"/>
                <w:color w:val="000000"/>
                <w:sz w:val="20"/>
              </w:rPr>
              <w:t xml:space="preserve"> identical statutes applicable to identical offenses.</w:t>
            </w:r>
          </w:p>
          <w:p w:rsidR="004729FB" w:rsidRDefault="004729FB" w:rsidP="00713DA5">
            <w:pPr>
              <w:spacing w:before="240" w:line="260" w:lineRule="atLeast"/>
              <w:ind w:left="60" w:right="360"/>
              <w:jc w:val="both"/>
            </w:pPr>
            <w:hyperlink r:id="rId1739" w:history="1">
              <w:r>
                <w:rPr>
                  <w:rFonts w:ascii="Arial" w:eastAsia="Arial" w:hAnsi="Arial" w:cs="Arial"/>
                  <w:i/>
                  <w:color w:val="0077CC"/>
                  <w:sz w:val="20"/>
                  <w:u w:val="single"/>
                </w:rPr>
                <w:t>69 Md. App. at 561, 518 A.2d at 1084-85</w:t>
              </w:r>
            </w:hyperlink>
            <w:r>
              <w:rPr>
                <w:rFonts w:ascii="Arial" w:eastAsia="Arial" w:hAnsi="Arial" w:cs="Arial"/>
                <w:color w:val="000000"/>
                <w:sz w:val="20"/>
              </w:rPr>
              <w:t xml:space="preserve"> (quoting 66 Op. Md. Att'y Gen. 125, 127-28 (1981) (emphasis in original)) (discussing the statutory predecessors to §§ 5-619 and 5-620; brackets indicate comparable statutory provisions); </w:t>
            </w:r>
            <w:r>
              <w:rPr>
                <w:rFonts w:ascii="Arial" w:eastAsia="Arial" w:hAnsi="Arial" w:cs="Arial"/>
                <w:i/>
                <w:color w:val="000000"/>
                <w:sz w:val="20"/>
              </w:rPr>
              <w:t xml:space="preserve">see also </w:t>
            </w:r>
            <w:hyperlink r:id="rId1740" w:history="1">
              <w:r>
                <w:rPr>
                  <w:rFonts w:ascii="Arial" w:eastAsia="Arial" w:hAnsi="Arial" w:cs="Arial"/>
                  <w:i/>
                  <w:color w:val="0077CC"/>
                  <w:sz w:val="20"/>
                  <w:u w:val="single"/>
                </w:rPr>
                <w:t>Cook v. State, 62 Md. App. 634, 642-43, 490 A.2d 1311, 1315 (1985).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741" w:history="1">
              <w:r>
                <w:rPr>
                  <w:rFonts w:ascii="Arial" w:eastAsia="Arial" w:hAnsi="Arial" w:cs="Arial"/>
                  <w:i/>
                  <w:color w:val="0077CC"/>
                  <w:sz w:val="20"/>
                  <w:u w:val="single"/>
                </w:rPr>
                <w:t>Satterfield v. State, 325 Md. 148, 599 A.2d 1165 (1992),</w:t>
              </w:r>
            </w:hyperlink>
            <w:r>
              <w:rPr>
                <w:rFonts w:ascii="Arial" w:eastAsia="Arial" w:hAnsi="Arial" w:cs="Arial"/>
                <w:color w:val="000000"/>
                <w:sz w:val="20"/>
              </w:rPr>
              <w:t xml:space="preserve"> the Court of Appeals, applying the rule of lenity, held that, because paraphernalia becomes illegal only in connection with the controlled dangerous substance, the CDS--and not the paraphernalia--dictates the unit of prosecution. </w:t>
            </w:r>
            <w:hyperlink r:id="rId1742" w:history="1">
              <w:r>
                <w:rPr>
                  <w:rFonts w:ascii="Arial" w:eastAsia="Arial" w:hAnsi="Arial" w:cs="Arial"/>
                  <w:i/>
                  <w:color w:val="0077CC"/>
                  <w:sz w:val="20"/>
                  <w:u w:val="single"/>
                </w:rPr>
                <w:t>Id. at 153-55, 599 A.2d at 1167-69</w:t>
              </w:r>
            </w:hyperlink>
            <w:r>
              <w:rPr>
                <w:rFonts w:ascii="Arial" w:eastAsia="Arial" w:hAnsi="Arial" w:cs="Arial"/>
                <w:color w:val="000000"/>
                <w:sz w:val="20"/>
              </w:rPr>
              <w:t xml:space="preserve"> (finding that two items of paraphernalia, used in conjunction with the same CDS, constituted only one count of possession of paraphernalia).</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27" style="position:absolute;left:0;text-align:left;z-index:2519552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3" name="Picture 10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49" w:history="1">
        <w:r>
          <w:rPr>
            <w:rFonts w:ascii="Arial" w:eastAsia="Arial" w:hAnsi="Arial" w:cs="Arial"/>
            <w:b/>
            <w:bCs/>
            <w:i/>
            <w:color w:val="0077CC"/>
            <w:kern w:val="32"/>
            <w:sz w:val="28"/>
            <w:szCs w:val="32"/>
            <w:u w:val="single"/>
          </w:rPr>
          <w:t>MPJI-Cr 4:24.8</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SUBSTANCE--KEEPING A COMMON NUISANCE</w:t>
      </w:r>
    </w:p>
    <w:p w:rsidR="004729FB" w:rsidRDefault="004729FB" w:rsidP="004729FB">
      <w:pPr>
        <w:keepNext/>
        <w:spacing w:before="240" w:line="340" w:lineRule="atLeast"/>
      </w:pPr>
      <w:r>
        <w:br/>
      </w:r>
      <w:r>
        <w:rPr>
          <w:rFonts w:ascii="Arial" w:eastAsia="Arial" w:hAnsi="Arial" w:cs="Arial"/>
          <w:b/>
          <w:color w:val="000000"/>
          <w:sz w:val="28"/>
        </w:rPr>
        <w:t>4:24.8Narcotics and Controlled Dangerous Substance--Keeping a Common Nuisance</w:t>
      </w:r>
    </w:p>
    <w:p w:rsidR="004729FB" w:rsidRDefault="004729FB" w:rsidP="004729FB">
      <w:pPr>
        <w:spacing w:line="60" w:lineRule="exact"/>
      </w:pPr>
      <w:r>
        <w:pict>
          <v:line id="_x0000_s1318" style="position:absolute;z-index:2519459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keeping a common nuisance. A common nuisance is a house, building, vehicle, or other place that is used repeatedly or continuously for the purpose of unlawfully administering, distributing, dispensing, storing, or concealing a controlled dangerous substance or drug paraphernalia. In order to convict the defendant of keeping a common nuisance, the State must prove that the defendant kept either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a place that another person or persons repeatedly or continuously used to administer, distribute, dispense, store, or conceal a controlled dangerous substance or drug paraphernalia; or</w:t>
      </w:r>
    </w:p>
    <w:p w:rsidR="004729FB" w:rsidRDefault="004729FB" w:rsidP="004729FB">
      <w:pPr>
        <w:spacing w:before="200" w:line="260" w:lineRule="atLeast"/>
        <w:ind w:left="400"/>
        <w:jc w:val="both"/>
      </w:pPr>
      <w:r>
        <w:rPr>
          <w:rFonts w:ascii="Arial" w:eastAsia="Arial" w:hAnsi="Arial" w:cs="Arial"/>
          <w:b/>
          <w:color w:val="000000"/>
          <w:sz w:val="20"/>
        </w:rPr>
        <w:t>(2) a place in which a controlled dangerous substance or drug paraphernalia, intended for use by others, was repeatedly or continuously stored or concealed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5-605(a) prohibits the keeping of a common nuisance, which is defined as "a dwelling, building, vehicle, vessel, aircraft, or other place: (1) resorted to by individuals for the purpose of administering illegally controlled dangerous substances; or (2) where controlled dangerous substances or controlled paraphernalia are manufactured, distributed, dispensed, stored, or concealed illegally." In the former instance, the defendant has some interest in a property and knowingly permits others to use the property for prohibited activities. </w:t>
            </w:r>
            <w:r>
              <w:rPr>
                <w:rFonts w:ascii="Arial" w:eastAsia="Arial" w:hAnsi="Arial" w:cs="Arial"/>
                <w:i/>
                <w:color w:val="000000"/>
                <w:sz w:val="20"/>
              </w:rPr>
              <w:t xml:space="preserve">See </w:t>
            </w:r>
            <w:hyperlink r:id="rId1750" w:history="1">
              <w:r>
                <w:rPr>
                  <w:rFonts w:ascii="Arial" w:eastAsia="Arial" w:hAnsi="Arial" w:cs="Arial"/>
                  <w:i/>
                  <w:color w:val="0077CC"/>
                  <w:sz w:val="20"/>
                  <w:u w:val="single"/>
                </w:rPr>
                <w:t>Davis v. State, 100 Md. App. 369, 395, 641 A.2d 941, 954 (1994);</w:t>
              </w:r>
            </w:hyperlink>
            <w:r>
              <w:rPr>
                <w:rFonts w:ascii="Arial" w:eastAsia="Arial" w:hAnsi="Arial" w:cs="Arial"/>
                <w:color w:val="000000"/>
                <w:sz w:val="20"/>
              </w:rPr>
              <w:t xml:space="preserve"> </w:t>
            </w:r>
            <w:hyperlink r:id="rId1751" w:history="1">
              <w:r>
                <w:rPr>
                  <w:rFonts w:ascii="Arial" w:eastAsia="Arial" w:hAnsi="Arial" w:cs="Arial"/>
                  <w:i/>
                  <w:color w:val="0077CC"/>
                  <w:sz w:val="20"/>
                  <w:u w:val="single"/>
                </w:rPr>
                <w:t>Tucker v. State, 19 Md. App. 39, 45-46, 308 A.2d 696, 699 (1972).</w:t>
              </w:r>
            </w:hyperlink>
            <w:r>
              <w:rPr>
                <w:rFonts w:ascii="Arial" w:eastAsia="Arial" w:hAnsi="Arial" w:cs="Arial"/>
                <w:color w:val="000000"/>
                <w:sz w:val="20"/>
              </w:rPr>
              <w:t xml:space="preserve"> In the latter, the defendant himself unlawfully uses the property to manufacture, sell, or store illegal narcotics. </w:t>
            </w:r>
            <w:r>
              <w:rPr>
                <w:rFonts w:ascii="Arial" w:eastAsia="Arial" w:hAnsi="Arial" w:cs="Arial"/>
                <w:i/>
                <w:color w:val="000000"/>
                <w:sz w:val="20"/>
              </w:rPr>
              <w:t xml:space="preserve">See </w:t>
            </w:r>
            <w:hyperlink r:id="rId1752" w:history="1">
              <w:r>
                <w:rPr>
                  <w:rFonts w:ascii="Arial" w:eastAsia="Arial" w:hAnsi="Arial" w:cs="Arial"/>
                  <w:i/>
                  <w:color w:val="0077CC"/>
                  <w:sz w:val="20"/>
                  <w:u w:val="single"/>
                </w:rPr>
                <w:t>Baldwin v. State, 56 Md. App. 529, 535-36, 468 A.2d 394, 397 (1983),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299 Md. 425, 474 A.2d 218 (1984);</w:t>
            </w:r>
            <w:r>
              <w:rPr>
                <w:rFonts w:ascii="Arial" w:eastAsia="Arial" w:hAnsi="Arial" w:cs="Arial"/>
                <w:color w:val="000000"/>
                <w:sz w:val="20"/>
              </w:rPr>
              <w:t xml:space="preserve"> </w:t>
            </w:r>
            <w:hyperlink r:id="rId1753" w:history="1">
              <w:r>
                <w:rPr>
                  <w:rFonts w:ascii="Arial" w:eastAsia="Arial" w:hAnsi="Arial" w:cs="Arial"/>
                  <w:i/>
                  <w:color w:val="0077CC"/>
                  <w:sz w:val="20"/>
                  <w:u w:val="single"/>
                </w:rPr>
                <w:t>Hunt v. State, 20 Md. App. 164, 314 A.2d 743,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271 Md. 738 (1973);</w:t>
            </w:r>
            <w:r>
              <w:rPr>
                <w:rFonts w:ascii="Arial" w:eastAsia="Arial" w:hAnsi="Arial" w:cs="Arial"/>
                <w:color w:val="000000"/>
                <w:sz w:val="20"/>
              </w:rPr>
              <w:t xml:space="preserve"> </w:t>
            </w:r>
            <w:hyperlink r:id="rId1754" w:history="1">
              <w:r>
                <w:rPr>
                  <w:rFonts w:ascii="Arial" w:eastAsia="Arial" w:hAnsi="Arial" w:cs="Arial"/>
                  <w:i/>
                  <w:color w:val="0077CC"/>
                  <w:sz w:val="20"/>
                  <w:u w:val="single"/>
                </w:rPr>
                <w:t>Nickens v. State, 17 Md. App. 284, 301 A.2d 49 (1973).</w:t>
              </w:r>
            </w:hyperlink>
          </w:p>
          <w:p w:rsidR="004729FB" w:rsidRDefault="004729FB" w:rsidP="00713DA5">
            <w:pPr>
              <w:spacing w:before="240" w:line="260" w:lineRule="atLeast"/>
              <w:ind w:left="60" w:right="360"/>
              <w:jc w:val="both"/>
            </w:pPr>
            <w:r>
              <w:rPr>
                <w:rFonts w:ascii="Arial" w:eastAsia="Arial" w:hAnsi="Arial" w:cs="Arial"/>
                <w:color w:val="000000"/>
                <w:sz w:val="20"/>
              </w:rPr>
              <w:t>The legislature intended the term "common nuisance" to have its common law meaning.</w:t>
            </w:r>
            <w:hyperlink r:id="rId1755" w:history="1">
              <w:r>
                <w:rPr>
                  <w:rFonts w:ascii="Arial" w:eastAsia="Arial" w:hAnsi="Arial" w:cs="Arial"/>
                  <w:i/>
                  <w:color w:val="0077CC"/>
                  <w:sz w:val="20"/>
                  <w:u w:val="single"/>
                </w:rPr>
                <w:t xml:space="preserve"> Baldwin, 56</w:t>
              </w:r>
            </w:hyperlink>
            <w:r>
              <w:rPr>
                <w:rFonts w:ascii="Arial" w:eastAsia="Arial" w:hAnsi="Arial" w:cs="Arial"/>
                <w:color w:val="000000"/>
                <w:sz w:val="20"/>
              </w:rPr>
              <w:t xml:space="preserve"> </w:t>
            </w:r>
            <w:hyperlink r:id="rId1756" w:history="1">
              <w:r>
                <w:rPr>
                  <w:rFonts w:ascii="Arial" w:eastAsia="Arial" w:hAnsi="Arial" w:cs="Arial"/>
                  <w:i/>
                  <w:color w:val="0077CC"/>
                  <w:sz w:val="20"/>
                  <w:u w:val="single"/>
                </w:rPr>
                <w:t>Md. App. at 536, 468 A.2d at 397 (1983)</w:t>
              </w:r>
            </w:hyperlink>
            <w:r>
              <w:rPr>
                <w:rFonts w:ascii="Arial" w:eastAsia="Arial" w:hAnsi="Arial" w:cs="Arial"/>
                <w:color w:val="000000"/>
                <w:sz w:val="20"/>
              </w:rPr>
              <w:t xml:space="preserve"> (citing </w:t>
            </w:r>
            <w:hyperlink r:id="rId1757" w:history="1">
              <w:r>
                <w:rPr>
                  <w:rFonts w:ascii="Arial" w:eastAsia="Arial" w:hAnsi="Arial" w:cs="Arial"/>
                  <w:i/>
                  <w:color w:val="0077CC"/>
                  <w:sz w:val="20"/>
                  <w:u w:val="single"/>
                </w:rPr>
                <w:t>Skinner v. State, 16 Md. App. 116, 125, 293 A.2d 828, 833,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267 Md. 744 (1972)).</w:t>
            </w:r>
            <w:r>
              <w:rPr>
                <w:rFonts w:ascii="Arial" w:eastAsia="Arial" w:hAnsi="Arial" w:cs="Arial"/>
                <w:color w:val="000000"/>
                <w:sz w:val="20"/>
              </w:rPr>
              <w:t xml:space="preserve"> Thus, an essential element of the crime is its continuing or recurring nature. </w:t>
            </w:r>
            <w:hyperlink r:id="rId1758" w:history="1">
              <w:r>
                <w:rPr>
                  <w:rFonts w:ascii="Arial" w:eastAsia="Arial" w:hAnsi="Arial" w:cs="Arial"/>
                  <w:i/>
                  <w:color w:val="0077CC"/>
                  <w:sz w:val="20"/>
                  <w:u w:val="single"/>
                </w:rPr>
                <w:t>Gipe v. State, 55 Md. App. 604, 616, 466 A.2d 40, 47,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298 Md. 243, 469 A.2d 452 (1983).</w:t>
            </w:r>
            <w:r>
              <w:rPr>
                <w:rFonts w:ascii="Arial" w:eastAsia="Arial" w:hAnsi="Arial" w:cs="Arial"/>
                <w:color w:val="000000"/>
                <w:sz w:val="20"/>
              </w:rPr>
              <w:t xml:space="preserve"> The continuing nature of the offense may be inferred from the circumstances. Evidence seized on a single occasion does not preclude a finding of a continuing offense. </w:t>
            </w:r>
            <w:r>
              <w:rPr>
                <w:rFonts w:ascii="Arial" w:eastAsia="Arial" w:hAnsi="Arial" w:cs="Arial"/>
                <w:i/>
                <w:color w:val="000000"/>
                <w:sz w:val="20"/>
              </w:rPr>
              <w:t xml:space="preserve">See </w:t>
            </w:r>
            <w:hyperlink r:id="rId1759" w:history="1">
              <w:r>
                <w:rPr>
                  <w:rFonts w:ascii="Arial" w:eastAsia="Arial" w:hAnsi="Arial" w:cs="Arial"/>
                  <w:i/>
                  <w:color w:val="0077CC"/>
                  <w:sz w:val="20"/>
                  <w:u w:val="single"/>
                </w:rPr>
                <w:t xml:space="preserve">McMillian v. State, 325 Md. 272, 294-96, </w:t>
              </w:r>
              <w:r>
                <w:rPr>
                  <w:rFonts w:ascii="Arial" w:eastAsia="Arial" w:hAnsi="Arial" w:cs="Arial"/>
                  <w:i/>
                  <w:color w:val="0077CC"/>
                  <w:sz w:val="20"/>
                  <w:u w:val="single"/>
                </w:rPr>
                <w:lastRenderedPageBreak/>
                <w:t>600 A.2d 430, 441-42 (1992)</w:t>
              </w:r>
            </w:hyperlink>
            <w:r>
              <w:rPr>
                <w:rFonts w:ascii="Arial" w:eastAsia="Arial" w:hAnsi="Arial" w:cs="Arial"/>
                <w:color w:val="000000"/>
                <w:sz w:val="20"/>
              </w:rPr>
              <w:t xml:space="preserve"> (finding that the observation of numerous drug transactions during a four-hour period at a social club and the seizure of fiftynine glassine bags of cocaine permit an inference that the building was being used on a recurring basis to distribute, dispense, store, or conceal drugs); </w:t>
            </w:r>
            <w:hyperlink r:id="rId1760" w:history="1">
              <w:r>
                <w:rPr>
                  <w:rFonts w:ascii="Arial" w:eastAsia="Arial" w:hAnsi="Arial" w:cs="Arial"/>
                  <w:i/>
                  <w:color w:val="0077CC"/>
                  <w:sz w:val="20"/>
                  <w:u w:val="single"/>
                </w:rPr>
                <w:t>Hunt, 20 Md. App. at 168-69, 314 A.2d at 745</w:t>
              </w:r>
            </w:hyperlink>
            <w:r>
              <w:rPr>
                <w:rFonts w:ascii="Arial" w:eastAsia="Arial" w:hAnsi="Arial" w:cs="Arial"/>
                <w:color w:val="000000"/>
                <w:sz w:val="20"/>
              </w:rPr>
              <w:t xml:space="preserve"> (finding that the "adulterating and packaging [of] drugs in individual bags, and distributing them in bundles" permit an inference that the operation was non-mobile); </w:t>
            </w:r>
            <w:r>
              <w:rPr>
                <w:rFonts w:ascii="Arial" w:eastAsia="Arial" w:hAnsi="Arial" w:cs="Arial"/>
                <w:i/>
                <w:color w:val="000000"/>
                <w:sz w:val="20"/>
              </w:rPr>
              <w:t xml:space="preserve">see also </w:t>
            </w:r>
            <w:hyperlink r:id="rId1761" w:history="1">
              <w:r>
                <w:rPr>
                  <w:rFonts w:ascii="Arial" w:eastAsia="Arial" w:hAnsi="Arial" w:cs="Arial"/>
                  <w:i/>
                  <w:color w:val="0077CC"/>
                  <w:sz w:val="20"/>
                  <w:u w:val="single"/>
                </w:rPr>
                <w:t>Everhart v. State, 20 Md. App. 71, 102-03, 315 A.2d 80, 99-100 (1974)</w:t>
              </w:r>
            </w:hyperlink>
            <w:r>
              <w:rPr>
                <w:rFonts w:ascii="Arial" w:eastAsia="Arial" w:hAnsi="Arial" w:cs="Arial"/>
                <w:color w:val="000000"/>
                <w:sz w:val="20"/>
              </w:rPr>
              <w:t xml:space="preserve"> (finding that evidence of the defendant's possession of marijuana, which included the location of seventy-eight marijuana plants outside his leased property, was sufficient to permit the case to go the jury), </w:t>
            </w:r>
            <w:r>
              <w:rPr>
                <w:rFonts w:ascii="Arial" w:eastAsia="Arial" w:hAnsi="Arial" w:cs="Arial"/>
                <w:i/>
                <w:color w:val="000000"/>
                <w:sz w:val="20"/>
              </w:rPr>
              <w:t>rev'd on other grounds</w:t>
            </w:r>
            <w:r>
              <w:rPr>
                <w:rFonts w:ascii="Arial" w:eastAsia="Arial" w:hAnsi="Arial" w:cs="Arial"/>
                <w:color w:val="000000"/>
                <w:sz w:val="20"/>
              </w:rPr>
              <w:t xml:space="preserve">, </w:t>
            </w:r>
            <w:hyperlink r:id="rId1762" w:history="1">
              <w:r>
                <w:rPr>
                  <w:rFonts w:ascii="Arial" w:eastAsia="Arial" w:hAnsi="Arial" w:cs="Arial"/>
                  <w:i/>
                  <w:color w:val="0077CC"/>
                  <w:sz w:val="20"/>
                  <w:u w:val="single"/>
                </w:rPr>
                <w:t>274 Md. 459, 337 A.2d 100 (1975);</w:t>
              </w:r>
            </w:hyperlink>
            <w:r>
              <w:rPr>
                <w:rFonts w:ascii="Arial" w:eastAsia="Arial" w:hAnsi="Arial" w:cs="Arial"/>
                <w:color w:val="000000"/>
                <w:sz w:val="20"/>
              </w:rPr>
              <w:t xml:space="preserve"> </w:t>
            </w:r>
            <w:hyperlink r:id="rId1763" w:history="1">
              <w:r>
                <w:rPr>
                  <w:rFonts w:ascii="Arial" w:eastAsia="Arial" w:hAnsi="Arial" w:cs="Arial"/>
                  <w:i/>
                  <w:color w:val="0077CC"/>
                  <w:sz w:val="20"/>
                  <w:u w:val="single"/>
                </w:rPr>
                <w:t>Nickens, 17 Md. App. at 291-92, 301 A.2d at 53</w:t>
              </w:r>
            </w:hyperlink>
            <w:r>
              <w:rPr>
                <w:rFonts w:ascii="Arial" w:eastAsia="Arial" w:hAnsi="Arial" w:cs="Arial"/>
                <w:color w:val="000000"/>
                <w:sz w:val="20"/>
              </w:rPr>
              <w:t xml:space="preserve"> (finding that the seizure of items from an automobile and apartment without evidence that the items were present at any time other than on the day the items were seized is insufficient to sustain a conviction); </w:t>
            </w:r>
            <w:hyperlink r:id="rId1764" w:history="1">
              <w:r>
                <w:rPr>
                  <w:rFonts w:ascii="Arial" w:eastAsia="Arial" w:hAnsi="Arial" w:cs="Arial"/>
                  <w:i/>
                  <w:color w:val="0077CC"/>
                  <w:sz w:val="20"/>
                  <w:u w:val="single"/>
                </w:rPr>
                <w:t>Nutt v. State, 16 Md. App. 695, 704-08, 299 A.2d 468, 472-74</w:t>
              </w:r>
            </w:hyperlink>
            <w:r>
              <w:rPr>
                <w:rFonts w:ascii="Arial" w:eastAsia="Arial" w:hAnsi="Arial" w:cs="Arial"/>
                <w:color w:val="000000"/>
                <w:sz w:val="20"/>
              </w:rPr>
              <w:t xml:space="preserve"> (holding that, although sixty packets of heroin, seven packets of cocaine, various needles, burnt bottle caps and empty glassine bags were found, and the occupants had only a seven packet a day habit, there was insufficient evidence of a recurring offense),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269 Md. 764 (1973);</w:t>
            </w:r>
            <w:r>
              <w:rPr>
                <w:rFonts w:ascii="Arial" w:eastAsia="Arial" w:hAnsi="Arial" w:cs="Arial"/>
                <w:color w:val="000000"/>
                <w:sz w:val="20"/>
              </w:rPr>
              <w:t xml:space="preserve"> </w:t>
            </w:r>
            <w:hyperlink r:id="rId1765" w:history="1">
              <w:r>
                <w:rPr>
                  <w:rFonts w:ascii="Arial" w:eastAsia="Arial" w:hAnsi="Arial" w:cs="Arial"/>
                  <w:i/>
                  <w:color w:val="0077CC"/>
                  <w:sz w:val="20"/>
                  <w:u w:val="single"/>
                </w:rPr>
                <w:t>Skinner, 16 Md. App. at 129, 293 A.2d at 836</w:t>
              </w:r>
            </w:hyperlink>
            <w:r>
              <w:rPr>
                <w:rFonts w:ascii="Arial" w:eastAsia="Arial" w:hAnsi="Arial" w:cs="Arial"/>
                <w:color w:val="000000"/>
                <w:sz w:val="20"/>
              </w:rPr>
              <w:t xml:space="preserve"> (holding that drugs found on a single occasion in an automobile search relating to a different offense were insufficient to sustain a conviction); </w:t>
            </w:r>
            <w:hyperlink r:id="rId1766" w:history="1">
              <w:r>
                <w:rPr>
                  <w:rFonts w:ascii="Arial" w:eastAsia="Arial" w:hAnsi="Arial" w:cs="Arial"/>
                  <w:i/>
                  <w:color w:val="0077CC"/>
                  <w:sz w:val="20"/>
                  <w:u w:val="single"/>
                </w:rPr>
                <w:t>Berlin v. State, 12 Md. App. 48, 58, 277 A.2d 468, 473</w:t>
              </w:r>
            </w:hyperlink>
            <w:r>
              <w:rPr>
                <w:rFonts w:ascii="Arial" w:eastAsia="Arial" w:hAnsi="Arial" w:cs="Arial"/>
                <w:color w:val="000000"/>
                <w:sz w:val="20"/>
              </w:rPr>
              <w:t xml:space="preserve"> (finding that one illegal sale in a licensed pharmacy on one day where, under the proper circumstances, the selling of the drug would be legal, is not evidence of a continuing offense),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710 (1971).</w:t>
            </w:r>
            <w:r>
              <w:rPr>
                <w:rFonts w:ascii="Arial" w:eastAsia="Arial" w:hAnsi="Arial" w:cs="Arial"/>
                <w:color w:val="000000"/>
                <w:sz w:val="20"/>
              </w:rPr>
              <w:t xml:space="preserve"> In </w:t>
            </w:r>
            <w:hyperlink r:id="rId1767" w:history="1">
              <w:r>
                <w:rPr>
                  <w:rFonts w:ascii="Arial" w:eastAsia="Arial" w:hAnsi="Arial" w:cs="Arial"/>
                  <w:i/>
                  <w:color w:val="0077CC"/>
                  <w:sz w:val="20"/>
                  <w:u w:val="single"/>
                </w:rPr>
                <w:t>Davis v. State, 100 Md. App. 369, 386-95, 641 A.2d 941, 950-54 (1994),</w:t>
              </w:r>
            </w:hyperlink>
            <w:r>
              <w:rPr>
                <w:rFonts w:ascii="Arial" w:eastAsia="Arial" w:hAnsi="Arial" w:cs="Arial"/>
                <w:color w:val="000000"/>
                <w:sz w:val="20"/>
              </w:rPr>
              <w:t xml:space="preserve"> the Court of Special Appeals held that, particularly in light of the defendant's acquittal of possession with intent to distribute, there was insufficient evidence of maintaining a common nuisance when there was nothing to refute either the inference of purely personal use or the inference that, if kept for use by others, the premises were used on only one occasion.</w:t>
            </w:r>
          </w:p>
          <w:p w:rsidR="004729FB" w:rsidRDefault="004729FB" w:rsidP="00713DA5">
            <w:pPr>
              <w:spacing w:before="240" w:line="260" w:lineRule="atLeast"/>
              <w:ind w:left="60" w:right="360"/>
              <w:jc w:val="both"/>
            </w:pPr>
            <w:r>
              <w:rPr>
                <w:rFonts w:ascii="Arial" w:eastAsia="Arial" w:hAnsi="Arial" w:cs="Arial"/>
                <w:color w:val="000000"/>
                <w:sz w:val="20"/>
              </w:rPr>
              <w:t xml:space="preserve">The statute provides that "a dwelling, building, vehicle, vessel, aircraft, or other place" may be "the subject of a common nuisance." CRIM. LAW I § 5-605(a); </w:t>
            </w:r>
            <w:r>
              <w:rPr>
                <w:rFonts w:ascii="Arial" w:eastAsia="Arial" w:hAnsi="Arial" w:cs="Arial"/>
                <w:i/>
                <w:color w:val="000000"/>
                <w:sz w:val="20"/>
              </w:rPr>
              <w:t>see, e.g.,</w:t>
            </w:r>
            <w:hyperlink r:id="rId1768" w:history="1">
              <w:r>
                <w:rPr>
                  <w:rFonts w:ascii="Arial" w:eastAsia="Arial" w:hAnsi="Arial" w:cs="Arial"/>
                  <w:i/>
                  <w:color w:val="0077CC"/>
                  <w:sz w:val="20"/>
                  <w:u w:val="single"/>
                </w:rPr>
                <w:t xml:space="preserve"> Baldwin, 56</w:t>
              </w:r>
            </w:hyperlink>
            <w:r>
              <w:rPr>
                <w:rFonts w:ascii="Arial" w:eastAsia="Arial" w:hAnsi="Arial" w:cs="Arial"/>
                <w:color w:val="000000"/>
                <w:sz w:val="20"/>
              </w:rPr>
              <w:t xml:space="preserve"> </w:t>
            </w:r>
            <w:hyperlink r:id="rId1769" w:history="1">
              <w:r>
                <w:rPr>
                  <w:rFonts w:ascii="Arial" w:eastAsia="Arial" w:hAnsi="Arial" w:cs="Arial"/>
                  <w:i/>
                  <w:color w:val="0077CC"/>
                  <w:sz w:val="20"/>
                  <w:u w:val="single"/>
                </w:rPr>
                <w:t>Md. App. 529, 468 A.2d 394</w:t>
              </w:r>
            </w:hyperlink>
            <w:r>
              <w:rPr>
                <w:rFonts w:ascii="Arial" w:eastAsia="Arial" w:hAnsi="Arial" w:cs="Arial"/>
                <w:color w:val="000000"/>
                <w:sz w:val="20"/>
              </w:rPr>
              <w:t xml:space="preserve"> (automobile); </w:t>
            </w:r>
            <w:hyperlink r:id="rId1770" w:history="1">
              <w:r>
                <w:rPr>
                  <w:rFonts w:ascii="Arial" w:eastAsia="Arial" w:hAnsi="Arial" w:cs="Arial"/>
                  <w:i/>
                  <w:color w:val="0077CC"/>
                  <w:sz w:val="20"/>
                  <w:u w:val="single"/>
                </w:rPr>
                <w:t>Gipe, 55 Md. App. at 466</w:t>
              </w:r>
            </w:hyperlink>
            <w:r>
              <w:rPr>
                <w:rFonts w:ascii="Arial" w:eastAsia="Arial" w:hAnsi="Arial" w:cs="Arial"/>
                <w:color w:val="000000"/>
                <w:sz w:val="20"/>
              </w:rPr>
              <w:t xml:space="preserve"> A.2d 40 (apartments); </w:t>
            </w:r>
            <w:hyperlink r:id="rId1771" w:history="1">
              <w:r>
                <w:rPr>
                  <w:rFonts w:ascii="Arial" w:eastAsia="Arial" w:hAnsi="Arial" w:cs="Arial"/>
                  <w:i/>
                  <w:color w:val="0077CC"/>
                  <w:sz w:val="20"/>
                  <w:u w:val="single"/>
                </w:rPr>
                <w:t>Rosenberg v. State, 12 Md. App. 20, 276 A.2d 708</w:t>
              </w:r>
            </w:hyperlink>
            <w:r>
              <w:rPr>
                <w:rFonts w:ascii="Arial" w:eastAsia="Arial" w:hAnsi="Arial" w:cs="Arial"/>
                <w:color w:val="000000"/>
                <w:sz w:val="20"/>
              </w:rPr>
              <w:t xml:space="preserve"> (garage),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263 Md. 719 (1971);</w:t>
            </w:r>
            <w:r>
              <w:rPr>
                <w:rFonts w:ascii="Arial" w:eastAsia="Arial" w:hAnsi="Arial" w:cs="Arial"/>
                <w:color w:val="000000"/>
                <w:sz w:val="20"/>
              </w:rPr>
              <w:t xml:space="preserve"> </w:t>
            </w:r>
            <w:hyperlink r:id="rId1772" w:history="1">
              <w:r>
                <w:rPr>
                  <w:rFonts w:ascii="Arial" w:eastAsia="Arial" w:hAnsi="Arial" w:cs="Arial"/>
                  <w:i/>
                  <w:color w:val="0077CC"/>
                  <w:sz w:val="20"/>
                  <w:u w:val="single"/>
                </w:rPr>
                <w:t>Ware v. State, 13 Md. App. 302, 283 A.2d 177 (1971)</w:t>
              </w:r>
            </w:hyperlink>
            <w:r>
              <w:rPr>
                <w:rFonts w:ascii="Arial" w:eastAsia="Arial" w:hAnsi="Arial" w:cs="Arial"/>
                <w:color w:val="000000"/>
                <w:sz w:val="20"/>
              </w:rPr>
              <w:t xml:space="preserve"> (initial contact made at a house and purchase consummated from an automobile that drove up shortly thereafter).</w:t>
            </w:r>
          </w:p>
          <w:p w:rsidR="004729FB" w:rsidRDefault="004729FB" w:rsidP="00713DA5">
            <w:pPr>
              <w:spacing w:before="240" w:line="260" w:lineRule="atLeast"/>
              <w:ind w:left="60" w:right="360"/>
              <w:jc w:val="both"/>
            </w:pPr>
            <w:r>
              <w:rPr>
                <w:rFonts w:ascii="Arial" w:eastAsia="Arial" w:hAnsi="Arial" w:cs="Arial"/>
                <w:color w:val="000000"/>
                <w:sz w:val="20"/>
              </w:rPr>
              <w:t xml:space="preserve">Although most cases involve places where drug dealers sell or manufacture drugs, maintaining a common nuisance does not require that the defendant possess the substance. </w:t>
            </w:r>
            <w:hyperlink r:id="rId1773" w:history="1">
              <w:r>
                <w:rPr>
                  <w:rFonts w:ascii="Arial" w:eastAsia="Arial" w:hAnsi="Arial" w:cs="Arial"/>
                  <w:i/>
                  <w:color w:val="0077CC"/>
                  <w:sz w:val="20"/>
                  <w:u w:val="single"/>
                </w:rPr>
                <w:t>Salzman v. State, 49 Md. App. 25, 51, 430 A.2d 847, 863</w:t>
              </w:r>
            </w:hyperlink>
            <w:r>
              <w:rPr>
                <w:rFonts w:ascii="Arial" w:eastAsia="Arial" w:hAnsi="Arial" w:cs="Arial"/>
                <w:color w:val="000000"/>
                <w:sz w:val="20"/>
              </w:rPr>
              <w:t xml:space="preserve"> (stating that possession is not an element of the offense), </w:t>
            </w:r>
            <w:r>
              <w:rPr>
                <w:rFonts w:ascii="Arial" w:eastAsia="Arial" w:hAnsi="Arial" w:cs="Arial"/>
                <w:i/>
                <w:color w:val="000000"/>
                <w:sz w:val="20"/>
              </w:rPr>
              <w:t>cert. denied</w:t>
            </w:r>
            <w:r>
              <w:rPr>
                <w:rFonts w:ascii="Arial" w:eastAsia="Arial" w:hAnsi="Arial" w:cs="Arial"/>
                <w:color w:val="000000"/>
                <w:sz w:val="20"/>
              </w:rPr>
              <w:t xml:space="preserve">, </w:t>
            </w:r>
            <w:hyperlink r:id="rId1774" w:history="1">
              <w:r>
                <w:rPr>
                  <w:rFonts w:ascii="Arial" w:eastAsia="Arial" w:hAnsi="Arial" w:cs="Arial"/>
                  <w:i/>
                  <w:color w:val="0077CC"/>
                  <w:sz w:val="20"/>
                  <w:u w:val="single"/>
                </w:rPr>
                <w:t>291 Md. 781 (1981);</w:t>
              </w:r>
            </w:hyperlink>
            <w:r>
              <w:rPr>
                <w:rFonts w:ascii="Arial" w:eastAsia="Arial" w:hAnsi="Arial" w:cs="Arial"/>
                <w:color w:val="000000"/>
                <w:sz w:val="20"/>
              </w:rPr>
              <w:t xml:space="preserve"> </w:t>
            </w:r>
            <w:hyperlink r:id="rId1775" w:history="1">
              <w:r>
                <w:rPr>
                  <w:rFonts w:ascii="Arial" w:eastAsia="Arial" w:hAnsi="Arial" w:cs="Arial"/>
                  <w:i/>
                  <w:color w:val="0077CC"/>
                  <w:sz w:val="20"/>
                  <w:u w:val="single"/>
                </w:rPr>
                <w:t>Gipe, 55 Md. App. 604, 616-17, 466 A.2d at 46-47</w:t>
              </w:r>
            </w:hyperlink>
            <w:r>
              <w:rPr>
                <w:rFonts w:ascii="Arial" w:eastAsia="Arial" w:hAnsi="Arial" w:cs="Arial"/>
                <w:color w:val="000000"/>
                <w:sz w:val="20"/>
              </w:rPr>
              <w:t xml:space="preserve"> (finding a common nuisance where marijuana users brought the substance to the defendant's house for marijuana parties); </w:t>
            </w:r>
            <w:hyperlink r:id="rId1776" w:history="1">
              <w:r>
                <w:rPr>
                  <w:rFonts w:ascii="Arial" w:eastAsia="Arial" w:hAnsi="Arial" w:cs="Arial"/>
                  <w:i/>
                  <w:color w:val="0077CC"/>
                  <w:sz w:val="20"/>
                  <w:u w:val="single"/>
                </w:rPr>
                <w:t>Kane v. State, 12 Md. App. 466, 480-81, 280 A.2d 9, 17 (1971)</w:t>
              </w:r>
            </w:hyperlink>
            <w:r>
              <w:rPr>
                <w:rFonts w:ascii="Arial" w:eastAsia="Arial" w:hAnsi="Arial" w:cs="Arial"/>
                <w:color w:val="000000"/>
                <w:sz w:val="20"/>
              </w:rPr>
              <w:t xml:space="preserve"> (finding a common nuisance where the sale of drugs took place away from the premises, but the premises were used for storage). In the past, "common nuisance" was equated with "public nuisance." </w:t>
            </w:r>
            <w:hyperlink r:id="rId1777" w:history="1">
              <w:r>
                <w:rPr>
                  <w:rFonts w:ascii="Arial" w:eastAsia="Arial" w:hAnsi="Arial" w:cs="Arial"/>
                  <w:i/>
                  <w:color w:val="0077CC"/>
                  <w:sz w:val="20"/>
                  <w:u w:val="single"/>
                </w:rPr>
                <w:t>Skinner, 16 Md. App. at 128, 293 A.2d at 833.</w:t>
              </w:r>
            </w:hyperlink>
            <w:r>
              <w:rPr>
                <w:rFonts w:ascii="Arial" w:eastAsia="Arial" w:hAnsi="Arial" w:cs="Arial"/>
                <w:color w:val="000000"/>
                <w:sz w:val="20"/>
              </w:rPr>
              <w:t xml:space="preserve"> There is no requirement, however, that the place be open to the public.</w:t>
            </w:r>
            <w:hyperlink r:id="rId1778" w:history="1">
              <w:r>
                <w:rPr>
                  <w:rFonts w:ascii="Arial" w:eastAsia="Arial" w:hAnsi="Arial" w:cs="Arial"/>
                  <w:i/>
                  <w:color w:val="0077CC"/>
                  <w:sz w:val="20"/>
                  <w:u w:val="single"/>
                </w:rPr>
                <w:t xml:space="preserve"> Baldwin, 56</w:t>
              </w:r>
            </w:hyperlink>
            <w:r>
              <w:rPr>
                <w:rFonts w:ascii="Arial" w:eastAsia="Arial" w:hAnsi="Arial" w:cs="Arial"/>
                <w:color w:val="000000"/>
                <w:sz w:val="20"/>
              </w:rPr>
              <w:t xml:space="preserve"> </w:t>
            </w:r>
            <w:hyperlink r:id="rId1779" w:history="1">
              <w:r>
                <w:rPr>
                  <w:rFonts w:ascii="Arial" w:eastAsia="Arial" w:hAnsi="Arial" w:cs="Arial"/>
                  <w:i/>
                  <w:color w:val="0077CC"/>
                  <w:sz w:val="20"/>
                  <w:u w:val="single"/>
                </w:rPr>
                <w:t>Md. App. at 536, 468 A.2d at 397.</w:t>
              </w:r>
            </w:hyperlink>
            <w:r>
              <w:rPr>
                <w:rFonts w:ascii="Arial" w:eastAsia="Arial" w:hAnsi="Arial" w:cs="Arial"/>
                <w:color w:val="000000"/>
                <w:sz w:val="20"/>
              </w:rPr>
              <w:t xml:space="preserve"> However, there must be a connection between the accused and the place in question. </w:t>
            </w:r>
            <w:hyperlink r:id="rId1780" w:history="1">
              <w:r>
                <w:rPr>
                  <w:rFonts w:ascii="Arial" w:eastAsia="Arial" w:hAnsi="Arial" w:cs="Arial"/>
                  <w:i/>
                  <w:color w:val="0077CC"/>
                  <w:sz w:val="20"/>
                  <w:u w:val="single"/>
                </w:rPr>
                <w:t>Tucker, 19 Md. App. at 45-48, 308 A.2d at 699-700</w:t>
              </w:r>
            </w:hyperlink>
            <w:r>
              <w:rPr>
                <w:rFonts w:ascii="Arial" w:eastAsia="Arial" w:hAnsi="Arial" w:cs="Arial"/>
                <w:color w:val="000000"/>
                <w:sz w:val="20"/>
              </w:rPr>
              <w:t xml:space="preserve"> (holding that a drug addict who used a motel room, which he himself occupied, to store drugs for his own exclusive use did not maintain a common nuisance; however, one who procures the room to allow another to indulge in the recurring offense of possession is properly convicted). There is no need to show that the defendant has legal ownership or possession of the premises. </w:t>
            </w:r>
            <w:hyperlink r:id="rId1781" w:history="1">
              <w:r>
                <w:rPr>
                  <w:rFonts w:ascii="Arial" w:eastAsia="Arial" w:hAnsi="Arial" w:cs="Arial"/>
                  <w:i/>
                  <w:color w:val="0077CC"/>
                  <w:sz w:val="20"/>
                  <w:u w:val="single"/>
                </w:rPr>
                <w:t>Mora v. State, 123 Md. App. 699, 728, 720 A.2d 934, 948 (1998)</w:t>
              </w:r>
            </w:hyperlink>
            <w:r>
              <w:rPr>
                <w:rFonts w:ascii="Arial" w:eastAsia="Arial" w:hAnsi="Arial" w:cs="Arial"/>
                <w:color w:val="000000"/>
                <w:sz w:val="20"/>
              </w:rPr>
              <w:t xml:space="preserve"> (holding that the fact that the defendant was married to the legal owner, combined with witness testimony sufficient to establish a relationship to the location of the offense, was enough), </w:t>
            </w:r>
            <w:r>
              <w:rPr>
                <w:rFonts w:ascii="Arial" w:eastAsia="Arial" w:hAnsi="Arial" w:cs="Arial"/>
                <w:i/>
                <w:color w:val="000000"/>
                <w:sz w:val="20"/>
              </w:rPr>
              <w:t>aff'd</w:t>
            </w:r>
            <w:r>
              <w:rPr>
                <w:rFonts w:ascii="Arial" w:eastAsia="Arial" w:hAnsi="Arial" w:cs="Arial"/>
                <w:color w:val="000000"/>
                <w:sz w:val="20"/>
              </w:rPr>
              <w:t xml:space="preserve">, </w:t>
            </w:r>
            <w:hyperlink r:id="rId1782" w:history="1">
              <w:r>
                <w:rPr>
                  <w:rFonts w:ascii="Arial" w:eastAsia="Arial" w:hAnsi="Arial" w:cs="Arial"/>
                  <w:i/>
                  <w:color w:val="0077CC"/>
                  <w:sz w:val="20"/>
                  <w:u w:val="single"/>
                </w:rPr>
                <w:t>355 Md. 639, 735 A.2d 1122 (1999);</w:t>
              </w:r>
            </w:hyperlink>
            <w:r>
              <w:rPr>
                <w:rFonts w:ascii="Arial" w:eastAsia="Arial" w:hAnsi="Arial" w:cs="Arial"/>
                <w:color w:val="000000"/>
                <w:sz w:val="20"/>
              </w:rPr>
              <w:t xml:space="preserve"> </w:t>
            </w:r>
            <w:hyperlink r:id="rId1783" w:history="1">
              <w:r>
                <w:rPr>
                  <w:rFonts w:ascii="Arial" w:eastAsia="Arial" w:hAnsi="Arial" w:cs="Arial"/>
                  <w:i/>
                  <w:color w:val="0077CC"/>
                  <w:sz w:val="20"/>
                  <w:u w:val="single"/>
                </w:rPr>
                <w:t>Anderson v. State, 9 Md. App. 532, 540, 267 A.2d 296, 301,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259 Md. 729 (1970).</w:t>
            </w:r>
            <w:r>
              <w:rPr>
                <w:rFonts w:ascii="Arial" w:eastAsia="Arial" w:hAnsi="Arial" w:cs="Arial"/>
                <w:color w:val="000000"/>
                <w:sz w:val="20"/>
              </w:rPr>
              <w:t xml:space="preserve"> </w:t>
            </w:r>
            <w:r>
              <w:rPr>
                <w:rFonts w:ascii="Arial" w:eastAsia="Arial" w:hAnsi="Arial" w:cs="Arial"/>
                <w:i/>
                <w:color w:val="000000"/>
                <w:sz w:val="20"/>
              </w:rPr>
              <w:t xml:space="preserve">But see </w:t>
            </w:r>
            <w:hyperlink r:id="rId1784" w:history="1">
              <w:r>
                <w:rPr>
                  <w:rFonts w:ascii="Arial" w:eastAsia="Arial" w:hAnsi="Arial" w:cs="Arial"/>
                  <w:i/>
                  <w:color w:val="0077CC"/>
                  <w:sz w:val="20"/>
                  <w:u w:val="single"/>
                </w:rPr>
                <w:t>Bernadyn v. State, 152 Md. App. 255, 831 A.2d 532 (2003)</w:t>
              </w:r>
            </w:hyperlink>
            <w:r>
              <w:rPr>
                <w:rFonts w:ascii="Arial" w:eastAsia="Arial" w:hAnsi="Arial" w:cs="Arial"/>
                <w:color w:val="000000"/>
                <w:sz w:val="20"/>
              </w:rPr>
              <w:t xml:space="preserve"> (reversing a conviction where the only evidence of the defendant's interest in the location of the offense was a bill addressed to him at the location that was later excluded by the hearsay rule), </w:t>
            </w:r>
            <w:r>
              <w:rPr>
                <w:rFonts w:ascii="Arial" w:eastAsia="Arial" w:hAnsi="Arial" w:cs="Arial"/>
                <w:i/>
                <w:color w:val="000000"/>
                <w:sz w:val="20"/>
              </w:rPr>
              <w:t>rev'd</w:t>
            </w:r>
            <w:r>
              <w:rPr>
                <w:rFonts w:ascii="Arial" w:eastAsia="Arial" w:hAnsi="Arial" w:cs="Arial"/>
                <w:color w:val="000000"/>
                <w:sz w:val="20"/>
              </w:rPr>
              <w:t xml:space="preserve">, </w:t>
            </w:r>
            <w:hyperlink r:id="rId1785" w:history="1">
              <w:r>
                <w:rPr>
                  <w:rFonts w:ascii="Arial" w:eastAsia="Arial" w:hAnsi="Arial" w:cs="Arial"/>
                  <w:i/>
                  <w:color w:val="0077CC"/>
                  <w:sz w:val="20"/>
                  <w:u w:val="single"/>
                </w:rPr>
                <w:t>390 Md. 1, 887 A.2d 602 (2005).</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28" style="position:absolute;left:0;text-align:left;z-index:2519562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2" name="Picture 10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92" w:history="1">
        <w:r>
          <w:rPr>
            <w:rFonts w:ascii="Arial" w:eastAsia="Arial" w:hAnsi="Arial" w:cs="Arial"/>
            <w:b/>
            <w:bCs/>
            <w:i/>
            <w:color w:val="0077CC"/>
            <w:kern w:val="32"/>
            <w:sz w:val="28"/>
            <w:szCs w:val="32"/>
            <w:u w:val="single"/>
          </w:rPr>
          <w:t>MPJI-Cr 4:24.6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SUBSTANCE--DRUG PARAPHERNALIA (DELIVERY OR SALE TO A MINOR)</w:t>
      </w:r>
    </w:p>
    <w:p w:rsidR="004729FB" w:rsidRDefault="004729FB" w:rsidP="004729FB">
      <w:pPr>
        <w:keepNext/>
        <w:spacing w:before="240" w:line="340" w:lineRule="atLeast"/>
      </w:pPr>
      <w:r>
        <w:br/>
      </w:r>
      <w:r>
        <w:rPr>
          <w:rFonts w:ascii="Arial" w:eastAsia="Arial" w:hAnsi="Arial" w:cs="Arial"/>
          <w:b/>
          <w:color w:val="000000"/>
          <w:sz w:val="28"/>
        </w:rPr>
        <w:t>4:24.6Narcotics and Controlled Dangerous Substance--DRUG PARAPHERNALIA (Delivery or Sale to a Minor)</w:t>
      </w:r>
    </w:p>
    <w:p w:rsidR="004729FB" w:rsidRDefault="004729FB" w:rsidP="004729FB">
      <w:pPr>
        <w:spacing w:line="60" w:lineRule="exact"/>
      </w:pPr>
      <w:r>
        <w:pict>
          <v:line id="_x0000_s1319" style="position:absolute;z-index:25194700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[delivering] [selling] drug paraphernalia to a minor.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[delivered] [sold] drug paraphernalia to a person under eighteen years of age, who also is at least three years younger than the defendant</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(2) that the defendant knew or, based on the circumstances, reasonably should have known that the paraphernalia would be used to (</w:t>
      </w:r>
      <w:r>
        <w:rPr>
          <w:rFonts w:ascii="Arial" w:eastAsia="Arial" w:hAnsi="Arial" w:cs="Arial"/>
          <w:b/>
          <w:color w:val="000000"/>
          <w:sz w:val="20"/>
          <w:u w:val="single"/>
        </w:rPr>
        <w:t>see statute for list of uses</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Drug paraphernalia means any equipment or materials used or intended for use in [manufacturing] [packaging] [storing] [concealing] [introducing into the human body] a controlled dangerous substance. Paraphernalia includes (</w:t>
      </w:r>
      <w:r>
        <w:rPr>
          <w:rFonts w:ascii="Arial" w:eastAsia="Arial" w:hAnsi="Arial" w:cs="Arial"/>
          <w:b/>
          <w:color w:val="000000"/>
          <w:sz w:val="20"/>
          <w:u w:val="single"/>
        </w:rPr>
        <w:t>see statute for list of paraphernalia</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4:24 (Narcotics and Controlled Dangerous Substance--Possession); MPJI-Cr 4:24.1 (Narcotics and Controlled Dangerous Substance--Possession with Intent to Distribute); MPJI-Cr 4:24.2 (Narcotics and Controlled Dangerous Substance--Distribution); MPJI-Cr 4:24.3 (Narcotics and Controlled Dangerous Substance--Manufacture); MPJI-Cr 4:24.4 (Narcotics and Controlled Dangerous Substance--Drug Paraphernalia (Use or Possession)); MPJI-Cr 4:24.5 (Narcotics and Controlled Dangerous Substance--Drug Paraphernalia (Delivery or Sale)).</w:t>
            </w:r>
          </w:p>
          <w:p w:rsidR="004729FB" w:rsidRDefault="004729FB" w:rsidP="00713DA5">
            <w:pPr>
              <w:spacing w:before="200" w:line="260" w:lineRule="atLeast"/>
              <w:ind w:left="60" w:right="360"/>
              <w:jc w:val="both"/>
            </w:pPr>
            <w:r>
              <w:rPr>
                <w:rFonts w:ascii="Arial" w:eastAsia="Arial" w:hAnsi="Arial" w:cs="Arial"/>
                <w:color w:val="000000"/>
                <w:sz w:val="20"/>
              </w:rPr>
              <w:t>CRIMINAL LAW I § 5-619(d)(4), provides an enhanced punishment for delivery of drug paraphernalia to a person under eighteen years of age by a defendant, who is at least eighteen years of age and is at least three years older than the person to whom delivered.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29" style="position:absolute;z-index:251957248"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4:24.5.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34" style="position:absolute;left:0;text-align:left;z-index:25196236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1" name="Picture 10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799" w:history="1">
        <w:r>
          <w:rPr>
            <w:rFonts w:ascii="Arial" w:eastAsia="Arial" w:hAnsi="Arial" w:cs="Arial"/>
            <w:b/>
            <w:bCs/>
            <w:i/>
            <w:color w:val="0077CC"/>
            <w:kern w:val="32"/>
            <w:sz w:val="28"/>
            <w:szCs w:val="32"/>
            <w:u w:val="single"/>
          </w:rPr>
          <w:t>MPJI-Cr 4:24.9</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SUBSTANCE--IMPORTATION</w:t>
      </w:r>
    </w:p>
    <w:p w:rsidR="004729FB" w:rsidRDefault="004729FB" w:rsidP="004729FB">
      <w:pPr>
        <w:keepNext/>
        <w:spacing w:before="240" w:line="340" w:lineRule="atLeast"/>
      </w:pPr>
      <w:r>
        <w:br/>
      </w:r>
      <w:r>
        <w:rPr>
          <w:rFonts w:ascii="Arial" w:eastAsia="Arial" w:hAnsi="Arial" w:cs="Arial"/>
          <w:b/>
          <w:color w:val="000000"/>
          <w:sz w:val="28"/>
        </w:rPr>
        <w:t>4:24.9Narcotics and Controlled Dangerous Substance--Importation</w:t>
      </w:r>
    </w:p>
    <w:p w:rsidR="004729FB" w:rsidRDefault="004729FB" w:rsidP="004729FB">
      <w:pPr>
        <w:spacing w:line="60" w:lineRule="exact"/>
      </w:pPr>
      <w:r>
        <w:pict>
          <v:line id="_x0000_s1320" style="position:absolute;z-index:2519480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knowingly bringing into the state (</w:t>
      </w:r>
      <w:r>
        <w:rPr>
          <w:rFonts w:ascii="Arial" w:eastAsia="Arial" w:hAnsi="Arial" w:cs="Arial"/>
          <w:b/>
          <w:color w:val="000000"/>
          <w:sz w:val="20"/>
          <w:u w:val="single"/>
        </w:rPr>
        <w:t>list appropriate controlled dangerous substance</w:t>
      </w:r>
      <w:r>
        <w:rPr>
          <w:rFonts w:ascii="Arial" w:eastAsia="Arial" w:hAnsi="Arial" w:cs="Arial"/>
          <w:b/>
          <w:color w:val="000000"/>
          <w:sz w:val="20"/>
        </w:rPr>
        <w:t>), a controlled dangerous substance, in an amount equal to or greater than (</w:t>
      </w:r>
      <w:r>
        <w:rPr>
          <w:rFonts w:ascii="Arial" w:eastAsia="Arial" w:hAnsi="Arial" w:cs="Arial"/>
          <w:b/>
          <w:color w:val="000000"/>
          <w:sz w:val="20"/>
          <w:u w:val="single"/>
        </w:rPr>
        <w:t>list appropriate amount of controlled dangerous substance</w:t>
      </w:r>
      <w:r>
        <w:rPr>
          <w:rFonts w:ascii="Arial" w:eastAsia="Arial" w:hAnsi="Arial" w:cs="Arial"/>
          <w:b/>
          <w:color w:val="000000"/>
          <w:sz w:val="20"/>
        </w:rPr>
        <w:t>)</w:t>
      </w:r>
      <w:r>
        <w:rPr>
          <w:rFonts w:ascii="Arial" w:eastAsia="Arial" w:hAnsi="Arial" w:cs="Arial"/>
          <w:color w:val="000000"/>
          <w:sz w:val="20"/>
        </w:rPr>
        <w:t xml:space="preserve">. </w:t>
      </w: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brought into the state (list appropriate controlled dangerous substance); and</w:t>
      </w:r>
    </w:p>
    <w:p w:rsidR="004729FB" w:rsidRDefault="004729FB" w:rsidP="004729FB">
      <w:pPr>
        <w:spacing w:before="200" w:line="260" w:lineRule="atLeast"/>
        <w:ind w:left="400"/>
        <w:jc w:val="both"/>
      </w:pPr>
      <w:r>
        <w:rPr>
          <w:rFonts w:ascii="Arial" w:eastAsia="Arial" w:hAnsi="Arial" w:cs="Arial"/>
          <w:b/>
          <w:color w:val="000000"/>
          <w:sz w:val="20"/>
        </w:rPr>
        <w:t>(2) that the amount was equal to or greater than (</w:t>
      </w:r>
      <w:r>
        <w:rPr>
          <w:rFonts w:ascii="Arial" w:eastAsia="Arial" w:hAnsi="Arial" w:cs="Arial"/>
          <w:b/>
          <w:color w:val="000000"/>
          <w:sz w:val="20"/>
          <w:u w:val="single"/>
        </w:rPr>
        <w:t>list appropriate amount of controlled dangerous substance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drug importation statute is aimed at punishing drug suppliers and their couriers who bring controlled dangerous substances into Maryland. </w:t>
            </w:r>
            <w:hyperlink r:id="rId1800" w:history="1">
              <w:r>
                <w:rPr>
                  <w:rFonts w:ascii="Arial" w:eastAsia="Arial" w:hAnsi="Arial" w:cs="Arial"/>
                  <w:i/>
                  <w:color w:val="0077CC"/>
                  <w:sz w:val="20"/>
                  <w:u w:val="single"/>
                </w:rPr>
                <w:t>Love v. Curry, 104 Md. App. 684, 695, 657 A.2d 796, 801</w:t>
              </w:r>
            </w:hyperlink>
            <w:r>
              <w:rPr>
                <w:rFonts w:ascii="Arial" w:eastAsia="Arial" w:hAnsi="Arial" w:cs="Arial"/>
                <w:color w:val="000000"/>
                <w:sz w:val="20"/>
              </w:rPr>
              <w:t xml:space="preserve"> (explaining that the importation statute "indicates the intent of the Legislature to catch larger fish than those simply possessing CDS"),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340 Md. 214, 665 A.2d 1057 (1995).</w:t>
            </w:r>
            <w:r>
              <w:rPr>
                <w:rFonts w:ascii="Arial" w:eastAsia="Arial" w:hAnsi="Arial" w:cs="Arial"/>
                <w:color w:val="000000"/>
                <w:sz w:val="20"/>
              </w:rPr>
              <w:t xml:space="preserve"> A person is guilty of unlawfully importing controlled dangerous substances when certain threshold amounts of specified drugs are brought into Maryland. The following summarizes the importation statute's minimum amounts: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marijuana</w:t>
            </w:r>
            <w:r>
              <w:rPr>
                <w:rFonts w:ascii="Arial" w:eastAsia="Arial" w:hAnsi="Arial" w:cs="Arial"/>
                <w:color w:val="000000"/>
                <w:sz w:val="20"/>
              </w:rPr>
              <w:t>--45 or more kilograms;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cocaine or mixture of cocaine</w:t>
            </w:r>
            <w:r>
              <w:rPr>
                <w:rFonts w:ascii="Arial" w:eastAsia="Arial" w:hAnsi="Arial" w:cs="Arial"/>
                <w:color w:val="000000"/>
                <w:sz w:val="20"/>
              </w:rPr>
              <w:t>--28 or more grams;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morphine or opium, or any derivative of either</w:t>
            </w:r>
            <w:r>
              <w:rPr>
                <w:rFonts w:ascii="Arial" w:eastAsia="Arial" w:hAnsi="Arial" w:cs="Arial"/>
                <w:color w:val="000000"/>
                <w:sz w:val="20"/>
              </w:rPr>
              <w:t>--4 or more grams;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lysergic acid diethylamide (LSD) or any mixture of LSD</w:t>
            </w:r>
            <w:r>
              <w:rPr>
                <w:rFonts w:ascii="Arial" w:eastAsia="Arial" w:hAnsi="Arial" w:cs="Arial"/>
                <w:color w:val="000000"/>
                <w:sz w:val="20"/>
              </w:rPr>
              <w:t>--1,000 or more dosage units;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phencyclidine in liquid or powder form</w:t>
            </w:r>
            <w:r>
              <w:rPr>
                <w:rFonts w:ascii="Arial" w:eastAsia="Arial" w:hAnsi="Arial" w:cs="Arial"/>
                <w:color w:val="000000"/>
                <w:sz w:val="20"/>
              </w:rPr>
              <w:t>--28 or more grams;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phencyclidine in any mixture</w:t>
            </w:r>
            <w:r>
              <w:rPr>
                <w:rFonts w:ascii="Arial" w:eastAsia="Arial" w:hAnsi="Arial" w:cs="Arial"/>
                <w:color w:val="000000"/>
                <w:sz w:val="20"/>
              </w:rPr>
              <w:t>--112 or more grams;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methaqualone</w:t>
            </w:r>
            <w:r>
              <w:rPr>
                <w:rFonts w:ascii="Arial" w:eastAsia="Arial" w:hAnsi="Arial" w:cs="Arial"/>
                <w:color w:val="000000"/>
                <w:sz w:val="20"/>
              </w:rPr>
              <w:t>--1,000 or more dosage units;</w:t>
            </w:r>
          </w:p>
          <w:p w:rsidR="004729FB" w:rsidRDefault="004729FB" w:rsidP="00713DA5">
            <w:pPr>
              <w:spacing w:before="200" w:line="260" w:lineRule="atLeast"/>
              <w:ind w:left="60" w:right="360"/>
              <w:jc w:val="both"/>
            </w:pPr>
            <w:r>
              <w:rPr>
                <w:rFonts w:ascii="Arial" w:eastAsia="Arial" w:hAnsi="Arial" w:cs="Arial"/>
                <w:color w:val="000000"/>
                <w:sz w:val="20"/>
              </w:rPr>
              <w:t xml:space="preserve">. </w:t>
            </w:r>
            <w:r>
              <w:rPr>
                <w:rFonts w:ascii="Arial" w:eastAsia="Arial" w:hAnsi="Arial" w:cs="Arial"/>
                <w:i/>
                <w:color w:val="000000"/>
                <w:sz w:val="20"/>
              </w:rPr>
              <w:t>methamphetamine or any mixture of methamphetamine</w:t>
            </w:r>
            <w:r>
              <w:rPr>
                <w:rFonts w:ascii="Arial" w:eastAsia="Arial" w:hAnsi="Arial" w:cs="Arial"/>
                <w:color w:val="000000"/>
                <w:sz w:val="20"/>
              </w:rPr>
              <w:t>--28 or more grams; and</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 </w:t>
            </w:r>
            <w:r>
              <w:rPr>
                <w:rFonts w:ascii="Arial" w:eastAsia="Arial" w:hAnsi="Arial" w:cs="Arial"/>
                <w:i/>
                <w:color w:val="000000"/>
                <w:sz w:val="20"/>
              </w:rPr>
              <w:t>fentanyl or a fentanyl analogue</w:t>
            </w:r>
            <w:r>
              <w:rPr>
                <w:rFonts w:ascii="Arial" w:eastAsia="Arial" w:hAnsi="Arial" w:cs="Arial"/>
                <w:color w:val="000000"/>
                <w:sz w:val="20"/>
              </w:rPr>
              <w:t>--4 or more grams.</w:t>
            </w:r>
          </w:p>
          <w:p w:rsidR="004729FB" w:rsidRDefault="004729FB" w:rsidP="00713DA5">
            <w:pPr>
              <w:spacing w:before="200" w:line="260" w:lineRule="atLeast"/>
              <w:ind w:left="60" w:right="360"/>
              <w:jc w:val="both"/>
            </w:pPr>
            <w:r>
              <w:rPr>
                <w:rFonts w:ascii="Arial" w:eastAsia="Arial" w:hAnsi="Arial" w:cs="Arial"/>
                <w:color w:val="000000"/>
                <w:sz w:val="20"/>
              </w:rPr>
              <w:t>CRIM. LAW I § 5-614(a)(1).</w:t>
            </w:r>
          </w:p>
          <w:p w:rsidR="004729FB" w:rsidRDefault="004729FB" w:rsidP="00713DA5">
            <w:pPr>
              <w:spacing w:before="200" w:line="260" w:lineRule="atLeast"/>
              <w:ind w:left="60" w:right="360"/>
              <w:jc w:val="both"/>
            </w:pPr>
            <w:r>
              <w:rPr>
                <w:rFonts w:ascii="Arial" w:eastAsia="Arial" w:hAnsi="Arial" w:cs="Arial"/>
                <w:color w:val="000000"/>
                <w:sz w:val="20"/>
              </w:rPr>
              <w:t xml:space="preserve">The act of bringing the unlawful substance into the state is the crime in and of itself. Although possession of the substance does not appear to be an element of importation on its face, courts have interpreted importation to require some level of control over the substance. </w:t>
            </w:r>
            <w:hyperlink r:id="rId1801" w:history="1">
              <w:r>
                <w:rPr>
                  <w:rFonts w:ascii="Arial" w:eastAsia="Arial" w:hAnsi="Arial" w:cs="Arial"/>
                  <w:i/>
                  <w:color w:val="0077CC"/>
                  <w:sz w:val="20"/>
                  <w:u w:val="single"/>
                </w:rPr>
                <w:t>White v. State, 363 Md. 150, 166-67, 767 A.2d 855, 864 (2001).</w:t>
              </w:r>
            </w:hyperlink>
            <w:r>
              <w:rPr>
                <w:rFonts w:ascii="Arial" w:eastAsia="Arial" w:hAnsi="Arial" w:cs="Arial"/>
                <w:color w:val="000000"/>
                <w:sz w:val="20"/>
              </w:rPr>
              <w:t xml:space="preserve"> The State also must prove that the defendant brought the requisite amount of the specific drug into Maryland. </w:t>
            </w:r>
            <w:hyperlink r:id="rId1802" w:history="1">
              <w:r>
                <w:rPr>
                  <w:rFonts w:ascii="Arial" w:eastAsia="Arial" w:hAnsi="Arial" w:cs="Arial"/>
                  <w:i/>
                  <w:color w:val="0077CC"/>
                  <w:sz w:val="20"/>
                  <w:u w:val="single"/>
                </w:rPr>
                <w:t>Love, 104 Md. App. at 695-96, 657 A.2d at 801</w:t>
              </w:r>
            </w:hyperlink>
            <w:r>
              <w:rPr>
                <w:rFonts w:ascii="Arial" w:eastAsia="Arial" w:hAnsi="Arial" w:cs="Arial"/>
                <w:color w:val="000000"/>
                <w:sz w:val="20"/>
              </w:rPr>
              <w:t xml:space="preserve"> (citing </w:t>
            </w:r>
            <w:hyperlink r:id="rId1803" w:history="1">
              <w:r>
                <w:rPr>
                  <w:rFonts w:ascii="Arial" w:eastAsia="Arial" w:hAnsi="Arial" w:cs="Arial"/>
                  <w:i/>
                  <w:color w:val="0077CC"/>
                  <w:sz w:val="20"/>
                  <w:u w:val="single"/>
                </w:rPr>
                <w:t>Cherry v. State, 86 Md. App. 234, 586 A.2d 70 (1991)).</w:t>
              </w:r>
            </w:hyperlink>
            <w:r>
              <w:rPr>
                <w:rFonts w:ascii="Arial" w:eastAsia="Arial" w:hAnsi="Arial" w:cs="Arial"/>
                <w:color w:val="000000"/>
                <w:sz w:val="20"/>
              </w:rPr>
              <w:t xml:space="preserve"> No intent to distribute is necessary to convict under § 5-614. </w:t>
            </w:r>
            <w:hyperlink r:id="rId1804" w:history="1">
              <w:r>
                <w:rPr>
                  <w:rFonts w:ascii="Arial" w:eastAsia="Arial" w:hAnsi="Arial" w:cs="Arial"/>
                  <w:i/>
                  <w:color w:val="0077CC"/>
                  <w:sz w:val="20"/>
                  <w:u w:val="single"/>
                </w:rPr>
                <w:t>Rose v. State, 74 Md. App. 644, 648-49, 539 A.2d 1142, 1144,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805" w:history="1">
              <w:r>
                <w:rPr>
                  <w:rFonts w:ascii="Arial" w:eastAsia="Arial" w:hAnsi="Arial" w:cs="Arial"/>
                  <w:i/>
                  <w:color w:val="0077CC"/>
                  <w:sz w:val="20"/>
                  <w:u w:val="single"/>
                </w:rPr>
                <w:t>313 Md. 31, 542 A.2d 858 (1988).</w:t>
              </w:r>
            </w:hyperlink>
            <w:r>
              <w:rPr>
                <w:rFonts w:ascii="Arial" w:eastAsia="Arial" w:hAnsi="Arial" w:cs="Arial"/>
                <w:color w:val="000000"/>
                <w:sz w:val="20"/>
              </w:rPr>
              <w:t xml:space="preserve"> The defendant's recent presence in another state, in conjunction with his possession of drugs, supports an inference that the drugs the defendant possessed were brought into Maryland from another state. </w:t>
            </w:r>
            <w:hyperlink r:id="rId1806" w:history="1">
              <w:r>
                <w:rPr>
                  <w:rFonts w:ascii="Arial" w:eastAsia="Arial" w:hAnsi="Arial" w:cs="Arial"/>
                  <w:i/>
                  <w:color w:val="0077CC"/>
                  <w:sz w:val="20"/>
                  <w:u w:val="single"/>
                </w:rPr>
                <w:t>Cherry, 86 Md. App. 234, 586 A.2d 70;</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1807" w:history="1">
              <w:r>
                <w:rPr>
                  <w:rFonts w:ascii="Arial" w:eastAsia="Arial" w:hAnsi="Arial" w:cs="Arial"/>
                  <w:i/>
                  <w:color w:val="0077CC"/>
                  <w:sz w:val="20"/>
                  <w:u w:val="single"/>
                </w:rPr>
                <w:t>Henderson v. State, 89 Md. App. 19, 597 A.2d 486,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325 Md. 396, 601 A.2d 129 (1992).</w:t>
            </w:r>
          </w:p>
          <w:p w:rsidR="004729FB" w:rsidRDefault="004729FB" w:rsidP="00713DA5">
            <w:pPr>
              <w:spacing w:before="240" w:line="260" w:lineRule="atLeast"/>
              <w:ind w:left="60" w:right="360"/>
              <w:jc w:val="both"/>
            </w:pPr>
            <w:r>
              <w:rPr>
                <w:rFonts w:ascii="Arial" w:eastAsia="Arial" w:hAnsi="Arial" w:cs="Arial"/>
                <w:color w:val="000000"/>
                <w:sz w:val="20"/>
              </w:rPr>
              <w:t xml:space="preserve">Importation is a crime independent of possession, possession with intent to distribute, distribution, or manufacturing a controlled dangerous substance. Therefore, a defendant can be convicted of importation along with another drug offense. </w:t>
            </w:r>
            <w:hyperlink r:id="rId1808" w:history="1">
              <w:r>
                <w:rPr>
                  <w:rFonts w:ascii="Arial" w:eastAsia="Arial" w:hAnsi="Arial" w:cs="Arial"/>
                  <w:i/>
                  <w:color w:val="0077CC"/>
                  <w:sz w:val="20"/>
                  <w:u w:val="single"/>
                </w:rPr>
                <w:t>Rose, 74 Md. App. at 649-50, 539 A.2d at 1144-45.</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30" style="position:absolute;left:0;text-align:left;z-index:25195827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00" name="Picture 10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815" w:history="1">
        <w:r>
          <w:rPr>
            <w:rFonts w:ascii="Arial" w:eastAsia="Arial" w:hAnsi="Arial" w:cs="Arial"/>
            <w:b/>
            <w:bCs/>
            <w:i/>
            <w:color w:val="0077CC"/>
            <w:kern w:val="32"/>
            <w:sz w:val="28"/>
            <w:szCs w:val="32"/>
            <w:u w:val="single"/>
          </w:rPr>
          <w:t>MPJI-Cr 4:24.10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SUBSTANCE--DRUG KINGPIN</w:t>
      </w:r>
    </w:p>
    <w:p w:rsidR="004729FB" w:rsidRDefault="004729FB" w:rsidP="004729FB">
      <w:pPr>
        <w:keepNext/>
        <w:spacing w:before="240" w:line="340" w:lineRule="atLeast"/>
      </w:pPr>
      <w:r>
        <w:br/>
      </w:r>
      <w:r>
        <w:rPr>
          <w:rFonts w:ascii="Arial" w:eastAsia="Arial" w:hAnsi="Arial" w:cs="Arial"/>
          <w:b/>
          <w:color w:val="000000"/>
          <w:sz w:val="28"/>
        </w:rPr>
        <w:t>4:24.10Narcotics and Controlled Dangerous Substance--Drug Kingpin</w:t>
      </w:r>
    </w:p>
    <w:p w:rsidR="004729FB" w:rsidRDefault="004729FB" w:rsidP="004729FB">
      <w:pPr>
        <w:spacing w:line="60" w:lineRule="exact"/>
      </w:pPr>
      <w:r>
        <w:pict>
          <v:line id="_x0000_s1321" style="position:absolute;z-index:25194905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being a "drug kingpin." A "drug kingpin" means a person who occupies a position of [an organizer] [a supervisor] [a financier] [or] [a manager] as a co-conspirator in a conspiracy to manufacture, distribute, dispense, bring into, or transport in the State (</w:t>
      </w:r>
      <w:r>
        <w:rPr>
          <w:rFonts w:ascii="Arial" w:eastAsia="Arial" w:hAnsi="Arial" w:cs="Arial"/>
          <w:b/>
          <w:color w:val="000000"/>
          <w:sz w:val="20"/>
          <w:u w:val="single"/>
        </w:rPr>
        <w:t>list controlled dangerous substance</w:t>
      </w:r>
      <w:r>
        <w:rPr>
          <w:rFonts w:ascii="Arial" w:eastAsia="Arial" w:hAnsi="Arial" w:cs="Arial"/>
          <w:b/>
          <w:color w:val="000000"/>
          <w:sz w:val="20"/>
        </w:rPr>
        <w:t>), a controlled dangerous substance.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there was a conspiracy to manufacture, distribute, dispense, bring into, or transport in the State at least (</w:t>
      </w:r>
      <w:r>
        <w:rPr>
          <w:rFonts w:ascii="Arial" w:eastAsia="Arial" w:hAnsi="Arial" w:cs="Arial"/>
          <w:b/>
          <w:color w:val="000000"/>
          <w:sz w:val="20"/>
          <w:u w:val="single"/>
        </w:rPr>
        <w:t>statutorily required amount</w:t>
      </w:r>
      <w:r>
        <w:rPr>
          <w:rFonts w:ascii="Arial" w:eastAsia="Arial" w:hAnsi="Arial" w:cs="Arial"/>
          <w:b/>
          <w:color w:val="000000"/>
          <w:sz w:val="20"/>
        </w:rPr>
        <w:t>) of (</w:t>
      </w:r>
      <w:r>
        <w:rPr>
          <w:rFonts w:ascii="Arial" w:eastAsia="Arial" w:hAnsi="Arial" w:cs="Arial"/>
          <w:b/>
          <w:color w:val="000000"/>
          <w:sz w:val="20"/>
          <w:u w:val="single"/>
        </w:rPr>
        <w:t>controlled dangerous substance</w:t>
      </w:r>
      <w:r>
        <w:rPr>
          <w:rFonts w:ascii="Arial" w:eastAsia="Arial" w:hAnsi="Arial" w:cs="Arial"/>
          <w:b/>
          <w:color w:val="000000"/>
          <w:sz w:val="20"/>
        </w:rPr>
        <w:t>), a controlled dangerous substance</w:t>
      </w:r>
      <w:r>
        <w:rPr>
          <w:rFonts w:ascii="Arial" w:eastAsia="Arial" w:hAnsi="Arial" w:cs="Arial"/>
          <w:color w:val="000000"/>
          <w:sz w:val="20"/>
        </w:rPr>
        <w:t xml:space="preserve">; </w:t>
      </w:r>
      <w:r>
        <w:rPr>
          <w:rFonts w:ascii="Arial" w:eastAsia="Arial" w:hAnsi="Arial" w:cs="Arial"/>
          <w:b/>
          <w:color w:val="000000"/>
          <w:sz w:val="20"/>
        </w:rPr>
        <w:t>and</w:t>
      </w:r>
    </w:p>
    <w:p w:rsidR="004729FB" w:rsidRDefault="004729FB" w:rsidP="004729FB">
      <w:pPr>
        <w:spacing w:before="200" w:line="260" w:lineRule="atLeast"/>
        <w:ind w:left="400"/>
        <w:jc w:val="both"/>
      </w:pPr>
      <w:r>
        <w:rPr>
          <w:rFonts w:ascii="Arial" w:eastAsia="Arial" w:hAnsi="Arial" w:cs="Arial"/>
          <w:b/>
          <w:color w:val="000000"/>
          <w:sz w:val="20"/>
        </w:rPr>
        <w:t>(2) that the defendant occupied the position of [an organizer] [a supervisor] [a financier] [or] [a manager] as a coconspirator in that conspiracy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conspiracy is an agreement between two or more persons to carry out an unlawful purpose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term drug kingpin is intended to apply to a leader of a large-scale drug trafficking network, but there may be more than one drug kingpin. A drug kingpin is more than a low-level participant, but need not be the highest ranked person in the conspiracy</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term[s] [organizer] [supervisor] [financier] [and] [manager] define the concept of drug kingpin. [An organizer is one who unifies into a coordinated functioning whole, or arranges by systematic planning and coordinating, individual effort.] [A supervisor is one who oversees others, with the power of direction and decision, in the implementation of [his] [her] own or another's intention.] [A financier is a large-scale investor.] [A manager is one who conducts, directs, or supervises something.]</w:t>
      </w:r>
    </w:p>
    <w:p w:rsidR="004729FB" w:rsidRDefault="004729FB" w:rsidP="004729FB">
      <w:pPr>
        <w:spacing w:before="200" w:line="260" w:lineRule="atLeast"/>
        <w:jc w:val="both"/>
      </w:pPr>
      <w:r>
        <w:rPr>
          <w:rFonts w:ascii="Arial" w:eastAsia="Arial" w:hAnsi="Arial" w:cs="Arial"/>
          <w:b/>
          <w:color w:val="000000"/>
          <w:sz w:val="20"/>
        </w:rPr>
        <w:t>In determining whether the amount of (</w:t>
      </w:r>
      <w:r>
        <w:rPr>
          <w:rFonts w:ascii="Arial" w:eastAsia="Arial" w:hAnsi="Arial" w:cs="Arial"/>
          <w:b/>
          <w:color w:val="000000"/>
          <w:sz w:val="20"/>
          <w:u w:val="single"/>
        </w:rPr>
        <w:t>controlled dangerous substance</w:t>
      </w:r>
      <w:r>
        <w:rPr>
          <w:rFonts w:ascii="Arial" w:eastAsia="Arial" w:hAnsi="Arial" w:cs="Arial"/>
          <w:b/>
          <w:color w:val="000000"/>
          <w:sz w:val="20"/>
        </w:rPr>
        <w:t>) was at least (</w:t>
      </w:r>
      <w:r>
        <w:rPr>
          <w:rFonts w:ascii="Arial" w:eastAsia="Arial" w:hAnsi="Arial" w:cs="Arial"/>
          <w:b/>
          <w:color w:val="000000"/>
          <w:sz w:val="20"/>
          <w:u w:val="single"/>
        </w:rPr>
        <w:t>statutorily determined amount</w:t>
      </w:r>
      <w:r>
        <w:rPr>
          <w:rFonts w:ascii="Arial" w:eastAsia="Arial" w:hAnsi="Arial" w:cs="Arial"/>
          <w:b/>
          <w:color w:val="000000"/>
          <w:sz w:val="20"/>
        </w:rPr>
        <w:t>), you may total the amounts of (</w:t>
      </w:r>
      <w:r>
        <w:rPr>
          <w:rFonts w:ascii="Arial" w:eastAsia="Arial" w:hAnsi="Arial" w:cs="Arial"/>
          <w:b/>
          <w:color w:val="000000"/>
          <w:sz w:val="20"/>
          <w:u w:val="single"/>
        </w:rPr>
        <w:t>controlled dangerous substance</w:t>
      </w:r>
      <w:r>
        <w:rPr>
          <w:rFonts w:ascii="Arial" w:eastAsia="Arial" w:hAnsi="Arial" w:cs="Arial"/>
          <w:b/>
          <w:color w:val="000000"/>
          <w:sz w:val="20"/>
        </w:rPr>
        <w:t>) involved in any transaction that took place within a 90-day period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drug kingpin statute aims to punish organizers, supervisors, financiers, or managers of a drug operation. CRIM. LAW I § 5-613(a); </w:t>
            </w:r>
            <w:r>
              <w:rPr>
                <w:rFonts w:ascii="Arial" w:eastAsia="Arial" w:hAnsi="Arial" w:cs="Arial"/>
                <w:i/>
                <w:color w:val="000000"/>
                <w:sz w:val="20"/>
              </w:rPr>
              <w:t xml:space="preserve">see </w:t>
            </w:r>
            <w:hyperlink r:id="rId1816" w:history="1">
              <w:r>
                <w:rPr>
                  <w:rFonts w:ascii="Arial" w:eastAsia="Arial" w:hAnsi="Arial" w:cs="Arial"/>
                  <w:i/>
                  <w:color w:val="0077CC"/>
                  <w:sz w:val="20"/>
                  <w:u w:val="single"/>
                </w:rPr>
                <w:t>Williams, 329 Md. 1, 616 A.2d 1275.</w:t>
              </w:r>
            </w:hyperlink>
            <w:r>
              <w:rPr>
                <w:rFonts w:ascii="Arial" w:eastAsia="Arial" w:hAnsi="Arial" w:cs="Arial"/>
                <w:color w:val="000000"/>
                <w:sz w:val="20"/>
              </w:rPr>
              <w:t xml:space="preserve"> It is not necessary, however, that the defendant be the highest ranking person in the operation. </w:t>
            </w:r>
            <w:hyperlink r:id="rId1817" w:history="1">
              <w:r>
                <w:rPr>
                  <w:rFonts w:ascii="Arial" w:eastAsia="Arial" w:hAnsi="Arial" w:cs="Arial"/>
                  <w:i/>
                  <w:color w:val="0077CC"/>
                  <w:sz w:val="20"/>
                  <w:u w:val="single"/>
                </w:rPr>
                <w:t>Williams, 329 Md. at 18, 616 A.2d at 1283</w:t>
              </w:r>
            </w:hyperlink>
            <w:r>
              <w:rPr>
                <w:rFonts w:ascii="Arial" w:eastAsia="Arial" w:hAnsi="Arial" w:cs="Arial"/>
                <w:color w:val="000000"/>
                <w:sz w:val="20"/>
              </w:rPr>
              <w:t xml:space="preserve"> </w:t>
            </w:r>
            <w:r>
              <w:rPr>
                <w:rFonts w:ascii="Arial" w:eastAsia="Arial" w:hAnsi="Arial" w:cs="Arial"/>
                <w:color w:val="000000"/>
                <w:sz w:val="20"/>
              </w:rPr>
              <w:lastRenderedPageBreak/>
              <w:t xml:space="preserve">("[N]othing in the statute 'dictates that a conspiracy can have only one kingpin.'" (quoting </w:t>
            </w:r>
            <w:hyperlink r:id="rId1818" w:history="1">
              <w:r>
                <w:rPr>
                  <w:rFonts w:ascii="Arial" w:eastAsia="Arial" w:hAnsi="Arial" w:cs="Arial"/>
                  <w:i/>
                  <w:color w:val="0077CC"/>
                  <w:sz w:val="20"/>
                  <w:u w:val="single"/>
                </w:rPr>
                <w:t>Williams v. State, 89 Md. App. 685, 700, 599 A.2d 848, 855 (1991))).</w:t>
              </w:r>
            </w:hyperlink>
            <w:r>
              <w:rPr>
                <w:rFonts w:ascii="Arial" w:eastAsia="Arial" w:hAnsi="Arial" w:cs="Arial"/>
                <w:color w:val="000000"/>
                <w:sz w:val="20"/>
              </w:rPr>
              <w:t xml:space="preserve"> Instead, the statute includes a "manager as a co-conspirator." </w:t>
            </w:r>
            <w:r>
              <w:rPr>
                <w:rFonts w:ascii="Arial" w:eastAsia="Arial" w:hAnsi="Arial" w:cs="Arial"/>
                <w:i/>
                <w:color w:val="000000"/>
                <w:sz w:val="20"/>
              </w:rPr>
              <w:t>Id.</w:t>
            </w:r>
            <w:r>
              <w:rPr>
                <w:rFonts w:ascii="Arial" w:eastAsia="Arial" w:hAnsi="Arial" w:cs="Arial"/>
                <w:color w:val="000000"/>
                <w:sz w:val="20"/>
              </w:rPr>
              <w:t xml:space="preserve"> (quoting the predecessor to CRIM. LAW I § 5-613(a)). The defendant must, however, be more than a "low-level player with no more authority than the others." </w:t>
            </w:r>
            <w:hyperlink r:id="rId1819" w:history="1">
              <w:r>
                <w:rPr>
                  <w:rFonts w:ascii="Arial" w:eastAsia="Arial" w:hAnsi="Arial" w:cs="Arial"/>
                  <w:i/>
                  <w:color w:val="0077CC"/>
                  <w:sz w:val="20"/>
                  <w:u w:val="single"/>
                </w:rPr>
                <w:t>State v. Velez, 106 Md. App. 194, 203, 664 A.2d 387, 392 (1995),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341 Md. 173, 669 A.2d 1361 (1996).</w:t>
            </w:r>
          </w:p>
          <w:p w:rsidR="004729FB" w:rsidRDefault="004729FB" w:rsidP="00713DA5">
            <w:pPr>
              <w:spacing w:before="240" w:line="260" w:lineRule="atLeast"/>
              <w:ind w:left="60" w:right="360"/>
              <w:jc w:val="both"/>
            </w:pPr>
            <w:r>
              <w:rPr>
                <w:rFonts w:ascii="Arial" w:eastAsia="Arial" w:hAnsi="Arial" w:cs="Arial"/>
                <w:color w:val="000000"/>
                <w:sz w:val="20"/>
              </w:rPr>
              <w:t xml:space="preserve">The roles of "organizer, supervisor, financier, and manager" are not elements of the offense of drug kingpin; they are part of the definition of drug kingpin. </w:t>
            </w:r>
            <w:hyperlink r:id="rId1820" w:history="1">
              <w:r>
                <w:rPr>
                  <w:rFonts w:ascii="Arial" w:eastAsia="Arial" w:hAnsi="Arial" w:cs="Arial"/>
                  <w:i/>
                  <w:color w:val="0077CC"/>
                  <w:sz w:val="20"/>
                  <w:u w:val="single"/>
                </w:rPr>
                <w:t>Guy v. State, 91 Md. App. 600, 609, 605 A.2d 642, 646-47,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821" w:history="1">
              <w:r>
                <w:rPr>
                  <w:rFonts w:ascii="Arial" w:eastAsia="Arial" w:hAnsi="Arial" w:cs="Arial"/>
                  <w:i/>
                  <w:color w:val="0077CC"/>
                  <w:sz w:val="20"/>
                  <w:u w:val="single"/>
                </w:rPr>
                <w:t>327 Md. 627, 612 A.2d 257 (1992).</w:t>
              </w:r>
            </w:hyperlink>
            <w:r>
              <w:rPr>
                <w:rFonts w:ascii="Arial" w:eastAsia="Arial" w:hAnsi="Arial" w:cs="Arial"/>
                <w:color w:val="000000"/>
                <w:sz w:val="20"/>
              </w:rPr>
              <w:t xml:space="preserve"> In </w:t>
            </w:r>
            <w:hyperlink r:id="rId1822" w:history="1">
              <w:r>
                <w:rPr>
                  <w:rFonts w:ascii="Arial" w:eastAsia="Arial" w:hAnsi="Arial" w:cs="Arial"/>
                  <w:i/>
                  <w:color w:val="0077CC"/>
                  <w:sz w:val="20"/>
                  <w:u w:val="single"/>
                </w:rPr>
                <w:t>Williams, 329 Md. at 8-14, 616 A.2d at 1278-81,</w:t>
              </w:r>
            </w:hyperlink>
            <w:r>
              <w:rPr>
                <w:rFonts w:ascii="Arial" w:eastAsia="Arial" w:hAnsi="Arial" w:cs="Arial"/>
                <w:color w:val="000000"/>
                <w:sz w:val="20"/>
              </w:rPr>
              <w:t xml:space="preserve"> the Court of Appeals rejected a vagueness challenge to the key terms: "organizer, supervisor, financier, or manager." In rejecting the vagueness challenge, the Court said: "The Maryland Drug Kingpin statute satisfies this standard at its most basic level, for the meanings of the statute's operative words can be 'fairly ascertained by reference to… the words themselves.'" </w:t>
            </w:r>
            <w:hyperlink r:id="rId1823" w:history="1">
              <w:r>
                <w:rPr>
                  <w:rFonts w:ascii="Arial" w:eastAsia="Arial" w:hAnsi="Arial" w:cs="Arial"/>
                  <w:i/>
                  <w:color w:val="0077CC"/>
                  <w:sz w:val="20"/>
                  <w:u w:val="single"/>
                </w:rPr>
                <w:t>Id. at 11, 616 A.2d at 1280</w:t>
              </w:r>
            </w:hyperlink>
            <w:r>
              <w:rPr>
                <w:rFonts w:ascii="Arial" w:eastAsia="Arial" w:hAnsi="Arial" w:cs="Arial"/>
                <w:color w:val="000000"/>
                <w:sz w:val="20"/>
              </w:rPr>
              <w:t xml:space="preserve"> (quoting </w:t>
            </w:r>
            <w:hyperlink r:id="rId1824" w:history="1">
              <w:r>
                <w:rPr>
                  <w:rFonts w:ascii="Arial" w:eastAsia="Arial" w:hAnsi="Arial" w:cs="Arial"/>
                  <w:i/>
                  <w:color w:val="0077CC"/>
                  <w:sz w:val="20"/>
                  <w:u w:val="single"/>
                </w:rPr>
                <w:t>Bowers v. State, 283 Md. 115, 121, 389 A.2d 341 (1978)).</w:t>
              </w:r>
            </w:hyperlink>
            <w:r>
              <w:rPr>
                <w:rFonts w:ascii="Arial" w:eastAsia="Arial" w:hAnsi="Arial" w:cs="Arial"/>
                <w:color w:val="000000"/>
                <w:sz w:val="20"/>
              </w:rPr>
              <w:t xml:space="preserve"> The Court gave dictionary definitions to the key words, stating:</w:t>
            </w:r>
          </w:p>
          <w:p w:rsidR="004729FB" w:rsidRDefault="004729FB" w:rsidP="00713DA5">
            <w:pPr>
              <w:spacing w:before="60" w:line="260" w:lineRule="atLeast"/>
              <w:ind w:left="460" w:right="360"/>
              <w:jc w:val="both"/>
            </w:pPr>
            <w:r>
              <w:rPr>
                <w:rFonts w:ascii="Arial" w:eastAsia="Arial" w:hAnsi="Arial" w:cs="Arial"/>
                <w:color w:val="000000"/>
                <w:sz w:val="20"/>
              </w:rPr>
              <w:t>The terms "organizer," "supervisor," "financier," and "manager" are not vague. They are not technical terms; rather, they are common words with well understood meanings. As these words are defined by Webster's Third New International Dictionary (1981), an "organizer" is "one who organizes" (to "organize" is "to unify into a coordinated functioning whole; … to arrange by systematic planning and coordination of individual effort"). A "supervisor" is "one that supervises a person, group, department, organization, or operation" ("supervise" is "to… oversee with the powers of direction and decision the implementation of one's own or another's intentions"). A "financier" is "a large scale investor." A "manager" is "one that manages, a person that conducts, directs, or supervises something." Because these definitions comport with everyday understandings of the words they define, the drug kingpin statute employs language accessible to persons of common intelligence; they need not guess at the statute's meaning. The statute makes clear, in ordinary language, that those who occupy positions of importance in drug conspiracies will be subject to heightened punishment.</w:t>
            </w:r>
          </w:p>
          <w:p w:rsidR="004729FB" w:rsidRDefault="004729FB" w:rsidP="00713DA5">
            <w:pPr>
              <w:spacing w:before="240" w:line="260" w:lineRule="atLeast"/>
              <w:ind w:left="60" w:right="360"/>
              <w:jc w:val="both"/>
            </w:pPr>
            <w:hyperlink r:id="rId1825" w:history="1">
              <w:r>
                <w:rPr>
                  <w:rFonts w:ascii="Arial" w:eastAsia="Arial" w:hAnsi="Arial" w:cs="Arial"/>
                  <w:i/>
                  <w:color w:val="0077CC"/>
                  <w:sz w:val="20"/>
                  <w:u w:val="single"/>
                </w:rPr>
                <w:t>Williams, 329 Md. at 11, 616 A.2d at 1280.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Drugs that are manufactured, distributed, dispensed, brought into, or transported in the state within ninety days may be aggregated. However, any given amount of drugs may be counted only once. </w:t>
            </w:r>
            <w:hyperlink r:id="rId1826" w:history="1">
              <w:r>
                <w:rPr>
                  <w:rFonts w:ascii="Arial" w:eastAsia="Arial" w:hAnsi="Arial" w:cs="Arial"/>
                  <w:i/>
                  <w:color w:val="0077CC"/>
                  <w:sz w:val="20"/>
                  <w:u w:val="single"/>
                </w:rPr>
                <w:t>Velez, 106 Md. App. at 204, 664 A.2d at 392.</w:t>
              </w:r>
            </w:hyperlink>
            <w:r>
              <w:rPr>
                <w:rFonts w:ascii="Arial" w:eastAsia="Arial" w:hAnsi="Arial" w:cs="Arial"/>
                <w:color w:val="000000"/>
                <w:sz w:val="20"/>
              </w:rPr>
              <w:t xml:space="preserve"> For example, evidence that a defendant brought five pounds of drugs into the state, and later sold five pounds in the state, only counts as five pounds, unless it can be shown that the drugs sold were different from the drugs brought into the state.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331" style="position:absolute;left:0;text-align:left;z-index:251959296;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10:50:00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77923649</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1827" w:history="1">
        <w:r>
          <w:rPr>
            <w:rFonts w:ascii="Arial" w:eastAsia="Arial" w:hAnsi="Arial" w:cs="Arial"/>
            <w:color w:val="000000"/>
            <w:sz w:val="20"/>
            <w:u w:val="single"/>
          </w:rPr>
          <w:t xml:space="preserve"> </w:t>
        </w:r>
      </w:hyperlink>
      <w:hyperlink r:id="rId1828" w:history="1">
        <w:r>
          <w:rPr>
            <w:rFonts w:ascii="Arial" w:eastAsia="Arial" w:hAnsi="Arial" w:cs="Arial"/>
            <w:i/>
            <w:color w:val="0077CC"/>
            <w:sz w:val="20"/>
            <w:u w:val="single"/>
          </w:rPr>
          <w:t>Narcotics and Controlled Dangerous Substance--Possession of Firearm with Nexus to Drug Trafficking Crime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829" w:history="1">
        <w:r>
          <w:rPr>
            <w:rFonts w:ascii="Arial" w:eastAsia="Arial" w:hAnsi="Arial" w:cs="Arial"/>
            <w:color w:val="000000"/>
            <w:sz w:val="20"/>
            <w:u w:val="single"/>
          </w:rPr>
          <w:t xml:space="preserve"> </w:t>
        </w:r>
      </w:hyperlink>
      <w:hyperlink r:id="rId1830" w:history="1">
        <w:r>
          <w:rPr>
            <w:rFonts w:ascii="Arial" w:eastAsia="Arial" w:hAnsi="Arial" w:cs="Arial"/>
            <w:i/>
            <w:color w:val="0077CC"/>
            <w:sz w:val="20"/>
            <w:u w:val="single"/>
          </w:rPr>
          <w:t>Narcotics and Controlled Dangerous Substance--Use, Wear, Carry, or Transport a Firearm in Drug Trafficking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1831" w:history="1">
        <w:r>
          <w:rPr>
            <w:rFonts w:ascii="Arial" w:eastAsia="Arial" w:hAnsi="Arial" w:cs="Arial"/>
            <w:color w:val="000000"/>
            <w:sz w:val="20"/>
            <w:u w:val="single"/>
          </w:rPr>
          <w:t xml:space="preserve"> </w:t>
        </w:r>
      </w:hyperlink>
      <w:hyperlink r:id="rId1832" w:history="1">
        <w:r>
          <w:rPr>
            <w:rFonts w:ascii="Arial" w:eastAsia="Arial" w:hAnsi="Arial" w:cs="Arial"/>
            <w:i/>
            <w:color w:val="0077CC"/>
            <w:sz w:val="20"/>
            <w:u w:val="single"/>
          </w:rPr>
          <w:t>Narcotics and Controlled Dangerous Substance--Fraudulently Obtaining A Controlled Dangerous Substance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1833" w:history="1">
        <w:r>
          <w:rPr>
            <w:rFonts w:ascii="Arial" w:eastAsia="Arial" w:hAnsi="Arial" w:cs="Arial"/>
            <w:color w:val="000000"/>
            <w:sz w:val="20"/>
            <w:u w:val="single"/>
          </w:rPr>
          <w:t xml:space="preserve"> </w:t>
        </w:r>
      </w:hyperlink>
      <w:hyperlink r:id="rId1834" w:history="1">
        <w:r>
          <w:rPr>
            <w:rFonts w:ascii="Arial" w:eastAsia="Arial" w:hAnsi="Arial" w:cs="Arial"/>
            <w:i/>
            <w:color w:val="0077CC"/>
            <w:sz w:val="20"/>
            <w:u w:val="single"/>
          </w:rPr>
          <w:t>Narcotics and Controlled Dangerous Substance--Distribution, Attempted Distribution, or Possession with Intent to Distribute Faked Controlled Dangerous Substance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1835" w:history="1">
        <w:r>
          <w:rPr>
            <w:rFonts w:ascii="Arial" w:eastAsia="Arial" w:hAnsi="Arial" w:cs="Arial"/>
            <w:color w:val="000000"/>
            <w:sz w:val="20"/>
            <w:u w:val="single"/>
          </w:rPr>
          <w:t xml:space="preserve"> </w:t>
        </w:r>
      </w:hyperlink>
      <w:hyperlink r:id="rId1836" w:history="1">
        <w:r>
          <w:rPr>
            <w:rFonts w:ascii="Arial" w:eastAsia="Arial" w:hAnsi="Arial" w:cs="Arial"/>
            <w:i/>
            <w:color w:val="0077CC"/>
            <w:sz w:val="20"/>
            <w:u w:val="single"/>
          </w:rPr>
          <w:t>Narcotics and Controlled Dangerous Substance--False Prescription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1837" w:history="1">
        <w:r>
          <w:rPr>
            <w:rFonts w:ascii="Arial" w:eastAsia="Arial" w:hAnsi="Arial" w:cs="Arial"/>
            <w:color w:val="000000"/>
            <w:sz w:val="20"/>
            <w:u w:val="single"/>
          </w:rPr>
          <w:t xml:space="preserve"> </w:t>
        </w:r>
      </w:hyperlink>
      <w:hyperlink r:id="rId1838" w:history="1">
        <w:r>
          <w:rPr>
            <w:rFonts w:ascii="Arial" w:eastAsia="Arial" w:hAnsi="Arial" w:cs="Arial"/>
            <w:i/>
            <w:color w:val="0077CC"/>
            <w:sz w:val="20"/>
            <w:u w:val="single"/>
          </w:rPr>
          <w:t>Narcotics and Controlled Dangerous Substance--Use of a Minor in the Sale or Distribution of a Controlled Dangerous Substance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1839" w:history="1">
        <w:r>
          <w:rPr>
            <w:rFonts w:ascii="Arial" w:eastAsia="Arial" w:hAnsi="Arial" w:cs="Arial"/>
            <w:color w:val="000000"/>
            <w:sz w:val="20"/>
            <w:u w:val="single"/>
          </w:rPr>
          <w:t xml:space="preserve"> </w:t>
        </w:r>
      </w:hyperlink>
      <w:hyperlink r:id="rId1840" w:history="1">
        <w:r>
          <w:rPr>
            <w:rFonts w:ascii="Arial" w:eastAsia="Arial" w:hAnsi="Arial" w:cs="Arial"/>
            <w:i/>
            <w:color w:val="0077CC"/>
            <w:sz w:val="20"/>
            <w:u w:val="single"/>
          </w:rPr>
          <w:t>Narcotics and Controlled Dangerous Substance--Controlled Dangerous Substance Near School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1841" w:history="1">
        <w:r>
          <w:rPr>
            <w:rFonts w:ascii="Arial" w:eastAsia="Arial" w:hAnsi="Arial" w:cs="Arial"/>
            <w:color w:val="000000"/>
            <w:sz w:val="20"/>
            <w:u w:val="single"/>
          </w:rPr>
          <w:t xml:space="preserve"> </w:t>
        </w:r>
      </w:hyperlink>
      <w:hyperlink r:id="rId1842" w:history="1">
        <w:r>
          <w:rPr>
            <w:rFonts w:ascii="Arial" w:eastAsia="Arial" w:hAnsi="Arial" w:cs="Arial"/>
            <w:i/>
            <w:color w:val="0077CC"/>
            <w:sz w:val="20"/>
            <w:u w:val="single"/>
          </w:rPr>
          <w:t>Perjury--Testimonial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1843" w:history="1">
        <w:r>
          <w:rPr>
            <w:rFonts w:ascii="Arial" w:eastAsia="Arial" w:hAnsi="Arial" w:cs="Arial"/>
            <w:color w:val="000000"/>
            <w:sz w:val="20"/>
            <w:u w:val="single"/>
          </w:rPr>
          <w:t xml:space="preserve"> </w:t>
        </w:r>
      </w:hyperlink>
      <w:hyperlink r:id="rId1844" w:history="1">
        <w:r>
          <w:rPr>
            <w:rFonts w:ascii="Arial" w:eastAsia="Arial" w:hAnsi="Arial" w:cs="Arial"/>
            <w:i/>
            <w:color w:val="0077CC"/>
            <w:sz w:val="20"/>
            <w:u w:val="single"/>
          </w:rPr>
          <w:t>Perjury--Affidavit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1845" w:history="1">
        <w:r>
          <w:rPr>
            <w:rFonts w:ascii="Arial" w:eastAsia="Arial" w:hAnsi="Arial" w:cs="Arial"/>
            <w:color w:val="000000"/>
            <w:sz w:val="20"/>
            <w:u w:val="single"/>
          </w:rPr>
          <w:t xml:space="preserve"> </w:t>
        </w:r>
      </w:hyperlink>
      <w:hyperlink r:id="rId1846" w:history="1">
        <w:r>
          <w:rPr>
            <w:rFonts w:ascii="Arial" w:eastAsia="Arial" w:hAnsi="Arial" w:cs="Arial"/>
            <w:i/>
            <w:color w:val="0077CC"/>
            <w:sz w:val="20"/>
            <w:u w:val="single"/>
          </w:rPr>
          <w:t>Obstruction of Justice--Jurors, Witnesses, or Officials</w:t>
        </w:r>
      </w:hyperlink>
    </w:p>
    <w:p w:rsidR="004729FB" w:rsidRDefault="004729FB" w:rsidP="004729FB">
      <w:pPr>
        <w:spacing w:before="80" w:line="240" w:lineRule="atLeast"/>
        <w:ind w:left="290"/>
        <w:sectPr w:rsidR="004729FB" w:rsidSect="004729FB">
          <w:headerReference w:type="even" r:id="rId1847"/>
          <w:headerReference w:type="default" r:id="rId1848"/>
          <w:footerReference w:type="even" r:id="rId1849"/>
          <w:footerReference w:type="default" r:id="rId1850"/>
          <w:headerReference w:type="first" r:id="rId1851"/>
          <w:footerReference w:type="first" r:id="rId1852"/>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0" name="Picture 12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859" w:history="1">
        <w:r>
          <w:rPr>
            <w:rFonts w:ascii="Arial" w:eastAsia="Arial" w:hAnsi="Arial" w:cs="Arial"/>
            <w:b/>
            <w:bCs/>
            <w:i/>
            <w:color w:val="0077CC"/>
            <w:kern w:val="32"/>
            <w:sz w:val="28"/>
            <w:szCs w:val="32"/>
            <w:u w:val="single"/>
          </w:rPr>
          <w:t>MPJI-Cr 4:24.11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SUBSTANCE--POSSESSION OF FIREARM WITH NEXUS TO DRUG TRAFFICKING CRIME</w:t>
      </w:r>
    </w:p>
    <w:p w:rsidR="004729FB" w:rsidRDefault="004729FB" w:rsidP="004729FB">
      <w:pPr>
        <w:keepNext/>
        <w:spacing w:before="240" w:line="340" w:lineRule="atLeast"/>
      </w:pPr>
      <w:r>
        <w:br/>
      </w:r>
      <w:r>
        <w:rPr>
          <w:rFonts w:ascii="Arial" w:eastAsia="Arial" w:hAnsi="Arial" w:cs="Arial"/>
          <w:b/>
          <w:color w:val="000000"/>
          <w:sz w:val="28"/>
        </w:rPr>
        <w:t>4:24.11Narcotics and Controlled Dangerous Substance--Possession of Firearm with Nexus to Drug Trafficking Crime</w:t>
      </w:r>
    </w:p>
    <w:p w:rsidR="004729FB" w:rsidRDefault="004729FB" w:rsidP="004729FB">
      <w:pPr>
        <w:spacing w:line="60" w:lineRule="exact"/>
      </w:pPr>
      <w:r>
        <w:pict>
          <v:line id="_x0000_s1335" style="position:absolute;z-index:25196441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possessing a firearm during, and in relation to, a drug trafficking crime. In this case, the alleged drug trafficking crime[s] [is] [are] (</w:t>
      </w:r>
      <w:r>
        <w:rPr>
          <w:rFonts w:ascii="Arial" w:eastAsia="Arial" w:hAnsi="Arial" w:cs="Arial"/>
          <w:b/>
          <w:color w:val="000000"/>
          <w:sz w:val="20"/>
          <w:u w:val="single"/>
        </w:rPr>
        <w:t>drug trafficking crime[s]</w:t>
      </w:r>
      <w:r>
        <w:rPr>
          <w:rFonts w:ascii="Arial" w:eastAsia="Arial" w:hAnsi="Arial" w:cs="Arial"/>
          <w:b/>
          <w:color w:val="000000"/>
          <w:sz w:val="20"/>
        </w:rPr>
        <w:t>). You may not consider the crime of possessing a firearm during, and in relation to, a drug trafficking crime, unless you have found the defendant guilty of (</w:t>
      </w:r>
      <w:r>
        <w:rPr>
          <w:rFonts w:ascii="Arial" w:eastAsia="Arial" w:hAnsi="Arial" w:cs="Arial"/>
          <w:b/>
          <w:color w:val="000000"/>
          <w:sz w:val="20"/>
          <w:u w:val="single"/>
        </w:rPr>
        <w:t>drug trafficking crime</w:t>
      </w:r>
      <w:r>
        <w:rPr>
          <w:rFonts w:ascii="Arial" w:eastAsia="Arial" w:hAnsi="Arial" w:cs="Arial"/>
          <w:b/>
          <w:color w:val="000000"/>
          <w:sz w:val="20"/>
        </w:rPr>
        <w:t>). If your verdict on [that] [those] charge[s] is not guilty, you must find the defendant not guilty of possession of a firearm in the commission of a drug trafficking crime. If your verdict is guilty of (</w:t>
      </w:r>
      <w:r>
        <w:rPr>
          <w:rFonts w:ascii="Arial" w:eastAsia="Arial" w:hAnsi="Arial" w:cs="Arial"/>
          <w:b/>
          <w:color w:val="000000"/>
          <w:sz w:val="20"/>
          <w:u w:val="single"/>
        </w:rPr>
        <w:t>drug trafficking crime</w:t>
      </w:r>
      <w:r>
        <w:rPr>
          <w:rFonts w:ascii="Arial" w:eastAsia="Arial" w:hAnsi="Arial" w:cs="Arial"/>
          <w:b/>
          <w:color w:val="000000"/>
          <w:sz w:val="20"/>
        </w:rPr>
        <w:t>), you will continue to consider whether the defendant possessed a firearm in connection with the drug trafficking crime. In order to convict the defendant, the State must prove, in addition to the drug trafficking crime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a firearm during the crime; and</w:t>
      </w:r>
    </w:p>
    <w:p w:rsidR="004729FB" w:rsidRDefault="004729FB" w:rsidP="004729FB">
      <w:pPr>
        <w:spacing w:before="200" w:line="260" w:lineRule="atLeast"/>
        <w:ind w:left="400"/>
        <w:jc w:val="both"/>
      </w:pPr>
      <w:r>
        <w:rPr>
          <w:rFonts w:ascii="Arial" w:eastAsia="Arial" w:hAnsi="Arial" w:cs="Arial"/>
          <w:b/>
          <w:color w:val="000000"/>
          <w:sz w:val="20"/>
        </w:rPr>
        <w:t>(2) that there was a connection between the defendant's possession of the firearm and the crime of (</w:t>
      </w:r>
      <w:r>
        <w:rPr>
          <w:rFonts w:ascii="Arial" w:eastAsia="Arial" w:hAnsi="Arial" w:cs="Arial"/>
          <w:b/>
          <w:color w:val="000000"/>
          <w:sz w:val="20"/>
          <w:u w:val="single"/>
        </w:rPr>
        <w:t>drug trafficking crime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determining whether the defendant committed the crime of possession of a firearm during, and in relation to, a drug trafficking crime, you may consider such factors as the location and proximity of the firearm to the drugs or the defendant, whether the firearm increased the likelihood of success of the crime, and whether the firearm was within easy reach, and available to the defendant, during the commission of the crime of (</w:t>
      </w:r>
      <w:r>
        <w:rPr>
          <w:rFonts w:ascii="Arial" w:eastAsia="Arial" w:hAnsi="Arial" w:cs="Arial"/>
          <w:b/>
          <w:color w:val="000000"/>
          <w:sz w:val="20"/>
          <w:u w:val="single"/>
        </w:rPr>
        <w:t>drug trafficking crime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Possession means having control over the firearm, whether actual or indirect. A person not in actual possession, who knowingly has both the power and the intention to exercise control over the firearm, has indirect possession. In determining whether the defendant has indirect possession of the firearm, consider all of the surrounding circumstances. These circumstances include the distance between the defendant and the firearm, and whether the defendant had some ownership or possessory interest in the place where the firearm was found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firearm is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a weapon that fires, is designed to fire, or may readily be converted to fire a projectile by the action of an explosive; or</w:t>
      </w:r>
    </w:p>
    <w:p w:rsidR="004729FB" w:rsidRDefault="004729FB" w:rsidP="004729FB">
      <w:pPr>
        <w:spacing w:before="200" w:line="260" w:lineRule="atLeast"/>
        <w:ind w:left="400"/>
        <w:jc w:val="both"/>
      </w:pPr>
      <w:r>
        <w:rPr>
          <w:rFonts w:ascii="Arial" w:eastAsia="Arial" w:hAnsi="Arial" w:cs="Arial"/>
          <w:b/>
          <w:color w:val="000000"/>
          <w:sz w:val="20"/>
        </w:rPr>
        <w:t>(2) the frame or receiver of such a weapon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A firearm includes an antique firearm, handgun, rifle, shotgun, short-barreled rifle, shortbarreled shotgun, starter gun, or any other firearm, whether loaded or unloaded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does not have to prove that the weapon was operable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4:24 (Narcotics and Controlled Dangerous Substance--Possession); MPJI-Cr 4:35.4 (B) (Weapons--Use of a Firearm in the Commission of a Felony or Crime of violence). CRIMINAL LAW I § 5-621 makes it a separate crime to possess, use, wear, carry, or transport a firearm during, and in relation to, any drug trafficking offense under facts that establish a nexus to that offense.</w:t>
            </w:r>
          </w:p>
          <w:p w:rsidR="004729FB" w:rsidRDefault="004729FB" w:rsidP="00713DA5">
            <w:pPr>
              <w:spacing w:before="240" w:line="260" w:lineRule="atLeast"/>
              <w:ind w:left="60" w:right="360"/>
              <w:jc w:val="both"/>
            </w:pPr>
            <w:r>
              <w:rPr>
                <w:rFonts w:ascii="Arial" w:eastAsia="Arial" w:hAnsi="Arial" w:cs="Arial"/>
                <w:color w:val="000000"/>
                <w:sz w:val="20"/>
              </w:rPr>
              <w:t xml:space="preserve">The purpose of the statute is to create a separate crime when firearms are located in proximity to drugs and under circumstances that indicate that the firearm furthered the drug trafficking enterprise. </w:t>
            </w:r>
            <w:r>
              <w:rPr>
                <w:rFonts w:ascii="Arial" w:eastAsia="Arial" w:hAnsi="Arial" w:cs="Arial"/>
                <w:i/>
                <w:color w:val="000000"/>
                <w:sz w:val="20"/>
              </w:rPr>
              <w:t xml:space="preserve">See </w:t>
            </w:r>
            <w:hyperlink r:id="rId1860" w:history="1">
              <w:r>
                <w:rPr>
                  <w:rFonts w:ascii="Arial" w:eastAsia="Arial" w:hAnsi="Arial" w:cs="Arial"/>
                  <w:i/>
                  <w:color w:val="0077CC"/>
                  <w:sz w:val="20"/>
                  <w:u w:val="single"/>
                </w:rPr>
                <w:t>Harris v. State, 331 Md. 137, 626 A.2d 946 (1993)</w:t>
              </w:r>
            </w:hyperlink>
            <w:r>
              <w:rPr>
                <w:rFonts w:ascii="Arial" w:eastAsia="Arial" w:hAnsi="Arial" w:cs="Arial"/>
                <w:color w:val="000000"/>
                <w:sz w:val="20"/>
              </w:rPr>
              <w:t xml:space="preserve"> (referring to the federal counterpart, </w:t>
            </w:r>
            <w:r>
              <w:rPr>
                <w:rFonts w:ascii="Arial" w:eastAsia="Arial" w:hAnsi="Arial" w:cs="Arial"/>
                <w:i/>
                <w:color w:val="000000"/>
                <w:sz w:val="20"/>
              </w:rPr>
              <w:t>18 U.S.C. § 924</w:t>
            </w:r>
            <w:r>
              <w:rPr>
                <w:rFonts w:ascii="Arial" w:eastAsia="Arial" w:hAnsi="Arial" w:cs="Arial"/>
                <w:color w:val="000000"/>
                <w:sz w:val="20"/>
              </w:rPr>
              <w:t xml:space="preserve">(c)(1)). In </w:t>
            </w:r>
            <w:hyperlink r:id="rId1861" w:history="1">
              <w:r>
                <w:rPr>
                  <w:rFonts w:ascii="Arial" w:eastAsia="Arial" w:hAnsi="Arial" w:cs="Arial"/>
                  <w:i/>
                  <w:color w:val="0077CC"/>
                  <w:sz w:val="20"/>
                  <w:u w:val="single"/>
                </w:rPr>
                <w:t>Rich v. State, 93 Md. App. 142, 611 A.2d 1034 (1992),</w:t>
              </w:r>
            </w:hyperlink>
            <w:r>
              <w:rPr>
                <w:rFonts w:ascii="Arial" w:eastAsia="Arial" w:hAnsi="Arial" w:cs="Arial"/>
                <w:color w:val="000000"/>
                <w:sz w:val="20"/>
              </w:rPr>
              <w:t xml:space="preserve"> </w:t>
            </w:r>
            <w:r>
              <w:rPr>
                <w:rFonts w:ascii="Arial" w:eastAsia="Arial" w:hAnsi="Arial" w:cs="Arial"/>
                <w:i/>
                <w:color w:val="000000"/>
                <w:sz w:val="20"/>
              </w:rPr>
              <w:t xml:space="preserve">vacated &amp; remanded for further consideration in light of </w:t>
            </w:r>
            <w:hyperlink r:id="rId1862" w:history="1">
              <w:r>
                <w:rPr>
                  <w:rFonts w:ascii="Arial" w:eastAsia="Arial" w:hAnsi="Arial" w:cs="Arial"/>
                  <w:i/>
                  <w:color w:val="0077CC"/>
                  <w:sz w:val="20"/>
                  <w:u w:val="single"/>
                </w:rPr>
                <w:t>Harris, 331 Md. 137, 626 A.2d 946 (1993),</w:t>
              </w:r>
            </w:hyperlink>
            <w:r>
              <w:rPr>
                <w:rFonts w:ascii="Arial" w:eastAsia="Arial" w:hAnsi="Arial" w:cs="Arial"/>
                <w:color w:val="000000"/>
                <w:sz w:val="20"/>
              </w:rPr>
              <w:t xml:space="preserve"> the Court of Special Appeals discussed the legislative history of the 1989 "Drug Kingpin Act," stating:</w:t>
            </w:r>
          </w:p>
          <w:p w:rsidR="004729FB" w:rsidRDefault="004729FB" w:rsidP="00713DA5">
            <w:pPr>
              <w:spacing w:before="60" w:line="260" w:lineRule="atLeast"/>
              <w:ind w:left="460" w:right="360"/>
              <w:jc w:val="both"/>
            </w:pPr>
            <w:r>
              <w:rPr>
                <w:rFonts w:ascii="Arial" w:eastAsia="Arial" w:hAnsi="Arial" w:cs="Arial"/>
                <w:color w:val="000000"/>
                <w:sz w:val="20"/>
              </w:rPr>
              <w:t>"In our judgment, the critical concern is the presence or absence of a facilitative nexus: in a so called "drug fortress" case, where a firearm is found proximate to drugs, money, and related accoutrements, the question is whether the placement of the weapon was designed to facilitate the narcotics enterprise by, say, protecting against untoward contingencies or safeguarding the caches of drugs. It is reasonable, we think, if an operable firearm is found in close proximity to a room or rooms in which drug distribution, processing, or storage occurs, for the factfinder to conclude that the defendant knew the gun was there and intended it to be available for use in connection with the predicate offense."</w:t>
            </w:r>
          </w:p>
          <w:p w:rsidR="004729FB" w:rsidRDefault="004729FB" w:rsidP="00713DA5">
            <w:pPr>
              <w:spacing w:before="200" w:line="260" w:lineRule="atLeast"/>
              <w:ind w:left="60" w:right="360"/>
              <w:jc w:val="both"/>
            </w:pPr>
            <w:hyperlink r:id="rId1863" w:history="1">
              <w:r>
                <w:rPr>
                  <w:rFonts w:ascii="Arial" w:eastAsia="Arial" w:hAnsi="Arial" w:cs="Arial"/>
                  <w:i/>
                  <w:color w:val="0077CC"/>
                  <w:sz w:val="20"/>
                  <w:u w:val="single"/>
                </w:rPr>
                <w:t>Id. at 159, 611 A.2d at 1042</w:t>
              </w:r>
            </w:hyperlink>
            <w:r>
              <w:rPr>
                <w:rFonts w:ascii="Arial" w:eastAsia="Arial" w:hAnsi="Arial" w:cs="Arial"/>
                <w:color w:val="000000"/>
                <w:sz w:val="20"/>
              </w:rPr>
              <w:t xml:space="preserve"> (quoting </w:t>
            </w:r>
            <w:hyperlink r:id="rId1864" w:history="1">
              <w:r>
                <w:rPr>
                  <w:rFonts w:ascii="Arial" w:eastAsia="Arial" w:hAnsi="Arial" w:cs="Arial"/>
                  <w:i/>
                  <w:color w:val="0077CC"/>
                  <w:sz w:val="20"/>
                  <w:u w:val="single"/>
                </w:rPr>
                <w:t>United States v. Hadfield, 918 F.2d 987, 998 (1st Cir. 1990),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500 U.S. 936 (1991)),</w:t>
            </w:r>
            <w:r>
              <w:rPr>
                <w:rFonts w:ascii="Arial" w:eastAsia="Arial" w:hAnsi="Arial" w:cs="Arial"/>
                <w:color w:val="000000"/>
                <w:sz w:val="20"/>
              </w:rPr>
              <w:t xml:space="preserve"> </w:t>
            </w:r>
            <w:r>
              <w:rPr>
                <w:rFonts w:ascii="Arial" w:eastAsia="Arial" w:hAnsi="Arial" w:cs="Arial"/>
                <w:i/>
                <w:color w:val="000000"/>
                <w:sz w:val="20"/>
              </w:rPr>
              <w:t xml:space="preserve">vacated, remanded for further consideration in light of </w:t>
            </w:r>
            <w:hyperlink r:id="rId1865" w:history="1">
              <w:r>
                <w:rPr>
                  <w:rFonts w:ascii="Arial" w:eastAsia="Arial" w:hAnsi="Arial" w:cs="Arial"/>
                  <w:i/>
                  <w:color w:val="0077CC"/>
                  <w:sz w:val="20"/>
                  <w:u w:val="single"/>
                </w:rPr>
                <w:t>Harris, 331 Md. 137, 626 A.2d 946.</w:t>
              </w:r>
            </w:hyperlink>
            <w:r>
              <w:rPr>
                <w:rFonts w:ascii="Arial" w:eastAsia="Arial" w:hAnsi="Arial" w:cs="Arial"/>
                <w:color w:val="000000"/>
                <w:sz w:val="20"/>
              </w:rPr>
              <w:t xml:space="preserve"> In </w:t>
            </w:r>
            <w:hyperlink r:id="rId1866" w:history="1">
              <w:r>
                <w:rPr>
                  <w:rFonts w:ascii="Arial" w:eastAsia="Arial" w:hAnsi="Arial" w:cs="Arial"/>
                  <w:i/>
                  <w:color w:val="0077CC"/>
                  <w:sz w:val="20"/>
                  <w:u w:val="single"/>
                </w:rPr>
                <w:t>United States v. Robinson, 857 F.2d 1006, 1010 (5th Cir. 1988),</w:t>
              </w:r>
            </w:hyperlink>
            <w:r>
              <w:rPr>
                <w:rFonts w:ascii="Arial" w:eastAsia="Arial" w:hAnsi="Arial" w:cs="Arial"/>
                <w:color w:val="000000"/>
                <w:sz w:val="20"/>
              </w:rPr>
              <w:t xml:space="preserve"> the Fifth Circuit applied a similar rule in "fortress" cases, in which a large number of guns are found near large amounts of cocaine and money. </w:t>
            </w:r>
            <w:r>
              <w:rPr>
                <w:rFonts w:ascii="Arial" w:eastAsia="Arial" w:hAnsi="Arial" w:cs="Arial"/>
                <w:i/>
                <w:color w:val="000000"/>
                <w:sz w:val="20"/>
              </w:rPr>
              <w:t xml:space="preserve">Accord </w:t>
            </w:r>
            <w:hyperlink r:id="rId1867" w:history="1">
              <w:r>
                <w:rPr>
                  <w:rFonts w:ascii="Arial" w:eastAsia="Arial" w:hAnsi="Arial" w:cs="Arial"/>
                  <w:i/>
                  <w:color w:val="0077CC"/>
                  <w:sz w:val="20"/>
                  <w:u w:val="single"/>
                </w:rPr>
                <w:t>United States v. Onick, 889 F.2d 1425, 1431-32 (5th Cir. 1989)</w:t>
              </w:r>
            </w:hyperlink>
            <w:r>
              <w:rPr>
                <w:rFonts w:ascii="Arial" w:eastAsia="Arial" w:hAnsi="Arial" w:cs="Arial"/>
                <w:color w:val="000000"/>
                <w:sz w:val="20"/>
              </w:rPr>
              <w:t xml:space="preserve"> (holding that the jury could infer that numerous guns held in a house served to protect drugs and money), </w:t>
            </w:r>
            <w:r>
              <w:rPr>
                <w:rFonts w:ascii="Arial" w:eastAsia="Arial" w:hAnsi="Arial" w:cs="Arial"/>
                <w:i/>
                <w:color w:val="000000"/>
                <w:sz w:val="20"/>
              </w:rPr>
              <w:t>reh'g denied</w:t>
            </w:r>
            <w:r>
              <w:rPr>
                <w:rFonts w:ascii="Arial" w:eastAsia="Arial" w:hAnsi="Arial" w:cs="Arial"/>
                <w:color w:val="000000"/>
                <w:sz w:val="20"/>
              </w:rPr>
              <w:t xml:space="preserve">, </w:t>
            </w:r>
            <w:hyperlink r:id="rId1868" w:history="1">
              <w:r>
                <w:rPr>
                  <w:rFonts w:ascii="Arial" w:eastAsia="Arial" w:hAnsi="Arial" w:cs="Arial"/>
                  <w:i/>
                  <w:color w:val="0077CC"/>
                  <w:sz w:val="20"/>
                  <w:u w:val="single"/>
                </w:rPr>
                <w:t>984 F.2d 1335 (5th Cir. 1990).</w:t>
              </w:r>
            </w:hyperlink>
            <w:r>
              <w:rPr>
                <w:rFonts w:ascii="Arial" w:eastAsia="Arial" w:hAnsi="Arial" w:cs="Arial"/>
                <w:color w:val="000000"/>
                <w:sz w:val="20"/>
              </w:rPr>
              <w:t xml:space="preserve"> In </w:t>
            </w:r>
            <w:hyperlink r:id="rId1869" w:history="1">
              <w:r>
                <w:rPr>
                  <w:rFonts w:ascii="Arial" w:eastAsia="Arial" w:hAnsi="Arial" w:cs="Arial"/>
                  <w:i/>
                  <w:color w:val="0077CC"/>
                  <w:sz w:val="20"/>
                  <w:u w:val="single"/>
                </w:rPr>
                <w:t>Handy v. State, 175 Md. App. 538, 930 A.2d 1111,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402 Md. 353, 936 A.2d 851 (2007),</w:t>
            </w:r>
            <w:r>
              <w:rPr>
                <w:rFonts w:ascii="Arial" w:eastAsia="Arial" w:hAnsi="Arial" w:cs="Arial"/>
                <w:color w:val="000000"/>
                <w:sz w:val="20"/>
              </w:rPr>
              <w:t xml:space="preserve"> the Court of Special Appeals affirmed a conviction for possession of a firearm with a nexus to a drug crime when drugs and firearms were in plain sight in proximity to the defendant and police expert testimony established that the firearms were placed to protect the criminal enterprise from other drug dealers.</w:t>
            </w:r>
          </w:p>
          <w:p w:rsidR="004729FB" w:rsidRDefault="004729FB" w:rsidP="00713DA5">
            <w:pPr>
              <w:spacing w:before="240" w:line="260" w:lineRule="atLeast"/>
              <w:ind w:left="60" w:right="360"/>
              <w:jc w:val="both"/>
            </w:pPr>
            <w:r>
              <w:rPr>
                <w:rFonts w:ascii="Arial" w:eastAsia="Arial" w:hAnsi="Arial" w:cs="Arial"/>
                <w:color w:val="000000"/>
                <w:sz w:val="20"/>
              </w:rPr>
              <w:t xml:space="preserve">Section 5-621 does not define "firearm." The definition of a firearm is derived from MD. CODE ANN., PUBLIC SAFETY § 5-101 (2011 &amp; Supp. 2018), as applied in </w:t>
            </w:r>
            <w:hyperlink r:id="rId1870" w:history="1">
              <w:r>
                <w:rPr>
                  <w:rFonts w:ascii="Arial" w:eastAsia="Arial" w:hAnsi="Arial" w:cs="Arial"/>
                  <w:i/>
                  <w:color w:val="0077CC"/>
                  <w:sz w:val="20"/>
                  <w:u w:val="single"/>
                </w:rPr>
                <w:t>Neal, 191 Md. App. 297, 991 A. 2d 159.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Simple possession is legally insufficient to sustain a conviction for possessing a firearm with nexus to a drug trafficking crime and inconsistent verdicts are not allowed. </w:t>
            </w:r>
            <w:hyperlink r:id="rId1871" w:history="1">
              <w:r>
                <w:rPr>
                  <w:rFonts w:ascii="Arial" w:eastAsia="Arial" w:hAnsi="Arial" w:cs="Arial"/>
                  <w:i/>
                  <w:color w:val="0077CC"/>
                  <w:sz w:val="20"/>
                  <w:u w:val="single"/>
                </w:rPr>
                <w:t>Price v. State, 405 Md. 10, 949 A.2d 619 (2008).</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lastRenderedPageBreak/>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45" style="position:absolute;left:0;text-align:left;z-index:2519746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9" name="Picture 11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878" w:history="1">
        <w:r>
          <w:rPr>
            <w:rFonts w:ascii="Arial" w:eastAsia="Arial" w:hAnsi="Arial" w:cs="Arial"/>
            <w:b/>
            <w:bCs/>
            <w:i/>
            <w:color w:val="0077CC"/>
            <w:kern w:val="32"/>
            <w:sz w:val="28"/>
            <w:szCs w:val="32"/>
            <w:u w:val="single"/>
          </w:rPr>
          <w:t>MPJI-Cr 4:24.12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SUBSTANCE--USE, WEAR, CARRY, OR TRANSPORT A FIREARM IN DRUG TRAFFICKING</w:t>
      </w:r>
    </w:p>
    <w:p w:rsidR="004729FB" w:rsidRDefault="004729FB" w:rsidP="004729FB">
      <w:pPr>
        <w:keepNext/>
        <w:spacing w:before="240" w:line="340" w:lineRule="atLeast"/>
      </w:pPr>
      <w:r>
        <w:br/>
      </w:r>
      <w:r>
        <w:rPr>
          <w:rFonts w:ascii="Arial" w:eastAsia="Arial" w:hAnsi="Arial" w:cs="Arial"/>
          <w:b/>
          <w:color w:val="000000"/>
          <w:sz w:val="28"/>
        </w:rPr>
        <w:t>4:24.12Narcotics and Controlled Dangerous Substance--Use, Wear, Carry, or Transport a Firearm in Drug Trafficking</w:t>
      </w:r>
    </w:p>
    <w:p w:rsidR="004729FB" w:rsidRDefault="004729FB" w:rsidP="004729FB">
      <w:pPr>
        <w:spacing w:line="60" w:lineRule="exact"/>
      </w:pPr>
      <w:r>
        <w:pict>
          <v:line id="_x0000_s1336" style="position:absolute;z-index:2519654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[using] [wearing] [carrying] or [transporting] a firearm during, and in relation to, a drug trafficking crime. (</w:t>
      </w:r>
      <w:r>
        <w:rPr>
          <w:rFonts w:ascii="Arial" w:eastAsia="Arial" w:hAnsi="Arial" w:cs="Arial"/>
          <w:b/>
          <w:color w:val="000000"/>
          <w:sz w:val="20"/>
          <w:u w:val="single"/>
        </w:rPr>
        <w:t>List appropriate drug trafficking crime[s]</w:t>
      </w:r>
      <w:r>
        <w:rPr>
          <w:rFonts w:ascii="Arial" w:eastAsia="Arial" w:hAnsi="Arial" w:cs="Arial"/>
          <w:b/>
          <w:color w:val="000000"/>
          <w:sz w:val="20"/>
        </w:rPr>
        <w:t>) is a drug trafficking crime. You may not consider the crime of using, wearing, carrying, or transporting a firearm in the commission of a drug trafficking crime, unless you have found the defendant guilty of (</w:t>
      </w:r>
      <w:r>
        <w:rPr>
          <w:rFonts w:ascii="Arial" w:eastAsia="Arial" w:hAnsi="Arial" w:cs="Arial"/>
          <w:b/>
          <w:color w:val="000000"/>
          <w:sz w:val="20"/>
          <w:u w:val="single"/>
        </w:rPr>
        <w:t>list appropriate drug trafficking crime[s]</w:t>
      </w:r>
      <w:r>
        <w:rPr>
          <w:rFonts w:ascii="Arial" w:eastAsia="Arial" w:hAnsi="Arial" w:cs="Arial"/>
          <w:b/>
          <w:color w:val="000000"/>
          <w:sz w:val="20"/>
        </w:rPr>
        <w:t>). If your verdict on [that] [those] charge[s] is not guilty, you must find the defendant not guilty of using, wearing, carrying, or transporting a firearm in the commission of a drug trafficking crime.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committed the crime of (</w:t>
      </w:r>
      <w:r>
        <w:rPr>
          <w:rFonts w:ascii="Arial" w:eastAsia="Arial" w:hAnsi="Arial" w:cs="Arial"/>
          <w:b/>
          <w:color w:val="000000"/>
          <w:sz w:val="20"/>
          <w:u w:val="single"/>
        </w:rPr>
        <w:t>list appropriate drug trafficking crime[s]</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[used] [wore] [carried] [transported] a firearm during, and in relation to, the crime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firearm is: (a) a weapon that fires, is designed to fire, or may readily be converted to fire a projectile by the action of an explosive; or (b) the frame or receiver of such a weapon. A firearm includes an antique firearm, handgun, rifle, shotgun, short-barreled rifle, short-bar-reled shotgun, starter gun, or any other firearm, whether loaded or unloaded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[Use of a handgun means that the defendant actively employed a handgun. Although the term "use" connotes something more than potential for use, there need not be conduct that actually produces harm, but only conduct that produces a fear of harm or force by some means</w:t>
      </w:r>
      <w:r>
        <w:rPr>
          <w:rFonts w:ascii="Arial" w:eastAsia="Arial" w:hAnsi="Arial" w:cs="Arial"/>
          <w:color w:val="000000"/>
          <w:sz w:val="20"/>
        </w:rPr>
        <w:t xml:space="preserve">. </w:t>
      </w:r>
      <w:r>
        <w:rPr>
          <w:rFonts w:ascii="Arial" w:eastAsia="Arial" w:hAnsi="Arial" w:cs="Arial"/>
          <w:b/>
          <w:color w:val="000000"/>
          <w:sz w:val="20"/>
        </w:rPr>
        <w:t>Such means include brandishing, displaying, striking with, firing, or attempting to fire a handgun in relation to a drug trafficking crime.]</w:t>
      </w:r>
    </w:p>
    <w:p w:rsidR="004729FB" w:rsidRDefault="004729FB" w:rsidP="004729FB">
      <w:pPr>
        <w:spacing w:before="200" w:line="260" w:lineRule="atLeast"/>
        <w:jc w:val="both"/>
      </w:pPr>
      <w:r>
        <w:rPr>
          <w:rFonts w:ascii="Arial" w:eastAsia="Arial" w:hAnsi="Arial" w:cs="Arial"/>
          <w:b/>
          <w:color w:val="000000"/>
          <w:sz w:val="20"/>
        </w:rPr>
        <w:t>The State does not have to prove that the weapon was operable</w:t>
      </w:r>
      <w:r>
        <w:rPr>
          <w:rFonts w:ascii="Arial" w:eastAsia="Arial" w:hAnsi="Arial" w:cs="Arial"/>
          <w:color w:val="000000"/>
          <w:sz w:val="20"/>
        </w:rPr>
        <w:t>.</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46" style="position:absolute;left:0;text-align:left;z-index:25197568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879"/>
          <w:headerReference w:type="default" r:id="rId1880"/>
          <w:footerReference w:type="even" r:id="rId1881"/>
          <w:footerReference w:type="default" r:id="rId1882"/>
          <w:headerReference w:type="first" r:id="rId1883"/>
          <w:footerReference w:type="first" r:id="rId188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8" name="Picture 11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885" w:history="1">
        <w:r>
          <w:rPr>
            <w:rFonts w:ascii="Arial" w:eastAsia="Arial" w:hAnsi="Arial" w:cs="Arial"/>
            <w:b/>
            <w:bCs/>
            <w:i/>
            <w:color w:val="0077CC"/>
            <w:kern w:val="32"/>
            <w:sz w:val="28"/>
            <w:szCs w:val="32"/>
            <w:u w:val="single"/>
          </w:rPr>
          <w:t>MPJI-Cr 4:24.13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SUBSTANCE--FRAUDULENTLY OBTAINING A CONTROLLED DANGEROUS SUBSTANCE</w:t>
      </w:r>
    </w:p>
    <w:p w:rsidR="004729FB" w:rsidRDefault="004729FB" w:rsidP="004729FB">
      <w:pPr>
        <w:keepNext/>
        <w:spacing w:before="240" w:line="340" w:lineRule="atLeast"/>
      </w:pPr>
      <w:r>
        <w:br/>
      </w:r>
      <w:r>
        <w:rPr>
          <w:rFonts w:ascii="Arial" w:eastAsia="Arial" w:hAnsi="Arial" w:cs="Arial"/>
          <w:b/>
          <w:color w:val="000000"/>
          <w:sz w:val="28"/>
        </w:rPr>
        <w:t>4:24.13Narcotics and Controlled Dangerous Substance--Fraudulently Obtaining A Controlled Dangerous Substance</w:t>
      </w:r>
    </w:p>
    <w:p w:rsidR="004729FB" w:rsidRDefault="004729FB" w:rsidP="004729FB">
      <w:pPr>
        <w:spacing w:line="60" w:lineRule="exact"/>
      </w:pPr>
      <w:r>
        <w:pict>
          <v:line id="_x0000_s1337" style="position:absolute;z-index:2519664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unlawfully [obtaining] [attempting to obtain]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of this offense, the State must prove that the defendant [obtained] [attempted to obtain] (controlled dangerous substance) by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[counterfeiting or altering a prescription or written order;]</w:t>
      </w:r>
    </w:p>
    <w:p w:rsidR="004729FB" w:rsidRDefault="004729FB" w:rsidP="004729FB">
      <w:pPr>
        <w:spacing w:before="200" w:line="260" w:lineRule="atLeast"/>
        <w:ind w:left="400"/>
        <w:jc w:val="both"/>
      </w:pPr>
      <w:r>
        <w:rPr>
          <w:rFonts w:ascii="Arial" w:eastAsia="Arial" w:hAnsi="Arial" w:cs="Arial"/>
          <w:b/>
          <w:color w:val="000000"/>
          <w:sz w:val="20"/>
        </w:rPr>
        <w:t>(2) [use of a false name or address;]</w:t>
      </w:r>
    </w:p>
    <w:p w:rsidR="004729FB" w:rsidRDefault="004729FB" w:rsidP="004729FB">
      <w:pPr>
        <w:spacing w:before="200" w:line="260" w:lineRule="atLeast"/>
        <w:ind w:left="400"/>
        <w:jc w:val="both"/>
      </w:pPr>
      <w:r>
        <w:rPr>
          <w:rFonts w:ascii="Arial" w:eastAsia="Arial" w:hAnsi="Arial" w:cs="Arial"/>
          <w:b/>
          <w:color w:val="000000"/>
          <w:sz w:val="20"/>
        </w:rPr>
        <w:t>(3) [making, issuing, or presenting a false or counterfeit prescription or written order;]</w:t>
      </w:r>
    </w:p>
    <w:p w:rsidR="004729FB" w:rsidRDefault="004729FB" w:rsidP="004729FB">
      <w:pPr>
        <w:spacing w:before="200" w:line="260" w:lineRule="atLeast"/>
        <w:ind w:left="400"/>
        <w:jc w:val="both"/>
      </w:pPr>
      <w:r>
        <w:rPr>
          <w:rFonts w:ascii="Arial" w:eastAsia="Arial" w:hAnsi="Arial" w:cs="Arial"/>
          <w:b/>
          <w:color w:val="000000"/>
          <w:sz w:val="20"/>
        </w:rPr>
        <w:t>(4) [fraud, deceit, misrepresentation or subterfuge; or]</w:t>
      </w:r>
    </w:p>
    <w:p w:rsidR="004729FB" w:rsidRDefault="004729FB" w:rsidP="004729FB">
      <w:pPr>
        <w:spacing w:before="200" w:line="260" w:lineRule="atLeast"/>
        <w:ind w:left="400"/>
        <w:jc w:val="both"/>
      </w:pPr>
      <w:r>
        <w:rPr>
          <w:rFonts w:ascii="Arial" w:eastAsia="Arial" w:hAnsi="Arial" w:cs="Arial"/>
          <w:b/>
          <w:color w:val="000000"/>
          <w:sz w:val="20"/>
        </w:rPr>
        <w:t>(5) [concealment of a material fact.]</w:t>
      </w:r>
    </w:p>
    <w:p w:rsidR="004729FB" w:rsidRDefault="004729FB" w:rsidP="004729FB">
      <w:pPr>
        <w:spacing w:before="200" w:line="260" w:lineRule="atLeast"/>
        <w:jc w:val="both"/>
      </w:pPr>
      <w:r>
        <w:rPr>
          <w:rFonts w:ascii="Arial" w:eastAsia="Arial" w:hAnsi="Arial" w:cs="Arial"/>
          <w:b/>
          <w:color w:val="000000"/>
          <w:sz w:val="20"/>
        </w:rPr>
        <w:t>A person commits a fraud, deceit, misrepresentation, or subterfuge when [he] [she] willfully makes a false statement of material fact, or willfully makes a false impression of material fact, or willfully fails to disclose a material fact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CRIMINAL LAW I § 5-601, "possessing or administering controlled dangerous substance," provides:</w:t>
            </w:r>
          </w:p>
          <w:p w:rsidR="004729FB" w:rsidRDefault="004729FB" w:rsidP="00713DA5">
            <w:pPr>
              <w:spacing w:before="60" w:line="260" w:lineRule="atLeast"/>
              <w:ind w:left="460" w:right="360"/>
              <w:jc w:val="both"/>
            </w:pPr>
            <w:r>
              <w:rPr>
                <w:rFonts w:ascii="Arial" w:eastAsia="Arial" w:hAnsi="Arial" w:cs="Arial"/>
                <w:color w:val="000000"/>
                <w:sz w:val="20"/>
              </w:rPr>
              <w:t>(a) In general.--Except as otherwise provided in this title, a person may not:</w:t>
            </w:r>
          </w:p>
          <w:p w:rsidR="004729FB" w:rsidRDefault="004729FB" w:rsidP="00713DA5">
            <w:pPr>
              <w:spacing w:before="60" w:line="260" w:lineRule="atLeast"/>
              <w:ind w:left="860" w:right="360"/>
              <w:jc w:val="both"/>
            </w:pPr>
            <w:r>
              <w:rPr>
                <w:rFonts w:ascii="Arial" w:eastAsia="Arial" w:hAnsi="Arial" w:cs="Arial"/>
                <w:color w:val="000000"/>
                <w:sz w:val="20"/>
              </w:rPr>
              <w:t>(1) possess or administer to another a controlled dangerous substance, unless obtained directly or by prescription or order from an authorized provider acting in the course of professional practice; or</w:t>
            </w:r>
          </w:p>
          <w:p w:rsidR="004729FB" w:rsidRDefault="004729FB" w:rsidP="00713DA5">
            <w:pPr>
              <w:spacing w:before="60" w:line="260" w:lineRule="atLeast"/>
              <w:ind w:left="860" w:right="360"/>
              <w:jc w:val="both"/>
            </w:pPr>
            <w:r>
              <w:rPr>
                <w:rFonts w:ascii="Arial" w:eastAsia="Arial" w:hAnsi="Arial" w:cs="Arial"/>
                <w:color w:val="000000"/>
                <w:sz w:val="20"/>
              </w:rPr>
              <w:t>(2) obtain or attempt to obtain a controlled dangerous substance, or procure or attempt to procure the administration of a controlled dangerous substance by:</w:t>
            </w:r>
          </w:p>
          <w:p w:rsidR="004729FB" w:rsidRDefault="004729FB" w:rsidP="00713DA5">
            <w:pPr>
              <w:spacing w:before="60" w:line="260" w:lineRule="atLeast"/>
              <w:ind w:left="860" w:right="360"/>
              <w:jc w:val="both"/>
            </w:pPr>
            <w:r>
              <w:rPr>
                <w:rFonts w:ascii="Arial" w:eastAsia="Arial" w:hAnsi="Arial" w:cs="Arial"/>
                <w:color w:val="000000"/>
                <w:sz w:val="20"/>
              </w:rPr>
              <w:t>(i) fraud, deceit, misrepresentation, or subterfuge;</w:t>
            </w:r>
          </w:p>
          <w:p w:rsidR="004729FB" w:rsidRDefault="004729FB" w:rsidP="00713DA5">
            <w:pPr>
              <w:spacing w:before="60" w:line="260" w:lineRule="atLeast"/>
              <w:ind w:left="860" w:right="360"/>
              <w:jc w:val="both"/>
            </w:pPr>
            <w:r>
              <w:rPr>
                <w:rFonts w:ascii="Arial" w:eastAsia="Arial" w:hAnsi="Arial" w:cs="Arial"/>
                <w:color w:val="000000"/>
                <w:sz w:val="20"/>
              </w:rPr>
              <w:t>(ii) the counterfeiting or alteration of a prescription or a written order;</w:t>
            </w:r>
          </w:p>
          <w:p w:rsidR="004729FB" w:rsidRDefault="004729FB" w:rsidP="00713DA5">
            <w:pPr>
              <w:spacing w:before="60" w:line="260" w:lineRule="atLeast"/>
              <w:ind w:left="860" w:right="360"/>
              <w:jc w:val="both"/>
            </w:pPr>
            <w:r>
              <w:rPr>
                <w:rFonts w:ascii="Arial" w:eastAsia="Arial" w:hAnsi="Arial" w:cs="Arial"/>
                <w:color w:val="000000"/>
                <w:sz w:val="20"/>
              </w:rPr>
              <w:t>(iii) the concealment of a material fact;</w:t>
            </w:r>
          </w:p>
          <w:p w:rsidR="004729FB" w:rsidRDefault="004729FB" w:rsidP="00713DA5">
            <w:pPr>
              <w:spacing w:before="60" w:line="260" w:lineRule="atLeast"/>
              <w:ind w:left="860" w:right="360"/>
              <w:jc w:val="both"/>
            </w:pPr>
            <w:r>
              <w:rPr>
                <w:rFonts w:ascii="Arial" w:eastAsia="Arial" w:hAnsi="Arial" w:cs="Arial"/>
                <w:color w:val="000000"/>
                <w:sz w:val="20"/>
              </w:rPr>
              <w:lastRenderedPageBreak/>
              <w:t>(iv) the use of a false name or address;</w:t>
            </w:r>
          </w:p>
          <w:p w:rsidR="004729FB" w:rsidRDefault="004729FB" w:rsidP="00713DA5">
            <w:pPr>
              <w:spacing w:before="60" w:line="260" w:lineRule="atLeast"/>
              <w:ind w:left="860" w:right="360"/>
              <w:jc w:val="both"/>
            </w:pPr>
            <w:r>
              <w:rPr>
                <w:rFonts w:ascii="Arial" w:eastAsia="Arial" w:hAnsi="Arial" w:cs="Arial"/>
                <w:color w:val="000000"/>
                <w:sz w:val="20"/>
              </w:rPr>
              <w:t>(v) falsely assuming the title of or representing to be a manufacturer, distributor, or authorized provider; or</w:t>
            </w:r>
          </w:p>
          <w:p w:rsidR="004729FB" w:rsidRDefault="004729FB" w:rsidP="00713DA5">
            <w:pPr>
              <w:spacing w:before="60" w:line="260" w:lineRule="atLeast"/>
              <w:ind w:left="860" w:right="360"/>
              <w:jc w:val="both"/>
            </w:pPr>
            <w:r>
              <w:rPr>
                <w:rFonts w:ascii="Arial" w:eastAsia="Arial" w:hAnsi="Arial" w:cs="Arial"/>
                <w:color w:val="000000"/>
                <w:sz w:val="20"/>
              </w:rPr>
              <w:t>(vi) making, issuing, or presenting a false or counterfeit prescription or written order.</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1886" w:history="1">
              <w:r>
                <w:rPr>
                  <w:rFonts w:ascii="Arial" w:eastAsia="Arial" w:hAnsi="Arial" w:cs="Arial"/>
                  <w:i/>
                  <w:color w:val="0077CC"/>
                  <w:sz w:val="20"/>
                  <w:u w:val="single"/>
                </w:rPr>
                <w:t>Douglass v. State, 78 Md. App. 328, 552 A.2d 1371 (1989),</w:t>
              </w:r>
            </w:hyperlink>
            <w:r>
              <w:rPr>
                <w:rFonts w:ascii="Arial" w:eastAsia="Arial" w:hAnsi="Arial" w:cs="Arial"/>
                <w:color w:val="000000"/>
                <w:sz w:val="20"/>
              </w:rPr>
              <w:t xml:space="preserve"> the Court of Special Appeals interpreted the virtually identical predecessor of CRIM. LAW I § 5-601, MD. CODE ANN., ART. 27, § 287(b). The issue was "whether the alteration of a prescription or the use of a false name to obtain a controlled dangerous substance will support a conviction for obtaining or attempting to obtain such substance by 'fraud, deceit, misrepresentation or subterfuge.'" The Court said no, invoking a traditional rule of statutory construction.</w:t>
            </w:r>
          </w:p>
          <w:p w:rsidR="004729FB" w:rsidRDefault="004729FB" w:rsidP="00713DA5">
            <w:pPr>
              <w:spacing w:before="240" w:line="260" w:lineRule="atLeast"/>
              <w:ind w:left="460" w:right="360"/>
              <w:jc w:val="both"/>
            </w:pPr>
            <w:r>
              <w:rPr>
                <w:rFonts w:ascii="Arial" w:eastAsia="Arial" w:hAnsi="Arial" w:cs="Arial"/>
                <w:color w:val="000000"/>
                <w:sz w:val="20"/>
              </w:rPr>
              <w:t xml:space="preserve">"[W]here there is a specific enactment and a general enactment, and the general enactment includes what is embraced in the former, the particular enactment is operative </w:t>
            </w:r>
            <w:r>
              <w:rPr>
                <w:rFonts w:ascii="Arial" w:eastAsia="Arial" w:hAnsi="Arial" w:cs="Arial"/>
                <w:i/>
                <w:color w:val="000000"/>
                <w:sz w:val="20"/>
              </w:rPr>
              <w:t>and the general enactment governs only such cases within its general language as are not within the provisions of the specific enactment</w:t>
            </w:r>
            <w:r>
              <w:rPr>
                <w:rFonts w:ascii="Arial" w:eastAsia="Arial" w:hAnsi="Arial" w:cs="Arial"/>
                <w:color w:val="000000"/>
                <w:sz w:val="20"/>
              </w:rPr>
              <w:t xml:space="preserve">." (Emphasis in original) (citing </w:t>
            </w:r>
            <w:hyperlink r:id="rId1887" w:history="1">
              <w:r>
                <w:rPr>
                  <w:rFonts w:ascii="Arial" w:eastAsia="Arial" w:hAnsi="Arial" w:cs="Arial"/>
                  <w:i/>
                  <w:color w:val="0077CC"/>
                  <w:sz w:val="20"/>
                  <w:u w:val="single"/>
                </w:rPr>
                <w:t>Passnault v. Board of Admin. Appeals, 309 Md. 466, 475, 525 A.2d 222 (1987);</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1888" w:history="1">
              <w:r>
                <w:rPr>
                  <w:rFonts w:ascii="Arial" w:eastAsia="Arial" w:hAnsi="Arial" w:cs="Arial"/>
                  <w:i/>
                  <w:color w:val="0077CC"/>
                  <w:sz w:val="20"/>
                  <w:u w:val="single"/>
                </w:rPr>
                <w:t>Lumbermen's Mut. Casualty v. Ins. Comm'r, 302 Md. 248, 268-69, 487 A.2d 271 (1985);</w:t>
              </w:r>
            </w:hyperlink>
            <w:r>
              <w:rPr>
                <w:rFonts w:ascii="Arial" w:eastAsia="Arial" w:hAnsi="Arial" w:cs="Arial"/>
                <w:color w:val="000000"/>
                <w:sz w:val="20"/>
              </w:rPr>
              <w:t xml:space="preserve"> </w:t>
            </w:r>
            <w:hyperlink r:id="rId1889" w:history="1">
              <w:r>
                <w:rPr>
                  <w:rFonts w:ascii="Arial" w:eastAsia="Arial" w:hAnsi="Arial" w:cs="Arial"/>
                  <w:i/>
                  <w:color w:val="0077CC"/>
                  <w:sz w:val="20"/>
                  <w:u w:val="single"/>
                </w:rPr>
                <w:t>Criminal Inj. Comp. Bd. v. Gould, 273 Md. 486, 494-95, 331 A.2d 55 (1975)).</w:t>
              </w:r>
            </w:hyperlink>
          </w:p>
          <w:p w:rsidR="004729FB" w:rsidRDefault="004729FB" w:rsidP="00713DA5">
            <w:pPr>
              <w:spacing w:before="20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at 335, 552 A.2d at 1374.</w:t>
            </w:r>
          </w:p>
          <w:p w:rsidR="004729FB" w:rsidRDefault="004729FB" w:rsidP="00713DA5">
            <w:pPr>
              <w:spacing w:before="200" w:line="260" w:lineRule="atLeast"/>
              <w:ind w:left="60" w:right="360"/>
              <w:jc w:val="both"/>
            </w:pPr>
            <w:r>
              <w:rPr>
                <w:rFonts w:ascii="Arial" w:eastAsia="Arial" w:hAnsi="Arial" w:cs="Arial"/>
                <w:color w:val="000000"/>
                <w:sz w:val="20"/>
              </w:rPr>
              <w:t xml:space="preserve">The Court pointed out that the legislative intent behind ART. 27, § 287(b), and thus behind CRIM. LAW I § 5-601, which was derived from it without substantive change, </w:t>
            </w:r>
            <w:r>
              <w:rPr>
                <w:rFonts w:ascii="Arial" w:eastAsia="Arial" w:hAnsi="Arial" w:cs="Arial"/>
                <w:i/>
                <w:color w:val="000000"/>
                <w:sz w:val="20"/>
              </w:rPr>
              <w:t>see</w:t>
            </w:r>
            <w:r>
              <w:rPr>
                <w:rFonts w:ascii="Arial" w:eastAsia="Arial" w:hAnsi="Arial" w:cs="Arial"/>
                <w:color w:val="000000"/>
                <w:sz w:val="20"/>
              </w:rPr>
              <w:t xml:space="preserve"> Revisor's Note, was "in complete harmony with [the quoted] rule of construction and so gives it a special validity and significance in this case." </w:t>
            </w:r>
            <w:r>
              <w:rPr>
                <w:rFonts w:ascii="Arial" w:eastAsia="Arial" w:hAnsi="Arial" w:cs="Arial"/>
                <w:i/>
                <w:color w:val="000000"/>
                <w:sz w:val="20"/>
              </w:rPr>
              <w:t>Id.</w:t>
            </w:r>
          </w:p>
          <w:p w:rsidR="004729FB" w:rsidRDefault="004729FB" w:rsidP="00713DA5">
            <w:pPr>
              <w:spacing w:before="200" w:line="260" w:lineRule="atLeast"/>
              <w:ind w:left="60" w:right="360"/>
              <w:jc w:val="both"/>
            </w:pPr>
            <w:r>
              <w:rPr>
                <w:rFonts w:ascii="Arial" w:eastAsia="Arial" w:hAnsi="Arial" w:cs="Arial"/>
                <w:color w:val="000000"/>
                <w:sz w:val="20"/>
              </w:rPr>
              <w:t>The Court distinguished the separate crimes listed in § 5-601 from the "unitary" crimes in theft and sexual offense statutes:</w:t>
            </w:r>
          </w:p>
          <w:p w:rsidR="004729FB" w:rsidRDefault="004729FB" w:rsidP="00713DA5">
            <w:pPr>
              <w:spacing w:before="60" w:line="260" w:lineRule="atLeast"/>
              <w:ind w:left="460" w:right="360"/>
              <w:jc w:val="both"/>
            </w:pPr>
            <w:r>
              <w:rPr>
                <w:rFonts w:ascii="Arial" w:eastAsia="Arial" w:hAnsi="Arial" w:cs="Arial"/>
                <w:color w:val="000000"/>
                <w:sz w:val="20"/>
              </w:rPr>
              <w:t>The carving out and the deliberate retention of the specific proscriptions [in § 5-601] suggests rather strongly that the Legislature intended to treat them separately, as separate offenses, and not as part of § 287(b)(1). This is not like the theft statute, Md. Ann. Code art. 27, § 342, or the sexual offense statutes, art. 27, §§ 462-464C, where the Legislature created unitary offenses but set forth several ways in which those offenses can be committed.</w:t>
            </w:r>
          </w:p>
          <w:p w:rsidR="004729FB" w:rsidRDefault="004729FB" w:rsidP="00713DA5">
            <w:pPr>
              <w:spacing w:before="200" w:line="260" w:lineRule="atLeast"/>
              <w:ind w:left="60" w:right="360"/>
              <w:jc w:val="both"/>
            </w:pPr>
            <w:r>
              <w:rPr>
                <w:rFonts w:ascii="Arial" w:eastAsia="Arial" w:hAnsi="Arial" w:cs="Arial"/>
                <w:i/>
                <w:color w:val="000000"/>
                <w:sz w:val="20"/>
              </w:rPr>
              <w:t>Id.</w:t>
            </w:r>
            <w:r>
              <w:rPr>
                <w:rFonts w:ascii="Arial" w:eastAsia="Arial" w:hAnsi="Arial" w:cs="Arial"/>
                <w:color w:val="000000"/>
                <w:sz w:val="20"/>
              </w:rPr>
              <w:t xml:space="preserve"> at 342, 552 A.2d at 1378.</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47" style="position:absolute;z-index:25197670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i/>
          <w:color w:val="000000"/>
          <w:sz w:val="20"/>
        </w:rPr>
        <w:t>See</w:t>
      </w:r>
      <w:r>
        <w:rPr>
          <w:rFonts w:ascii="Arial" w:eastAsia="Arial" w:hAnsi="Arial" w:cs="Arial"/>
          <w:color w:val="000000"/>
          <w:sz w:val="20"/>
        </w:rPr>
        <w:t xml:space="preserve"> Note on Use to MPJI-Cr 4:32.1.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55" style="position:absolute;left:0;text-align:left;z-index:25198489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7" name="Picture 11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896" w:history="1">
        <w:r>
          <w:rPr>
            <w:rFonts w:ascii="Arial" w:eastAsia="Arial" w:hAnsi="Arial" w:cs="Arial"/>
            <w:b/>
            <w:bCs/>
            <w:i/>
            <w:color w:val="0077CC"/>
            <w:kern w:val="32"/>
            <w:sz w:val="28"/>
            <w:szCs w:val="32"/>
            <w:u w:val="single"/>
          </w:rPr>
          <w:t>MPJI-Cr 4:24.14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SUBSTANCE--DISTRIBUTION, ATTEMPTED DISTRIBUTION, OR POSSESSION WITH INTENT TO DISTRIBUTE FAKED CONTROLLED DANGEROUS SUBSTANCE</w:t>
      </w:r>
    </w:p>
    <w:p w:rsidR="004729FB" w:rsidRDefault="004729FB" w:rsidP="004729FB">
      <w:pPr>
        <w:keepNext/>
        <w:spacing w:before="240" w:line="340" w:lineRule="atLeast"/>
      </w:pPr>
      <w:r>
        <w:br/>
      </w:r>
      <w:r>
        <w:rPr>
          <w:rFonts w:ascii="Arial" w:eastAsia="Arial" w:hAnsi="Arial" w:cs="Arial"/>
          <w:b/>
          <w:color w:val="000000"/>
          <w:sz w:val="28"/>
        </w:rPr>
        <w:t>4:24.14Narcotics and Controlled Dangerous Substance--Distribution, Attempted Distribution, or Possession with Intent to Distribute Faked Controlled Dangerous Substance</w:t>
      </w:r>
    </w:p>
    <w:p w:rsidR="004729FB" w:rsidRDefault="004729FB" w:rsidP="004729FB">
      <w:pPr>
        <w:spacing w:line="60" w:lineRule="exact"/>
      </w:pPr>
      <w:r>
        <w:pict>
          <v:line id="_x0000_s1338" style="position:absolute;z-index:2519674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[distribution of] [attempted distribution of] [possession with intent to distribute] a faked controlled dangerous substance.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[distributed] [attempted to distribute] [possessed with the intent to distribute] a noncontrolled substance and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(a) that the defendant represented a noncontrolled substance as a controlled dangerous substance; or</w:t>
      </w:r>
    </w:p>
    <w:p w:rsidR="004729FB" w:rsidRDefault="004729FB" w:rsidP="004729FB">
      <w:pPr>
        <w:spacing w:before="200" w:line="260" w:lineRule="atLeast"/>
        <w:ind w:left="800"/>
        <w:jc w:val="both"/>
      </w:pPr>
      <w:r>
        <w:rPr>
          <w:rFonts w:ascii="Arial" w:eastAsia="Arial" w:hAnsi="Arial" w:cs="Arial"/>
          <w:b/>
          <w:color w:val="000000"/>
          <w:sz w:val="20"/>
        </w:rPr>
        <w:t>(b) that the defendant intended the substance to be [used] [distributed] as a controlled dangerous substance; or</w:t>
      </w:r>
    </w:p>
    <w:p w:rsidR="004729FB" w:rsidRDefault="004729FB" w:rsidP="004729FB">
      <w:pPr>
        <w:spacing w:before="200" w:line="260" w:lineRule="atLeast"/>
        <w:ind w:left="800"/>
        <w:jc w:val="both"/>
      </w:pPr>
      <w:r>
        <w:rPr>
          <w:rFonts w:ascii="Arial" w:eastAsia="Arial" w:hAnsi="Arial" w:cs="Arial"/>
          <w:b/>
          <w:color w:val="000000"/>
          <w:sz w:val="20"/>
        </w:rPr>
        <w:t>(c) that the defendant acted under circumstances where [he] [she] reasonably should have known that the noncontrolled substance would be [used] [distributed for use] as a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determining whether the defendant committed this offense, you shall consider these factors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whether the noncontrolled substance was packaged in a manner normally used to distribute a controlled dangerous substance illegally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whether the [distribution] [attempted distribution] included an exchange of or demand for money or other property as payment, and whether the amount of payment was substantially greater than the reasonable value of the noncontrolled substance; and</w:t>
      </w:r>
    </w:p>
    <w:p w:rsidR="004729FB" w:rsidRDefault="004729FB" w:rsidP="004729FB">
      <w:pPr>
        <w:spacing w:before="200" w:line="260" w:lineRule="atLeast"/>
        <w:ind w:left="400"/>
        <w:jc w:val="both"/>
      </w:pPr>
      <w:r>
        <w:rPr>
          <w:rFonts w:ascii="Arial" w:eastAsia="Arial" w:hAnsi="Arial" w:cs="Arial"/>
          <w:b/>
          <w:color w:val="000000"/>
          <w:sz w:val="20"/>
        </w:rPr>
        <w:t>(3) whether the physical appearance of the noncontrolled substance was substantially identical to that of a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It is not a defense to this crime that the defendant believed that the noncontrolled substance was a controlled dangerous substance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lastRenderedPageBreak/>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4:24.2 (Narcotics and Controlled Dangerous Substance--Distribution).</w:t>
            </w:r>
          </w:p>
          <w:p w:rsidR="004729FB" w:rsidRDefault="004729FB" w:rsidP="00713DA5">
            <w:pPr>
              <w:spacing w:before="240" w:line="260" w:lineRule="atLeast"/>
              <w:ind w:left="60" w:right="360"/>
              <w:jc w:val="both"/>
            </w:pPr>
            <w:r>
              <w:rPr>
                <w:rFonts w:ascii="Arial" w:eastAsia="Arial" w:hAnsi="Arial" w:cs="Arial"/>
                <w:color w:val="000000"/>
                <w:sz w:val="20"/>
              </w:rPr>
              <w:t xml:space="preserve">To prove that a defendant violated CRIM. LAW I § 5-617, the State must prove first, that the defendant distributed, attempted to distribute, or possessed with the intent to distribute a noncontrolled substance, and second, that he or she did so by misrepresenting that the substance was a CDS, or intending that the substance be used or distributed as a CDS, or under circumstances under which he or she reasonably should have known this. Mere possession of the substance alone is not a crime. Rather, the gist of the crime is the intent to distribute the substance fraudulently as a controlled dangerous substance. </w:t>
            </w:r>
            <w:r>
              <w:rPr>
                <w:rFonts w:ascii="Arial" w:eastAsia="Arial" w:hAnsi="Arial" w:cs="Arial"/>
                <w:i/>
                <w:color w:val="000000"/>
                <w:sz w:val="20"/>
              </w:rPr>
              <w:t xml:space="preserve">See </w:t>
            </w:r>
            <w:hyperlink r:id="rId1897" w:history="1">
              <w:r>
                <w:rPr>
                  <w:rFonts w:ascii="Arial" w:eastAsia="Arial" w:hAnsi="Arial" w:cs="Arial"/>
                  <w:i/>
                  <w:color w:val="0077CC"/>
                  <w:sz w:val="20"/>
                  <w:u w:val="single"/>
                </w:rPr>
                <w:t>In re Timothy F., 343 Md. 371, 381, 681 A.2d 501, 506 (1996)</w:t>
              </w:r>
            </w:hyperlink>
            <w:r>
              <w:rPr>
                <w:rFonts w:ascii="Arial" w:eastAsia="Arial" w:hAnsi="Arial" w:cs="Arial"/>
                <w:color w:val="000000"/>
                <w:sz w:val="20"/>
              </w:rPr>
              <w:t xml:space="preserve"> ("[T]he State had the burden of proving, beyond a reasonable doubt, both that the petitioner intended to distribute the noncontrolled substance in his possession to a third party and that, in doing so, he intended to misrepresent the substance as a CDS.").</w:t>
            </w:r>
          </w:p>
          <w:p w:rsidR="004729FB" w:rsidRDefault="004729FB" w:rsidP="00713DA5">
            <w:pPr>
              <w:spacing w:before="240" w:line="260" w:lineRule="atLeast"/>
              <w:ind w:left="60" w:right="360"/>
              <w:jc w:val="both"/>
            </w:pPr>
            <w:r>
              <w:rPr>
                <w:rFonts w:ascii="Arial" w:eastAsia="Arial" w:hAnsi="Arial" w:cs="Arial"/>
                <w:color w:val="000000"/>
                <w:sz w:val="20"/>
              </w:rPr>
              <w:t xml:space="preserve">Often, the proof of mens rea will depend on several factors. MPJI-Cr 4:24.14 tracks the text of CRIM. LAW I § 5-617(b) in its list of factors that a judge or jury, in determining whether a person has violated this section, "shall include in its consideration." </w:t>
            </w:r>
            <w:r>
              <w:rPr>
                <w:rFonts w:ascii="Arial" w:eastAsia="Arial" w:hAnsi="Arial" w:cs="Arial"/>
                <w:i/>
                <w:color w:val="000000"/>
                <w:sz w:val="20"/>
              </w:rPr>
              <w:t>Id.</w:t>
            </w:r>
            <w:r>
              <w:rPr>
                <w:rFonts w:ascii="Arial" w:eastAsia="Arial" w:hAnsi="Arial" w:cs="Arial"/>
                <w:color w:val="000000"/>
                <w:sz w:val="20"/>
              </w:rPr>
              <w:t xml:space="preserve"> The Court of Appeals has said that "a person in possession of a noncontrolled substance that looks, and is packaged, like a CDS and is in an amount which, were it a CDS, would indicate an intent to distribute, may, if circumstances warrant, be found by the trier of fact to have possessed it with intent to distribute it as a CDS." </w:t>
            </w:r>
            <w:hyperlink r:id="rId1898" w:history="1">
              <w:r>
                <w:rPr>
                  <w:rFonts w:ascii="Arial" w:eastAsia="Arial" w:hAnsi="Arial" w:cs="Arial"/>
                  <w:i/>
                  <w:color w:val="0077CC"/>
                  <w:sz w:val="20"/>
                  <w:u w:val="single"/>
                </w:rPr>
                <w:t>In re Timothy F., 343 Md. at 382, 681 A.2d at 507.</w:t>
              </w:r>
            </w:hyperlink>
          </w:p>
          <w:p w:rsidR="004729FB" w:rsidRDefault="004729FB" w:rsidP="00713DA5">
            <w:pPr>
              <w:spacing w:before="200" w:line="260" w:lineRule="atLeast"/>
              <w:ind w:left="60" w:right="360"/>
              <w:jc w:val="both"/>
            </w:pPr>
            <w:r>
              <w:rPr>
                <w:rFonts w:ascii="Arial" w:eastAsia="Arial" w:hAnsi="Arial" w:cs="Arial"/>
                <w:color w:val="000000"/>
                <w:sz w:val="20"/>
              </w:rPr>
              <w:t>The Court of Appeals also has described the "two significant differences between possession of a CDS with intent to distribute and possession of a non-CDS with intent to distribute it as a CDS."</w:t>
            </w:r>
          </w:p>
          <w:p w:rsidR="004729FB" w:rsidRDefault="004729FB" w:rsidP="00713DA5">
            <w:pPr>
              <w:spacing w:before="60" w:line="260" w:lineRule="atLeast"/>
              <w:ind w:left="460" w:right="360"/>
              <w:jc w:val="both"/>
            </w:pPr>
            <w:r>
              <w:rPr>
                <w:rFonts w:ascii="Arial" w:eastAsia="Arial" w:hAnsi="Arial" w:cs="Arial"/>
                <w:color w:val="000000"/>
                <w:sz w:val="20"/>
              </w:rPr>
              <w:t>The first significant difference is that in the former the mere possession of the CDS is a crime and the intent to distribute increases the degree of the crime. In the latter, possession alone is not a crime, but the gist of the crime is the intent fraudulently to distribute the substance as a CDS. The second significant difference is that the former crime requires only an intent to distribute, but the latter requires two intents: 1) the intent to distribute and 2) the intent to misrepresent the substance being distributed as a CDS.</w:t>
            </w:r>
          </w:p>
          <w:p w:rsidR="004729FB" w:rsidRDefault="004729FB" w:rsidP="00713DA5">
            <w:pPr>
              <w:spacing w:before="240" w:line="260" w:lineRule="atLeast"/>
              <w:ind w:left="60" w:right="360"/>
              <w:jc w:val="both"/>
            </w:pPr>
            <w:hyperlink r:id="rId1899" w:history="1">
              <w:r>
                <w:rPr>
                  <w:rFonts w:ascii="Arial" w:eastAsia="Arial" w:hAnsi="Arial" w:cs="Arial"/>
                  <w:i/>
                  <w:color w:val="0077CC"/>
                  <w:sz w:val="20"/>
                  <w:u w:val="single"/>
                </w:rPr>
                <w:t>Id. at 384, 681 A.2d at 508.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State may prove the nature of a suspected noncontrolled dangerous substance by both circumstantial and direct evidence. If the precise chemical composition of the substance is unknown, the State may employ a process of elimination to establish the substance is not a controlled dangerous substance. </w:t>
            </w:r>
            <w:hyperlink r:id="rId1900" w:history="1">
              <w:r>
                <w:rPr>
                  <w:rFonts w:ascii="Arial" w:eastAsia="Arial" w:hAnsi="Arial" w:cs="Arial"/>
                  <w:i/>
                  <w:color w:val="0077CC"/>
                  <w:sz w:val="20"/>
                  <w:u w:val="single"/>
                </w:rPr>
                <w:t>Rivers v. State, 393 Md. 569, 903 A.2d 908 (2006).</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48" style="position:absolute;left:0;text-align:left;z-index:2519777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6" name="Picture 11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07" w:history="1">
        <w:r>
          <w:rPr>
            <w:rFonts w:ascii="Arial" w:eastAsia="Arial" w:hAnsi="Arial" w:cs="Arial"/>
            <w:b/>
            <w:bCs/>
            <w:i/>
            <w:color w:val="0077CC"/>
            <w:kern w:val="32"/>
            <w:sz w:val="28"/>
            <w:szCs w:val="32"/>
            <w:u w:val="single"/>
          </w:rPr>
          <w:t>MPJI-Cr 4:24.15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SUBSTANCE--FALSE PRESCRIPTION</w:t>
      </w:r>
    </w:p>
    <w:p w:rsidR="004729FB" w:rsidRDefault="004729FB" w:rsidP="004729FB">
      <w:pPr>
        <w:keepNext/>
        <w:spacing w:before="240" w:line="340" w:lineRule="atLeast"/>
      </w:pPr>
      <w:r>
        <w:br/>
      </w:r>
      <w:r>
        <w:rPr>
          <w:rFonts w:ascii="Arial" w:eastAsia="Arial" w:hAnsi="Arial" w:cs="Arial"/>
          <w:b/>
          <w:color w:val="000000"/>
          <w:sz w:val="28"/>
        </w:rPr>
        <w:t>4:24.15Narcotics and Controlled Dangerous Substance--False Prescription</w:t>
      </w:r>
    </w:p>
    <w:p w:rsidR="004729FB" w:rsidRDefault="004729FB" w:rsidP="004729FB">
      <w:pPr>
        <w:spacing w:line="60" w:lineRule="exact"/>
      </w:pPr>
      <w:r>
        <w:pict>
          <v:line id="_x0000_s1339" style="position:absolute;z-index:2519685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[passing] [issuing] [making] [possessing] a [false] [counterfeit] [altered] prescription for (controlled dangerous substance), which is a controlled dangerous substance, with intent to distribute the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[passed] [issued] [made] [possessed] a prescription for (</w:t>
      </w:r>
      <w:r>
        <w:rPr>
          <w:rFonts w:ascii="Arial" w:eastAsia="Arial" w:hAnsi="Arial" w:cs="Arial"/>
          <w:b/>
          <w:color w:val="000000"/>
          <w:sz w:val="20"/>
          <w:u w:val="single"/>
        </w:rPr>
        <w:t>controlled dangerous substance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prescription was [false] [counterfeit] [altered]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defendant knew the prescription was [false] [counterfeit] [altered]; and</w:t>
      </w:r>
    </w:p>
    <w:p w:rsidR="004729FB" w:rsidRDefault="004729FB" w:rsidP="004729FB">
      <w:pPr>
        <w:spacing w:before="200" w:line="260" w:lineRule="atLeast"/>
        <w:ind w:left="400"/>
        <w:jc w:val="both"/>
      </w:pPr>
      <w:r>
        <w:rPr>
          <w:rFonts w:ascii="Arial" w:eastAsia="Arial" w:hAnsi="Arial" w:cs="Arial"/>
          <w:b/>
          <w:color w:val="000000"/>
          <w:sz w:val="20"/>
        </w:rPr>
        <w:t>(4) that the defendant intended to distribute the (</w:t>
      </w:r>
      <w:r>
        <w:rPr>
          <w:rFonts w:ascii="Arial" w:eastAsia="Arial" w:hAnsi="Arial" w:cs="Arial"/>
          <w:b/>
          <w:color w:val="000000"/>
          <w:sz w:val="20"/>
          <w:u w:val="single"/>
        </w:rPr>
        <w:t>controlled dangerous substance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[Counterfeit means to forge, materially alter, or falsely make.] [Materially alter means to change in an important or substantial way.]</w:t>
      </w:r>
    </w:p>
    <w:p w:rsidR="004729FB" w:rsidRDefault="004729FB" w:rsidP="004729FB">
      <w:pPr>
        <w:spacing w:before="200" w:line="260" w:lineRule="atLeast"/>
        <w:jc w:val="both"/>
      </w:pPr>
      <w:r>
        <w:rPr>
          <w:rFonts w:ascii="Arial" w:eastAsia="Arial" w:hAnsi="Arial" w:cs="Arial"/>
          <w:b/>
          <w:color w:val="000000"/>
          <w:sz w:val="20"/>
        </w:rPr>
        <w:t>No specific quantity is required for you to find the intent to distribute. There is no specific amount below which the intent to distribute disappears and there is no specific amount above which the intent to distribute appears. You may consider the quantity of the controlled dangerous substance along with all other circumstances in determining whether the defendant intended to distribute the controlled dangerous substance</w:t>
      </w:r>
      <w:r>
        <w:rPr>
          <w:rFonts w:ascii="Arial" w:eastAsia="Arial" w:hAnsi="Arial" w:cs="Arial"/>
          <w:color w:val="000000"/>
          <w:sz w:val="20"/>
        </w:rPr>
        <w:t>.</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49" style="position:absolute;left:0;text-align:left;z-index:2519787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5" name="Picture 11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14" w:history="1">
        <w:r>
          <w:rPr>
            <w:rFonts w:ascii="Arial" w:eastAsia="Arial" w:hAnsi="Arial" w:cs="Arial"/>
            <w:b/>
            <w:bCs/>
            <w:i/>
            <w:color w:val="0077CC"/>
            <w:kern w:val="32"/>
            <w:sz w:val="28"/>
            <w:szCs w:val="32"/>
            <w:u w:val="single"/>
          </w:rPr>
          <w:t>MPJI-Cr 4:24.16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SUBSTANCE--USE OF A MINOR IN THE SALE OR DISTRIBUTION OF A CONTROLLED DANGEROUS SUBSTANCE</w:t>
      </w:r>
    </w:p>
    <w:p w:rsidR="004729FB" w:rsidRDefault="004729FB" w:rsidP="004729FB">
      <w:pPr>
        <w:keepNext/>
        <w:spacing w:before="240" w:line="340" w:lineRule="atLeast"/>
      </w:pPr>
      <w:r>
        <w:br/>
      </w:r>
      <w:r>
        <w:rPr>
          <w:rFonts w:ascii="Arial" w:eastAsia="Arial" w:hAnsi="Arial" w:cs="Arial"/>
          <w:b/>
          <w:color w:val="000000"/>
          <w:sz w:val="28"/>
        </w:rPr>
        <w:t>4:24.16Narcotics and Controlled Dangerous Substance--Use of a Minor in the Sale or Distribution of a Controlled Dangerous Substance</w:t>
      </w:r>
    </w:p>
    <w:p w:rsidR="004729FB" w:rsidRDefault="004729FB" w:rsidP="004729FB">
      <w:pPr>
        <w:spacing w:line="60" w:lineRule="exact"/>
      </w:pPr>
      <w:r>
        <w:pict>
          <v:line id="_x0000_s1340" style="position:absolute;z-index:2519695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offense of use of a minor in the course of the sale or distribution of (</w:t>
      </w:r>
      <w:r>
        <w:rPr>
          <w:rFonts w:ascii="Arial" w:eastAsia="Arial" w:hAnsi="Arial" w:cs="Arial"/>
          <w:b/>
          <w:color w:val="000000"/>
          <w:sz w:val="20"/>
          <w:u w:val="single"/>
        </w:rPr>
        <w:t>controlled dangerous substance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[hired] [solicited] [engaged] [used] a minor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minor was [hired] [solicited] [engaged] [used] to [manufacture] [deliver] [distribute] (</w:t>
      </w:r>
      <w:r>
        <w:rPr>
          <w:rFonts w:ascii="Arial" w:eastAsia="Arial" w:hAnsi="Arial" w:cs="Arial"/>
          <w:b/>
          <w:color w:val="000000"/>
          <w:sz w:val="20"/>
          <w:u w:val="single"/>
        </w:rPr>
        <w:t>controlled dangerous substance</w:t>
      </w:r>
      <w:r>
        <w:rPr>
          <w:rFonts w:ascii="Arial" w:eastAsia="Arial" w:hAnsi="Arial" w:cs="Arial"/>
          <w:b/>
          <w:color w:val="000000"/>
          <w:sz w:val="20"/>
        </w:rPr>
        <w:t>) for the defendant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w:t>
      </w:r>
      <w:r>
        <w:rPr>
          <w:rFonts w:ascii="Arial" w:eastAsia="Arial" w:hAnsi="Arial" w:cs="Arial"/>
          <w:b/>
          <w:color w:val="000000"/>
          <w:sz w:val="20"/>
          <w:u w:val="single"/>
        </w:rPr>
        <w:t>controlled dangerous substance</w:t>
      </w:r>
      <w:r>
        <w:rPr>
          <w:rFonts w:ascii="Arial" w:eastAsia="Arial" w:hAnsi="Arial" w:cs="Arial"/>
          <w:b/>
          <w:color w:val="000000"/>
          <w:sz w:val="20"/>
        </w:rPr>
        <w:t>) was in sufficient quantity to indicate an intent to distribute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No specific quantity is required for you to find the intent to distribute. There is no specific amount below which the intent to distribute disappears and there is no specific amount above which the intent to distribute appears. You may consider the quantity of the controlled dangerous substance along with all other circumstances in determining whether the defendant intended to distribute the controlled dangerous substance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minor is a person under the age of 18</w:t>
      </w:r>
      <w:r>
        <w:rPr>
          <w:rFonts w:ascii="Arial" w:eastAsia="Arial" w:hAnsi="Arial" w:cs="Arial"/>
          <w:color w:val="000000"/>
          <w:sz w:val="20"/>
        </w:rPr>
        <w:t>.</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50" style="position:absolute;left:0;text-align:left;z-index:25197977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4" name="Picture 11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21" w:history="1">
        <w:r>
          <w:rPr>
            <w:rFonts w:ascii="Arial" w:eastAsia="Arial" w:hAnsi="Arial" w:cs="Arial"/>
            <w:b/>
            <w:bCs/>
            <w:i/>
            <w:color w:val="0077CC"/>
            <w:kern w:val="32"/>
            <w:sz w:val="28"/>
            <w:szCs w:val="32"/>
            <w:u w:val="single"/>
          </w:rPr>
          <w:t>MPJI-Cr 4:24.17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NARCOTICS AND CONTROLLED DANGEROUS SUBSTANCE--CONTROLLED DANGEROUS SUBSTANCE NEAR SCHOOL</w:t>
      </w:r>
    </w:p>
    <w:p w:rsidR="004729FB" w:rsidRDefault="004729FB" w:rsidP="004729FB">
      <w:pPr>
        <w:keepNext/>
        <w:spacing w:before="240" w:line="340" w:lineRule="atLeast"/>
      </w:pPr>
      <w:r>
        <w:br/>
      </w:r>
      <w:r>
        <w:rPr>
          <w:rFonts w:ascii="Arial" w:eastAsia="Arial" w:hAnsi="Arial" w:cs="Arial"/>
          <w:b/>
          <w:color w:val="000000"/>
          <w:sz w:val="28"/>
        </w:rPr>
        <w:t>4:24.17Narcotics and Controlled Dangerous Substance--Controlled Dangerous Substance Near School</w:t>
      </w:r>
    </w:p>
    <w:p w:rsidR="004729FB" w:rsidRDefault="004729FB" w:rsidP="004729FB">
      <w:pPr>
        <w:spacing w:line="60" w:lineRule="exact"/>
      </w:pPr>
      <w:r>
        <w:pict>
          <v:line id="_x0000_s1341" style="position:absolute;z-index:2519705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[manufacture of] [distribution of] [dispensing] [possession with intent to distribute] a controlled dangerous substance in or near a school</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[manufactured] [distributed] [dispensed] [possessed with intent to distribute] a controlled dangerous substance, as previously instructed; and</w:t>
      </w:r>
    </w:p>
    <w:p w:rsidR="004729FB" w:rsidRDefault="004729FB" w:rsidP="004729FB">
      <w:pPr>
        <w:spacing w:before="200" w:line="260" w:lineRule="atLeast"/>
        <w:ind w:left="400"/>
        <w:jc w:val="both"/>
      </w:pPr>
      <w:r>
        <w:rPr>
          <w:rFonts w:ascii="Arial" w:eastAsia="Arial" w:hAnsi="Arial" w:cs="Arial"/>
          <w:b/>
          <w:color w:val="000000"/>
          <w:sz w:val="20"/>
        </w:rPr>
        <w:t>(2) that the defendant committed the offense [in a school vehicle] or [in] [on] [within 1,000 feet of] real property owned or leased to an elementary school, secondary school, or county board and used for elementary or secondary education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This provision applies whether or not school was in session, and whether or not the property was being used for purposes other than school at the time of the offense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school vehicle is a motor vehicle regularly used for the exclusive transportation of children, students or teachers for educational purposes or in connection with school activities. A school vehicle does not include privately owned vehicles used to transport household members.]</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1922" w:history="1">
              <w:r>
                <w:rPr>
                  <w:rFonts w:ascii="Arial" w:eastAsia="Arial" w:hAnsi="Arial" w:cs="Arial"/>
                  <w:i/>
                  <w:color w:val="0077CC"/>
                  <w:sz w:val="20"/>
                  <w:u w:val="single"/>
                </w:rPr>
                <w:t>Dawson v. State, 329 Md. 275, 619 A.2d 111 (1993),</w:t>
              </w:r>
            </w:hyperlink>
            <w:r>
              <w:rPr>
                <w:rFonts w:ascii="Arial" w:eastAsia="Arial" w:hAnsi="Arial" w:cs="Arial"/>
                <w:color w:val="000000"/>
                <w:sz w:val="20"/>
              </w:rPr>
              <w:t xml:space="preserve"> the Court rejected a substantive due process challenge to the predecessor of CRIM. LAW I § 5-627, MD. CODE ANN., ART. 27, § 286D. The Court held that the statute bore "'a real and substantial relation to the public health, morals, safety, and welfare of the citizens of this state.'" </w:t>
            </w:r>
            <w:hyperlink r:id="rId1923" w:history="1">
              <w:r>
                <w:rPr>
                  <w:rFonts w:ascii="Arial" w:eastAsia="Arial" w:hAnsi="Arial" w:cs="Arial"/>
                  <w:i/>
                  <w:color w:val="0077CC"/>
                  <w:sz w:val="20"/>
                  <w:u w:val="single"/>
                </w:rPr>
                <w:t>Dawson, 329 Md. at 283, 619 A.2d at 116</w:t>
              </w:r>
            </w:hyperlink>
            <w:r>
              <w:rPr>
                <w:rFonts w:ascii="Arial" w:eastAsia="Arial" w:hAnsi="Arial" w:cs="Arial"/>
                <w:color w:val="000000"/>
                <w:sz w:val="20"/>
              </w:rPr>
              <w:t xml:space="preserve"> (quoting </w:t>
            </w:r>
            <w:hyperlink r:id="rId1924" w:history="1">
              <w:r>
                <w:rPr>
                  <w:rFonts w:ascii="Arial" w:eastAsia="Arial" w:hAnsi="Arial" w:cs="Arial"/>
                  <w:i/>
                  <w:color w:val="0077CC"/>
                  <w:sz w:val="20"/>
                  <w:u w:val="single"/>
                </w:rPr>
                <w:t>Bowie Inn, Inc. v. City of Bowie, 274 Md. 230, 236, 335 A.2d 679, 683 (1975)).</w:t>
              </w:r>
            </w:hyperlink>
            <w:r>
              <w:rPr>
                <w:rFonts w:ascii="Arial" w:eastAsia="Arial" w:hAnsi="Arial" w:cs="Arial"/>
                <w:color w:val="000000"/>
                <w:sz w:val="20"/>
              </w:rPr>
              <w:t xml:space="preserve"> It did not matter that at the time of the drug transaction, "no children were present" or that the "school was closed." </w:t>
            </w:r>
            <w:hyperlink r:id="rId1925" w:history="1">
              <w:r>
                <w:rPr>
                  <w:rFonts w:ascii="Arial" w:eastAsia="Arial" w:hAnsi="Arial" w:cs="Arial"/>
                  <w:i/>
                  <w:color w:val="0077CC"/>
                  <w:sz w:val="20"/>
                  <w:u w:val="single"/>
                </w:rPr>
                <w:t>Dawson, 329 Md. at 287, 619 A.2d at 117.</w:t>
              </w:r>
            </w:hyperlink>
            <w:r>
              <w:rPr>
                <w:rFonts w:ascii="Arial" w:eastAsia="Arial" w:hAnsi="Arial" w:cs="Arial"/>
                <w:color w:val="000000"/>
                <w:sz w:val="20"/>
              </w:rPr>
              <w:t xml:space="preserve"> The Maryland General Assembly enacted the law as "a prophylactic device aimed at protecting children on or near school property." </w:t>
            </w:r>
            <w:r>
              <w:rPr>
                <w:rFonts w:ascii="Arial" w:eastAsia="Arial" w:hAnsi="Arial" w:cs="Arial"/>
                <w:i/>
                <w:color w:val="000000"/>
                <w:sz w:val="20"/>
              </w:rPr>
              <w:t>Id.</w:t>
            </w:r>
          </w:p>
          <w:p w:rsidR="004729FB" w:rsidRDefault="004729FB" w:rsidP="00713DA5">
            <w:pPr>
              <w:spacing w:before="240" w:line="260" w:lineRule="atLeast"/>
              <w:ind w:left="60" w:right="360"/>
              <w:jc w:val="both"/>
            </w:pPr>
            <w:r>
              <w:rPr>
                <w:rFonts w:ascii="Arial" w:eastAsia="Arial" w:hAnsi="Arial" w:cs="Arial"/>
                <w:color w:val="000000"/>
                <w:sz w:val="20"/>
              </w:rPr>
              <w:t xml:space="preserve">There are limits, however, to this "prophylactic" principle. When a school is closed for renovations and under construction, and "a high, chain-link fence surround[ed] the school building, a playground, and portions of </w:t>
            </w:r>
            <w:r>
              <w:rPr>
                <w:rFonts w:ascii="Arial" w:eastAsia="Arial" w:hAnsi="Arial" w:cs="Arial"/>
                <w:color w:val="000000"/>
                <w:sz w:val="20"/>
              </w:rPr>
              <w:lastRenderedPageBreak/>
              <w:t xml:space="preserve">the parking lot," and the "school's playing field was marked off by a bright orange fence and contained piles of construction debris," the buildings and grounds were not a "school" within the meaning of the law. </w:t>
            </w:r>
            <w:hyperlink r:id="rId1926" w:history="1">
              <w:r>
                <w:rPr>
                  <w:rFonts w:ascii="Arial" w:eastAsia="Arial" w:hAnsi="Arial" w:cs="Arial"/>
                  <w:i/>
                  <w:color w:val="0077CC"/>
                  <w:sz w:val="20"/>
                  <w:u w:val="single"/>
                </w:rPr>
                <w:t>Smith v. State, 176 Md. App. 64, 68, 932 A.2d 773, 775 (2007).</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There is no mens rea requirement, however, that a person have actual knowledge that he is within 1,000 feet of a school when he possesses a CDS with intent to distribute it. </w:t>
            </w:r>
            <w:hyperlink r:id="rId1927" w:history="1">
              <w:r>
                <w:rPr>
                  <w:rFonts w:ascii="Arial" w:eastAsia="Arial" w:hAnsi="Arial" w:cs="Arial"/>
                  <w:i/>
                  <w:color w:val="0077CC"/>
                  <w:sz w:val="20"/>
                  <w:u w:val="single"/>
                </w:rPr>
                <w:t>Smiley v. State, 138 Md. App. 709, 719, 773 A.2d 606, 612 (2001)</w:t>
              </w:r>
            </w:hyperlink>
            <w:r>
              <w:rPr>
                <w:rFonts w:ascii="Arial" w:eastAsia="Arial" w:hAnsi="Arial" w:cs="Arial"/>
                <w:color w:val="000000"/>
                <w:sz w:val="20"/>
              </w:rPr>
              <w:t xml:space="preserve"> ("To the extent that appellant argues that the State was required to prove that he intended to distribute cocaine in a school zone, we hold there is no such requirement.").</w:t>
            </w:r>
          </w:p>
          <w:p w:rsidR="004729FB" w:rsidRDefault="004729FB" w:rsidP="00713DA5">
            <w:pPr>
              <w:spacing w:before="200" w:line="260" w:lineRule="atLeast"/>
              <w:ind w:left="60" w:right="360"/>
              <w:jc w:val="both"/>
            </w:pPr>
            <w:r>
              <w:rPr>
                <w:rFonts w:ascii="Arial" w:eastAsia="Arial" w:hAnsi="Arial" w:cs="Arial"/>
                <w:color w:val="000000"/>
                <w:sz w:val="20"/>
              </w:rPr>
              <w:t xml:space="preserve">A conspiracy on school property to sell or distribute a CDS is enough, without an actual transaction, to come within the scope of CRIM. LAW I § 5-627. </w:t>
            </w:r>
            <w:hyperlink r:id="rId1928" w:history="1">
              <w:r>
                <w:rPr>
                  <w:rFonts w:ascii="Arial" w:eastAsia="Arial" w:hAnsi="Arial" w:cs="Arial"/>
                  <w:i/>
                  <w:color w:val="0077CC"/>
                  <w:sz w:val="20"/>
                  <w:u w:val="single"/>
                </w:rPr>
                <w:t>Velez v. State, 106 Md. App. 194, 664 A.2d 387 (1995).</w:t>
              </w:r>
            </w:hyperlink>
            <w:r>
              <w:rPr>
                <w:rFonts w:ascii="Arial" w:eastAsia="Arial" w:hAnsi="Arial" w:cs="Arial"/>
                <w:color w:val="000000"/>
                <w:sz w:val="20"/>
              </w:rPr>
              <w:t xml:space="preserve"> The statute explicitly reaches those who "conspire to commit any of [the prohibited] crimes," CRIM. LAW I § 5-627(a), within 1,000 feet of a school, and such a conspiracy is within the clear intent of the legislature in enacting § 5-627. </w:t>
            </w:r>
            <w:r>
              <w:rPr>
                <w:rFonts w:ascii="Arial" w:eastAsia="Arial" w:hAnsi="Arial" w:cs="Arial"/>
                <w:i/>
                <w:color w:val="000000"/>
                <w:sz w:val="20"/>
              </w:rPr>
              <w:t>Id.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51" style="position:absolute;left:0;text-align:left;z-index:2519808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3" name="Picture 11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35" w:history="1">
        <w:r>
          <w:rPr>
            <w:rFonts w:ascii="Arial" w:eastAsia="Arial" w:hAnsi="Arial" w:cs="Arial"/>
            <w:b/>
            <w:bCs/>
            <w:i/>
            <w:color w:val="0077CC"/>
            <w:kern w:val="32"/>
            <w:sz w:val="28"/>
            <w:szCs w:val="32"/>
            <w:u w:val="single"/>
          </w:rPr>
          <w:t>MPJI-Cr 4:26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PERJURY--TESTIMONIAL</w:t>
      </w:r>
    </w:p>
    <w:p w:rsidR="004729FB" w:rsidRDefault="004729FB" w:rsidP="004729FB">
      <w:pPr>
        <w:keepNext/>
        <w:spacing w:before="240" w:line="340" w:lineRule="atLeast"/>
      </w:pPr>
      <w:r>
        <w:br/>
      </w:r>
      <w:r>
        <w:rPr>
          <w:rFonts w:ascii="Arial" w:eastAsia="Arial" w:hAnsi="Arial" w:cs="Arial"/>
          <w:b/>
          <w:color w:val="000000"/>
          <w:sz w:val="28"/>
        </w:rPr>
        <w:t>4:26Perjury--Testimonial</w:t>
      </w:r>
    </w:p>
    <w:p w:rsidR="004729FB" w:rsidRDefault="004729FB" w:rsidP="004729FB">
      <w:pPr>
        <w:spacing w:line="60" w:lineRule="exact"/>
      </w:pPr>
      <w:r>
        <w:pict>
          <v:line id="_x0000_s1342" style="position:absolute;z-index:2519715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perjury. Perjury is deliberately testifying falsely under oath. In order to convict the defendant of perjury,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testified in (</w:t>
      </w:r>
      <w:r>
        <w:rPr>
          <w:rFonts w:ascii="Arial" w:eastAsia="Arial" w:hAnsi="Arial" w:cs="Arial"/>
          <w:b/>
          <w:color w:val="000000"/>
          <w:sz w:val="20"/>
          <w:u w:val="single"/>
        </w:rPr>
        <w:t>legal proceeding in court</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at that proceeding, the defendant [took an oath] [affirmed] to testify truthfully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while so testifying, the defendant gave false testimony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false testimony was given willfully rather than as a result of surprise, confusion, or honest mistake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(5) that the defendant knew or believed the testimony was false at the time it was given; and</w:t>
      </w:r>
    </w:p>
    <w:p w:rsidR="004729FB" w:rsidRDefault="004729FB" w:rsidP="004729FB">
      <w:pPr>
        <w:spacing w:before="200" w:line="260" w:lineRule="atLeast"/>
        <w:ind w:left="400"/>
        <w:jc w:val="both"/>
      </w:pPr>
      <w:r>
        <w:rPr>
          <w:rFonts w:ascii="Arial" w:eastAsia="Arial" w:hAnsi="Arial" w:cs="Arial"/>
          <w:b/>
          <w:color w:val="000000"/>
          <w:sz w:val="20"/>
        </w:rPr>
        <w:t>(6) that this false testimony was material, that is, it was capable of affecting the outcome of the proceeding</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(7) [If you find that the defendant, while under oath, made two or more declarations that are so inconsistent that one of them must necessarily be false, there is no need to determine which one is false.]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Testimonial perjury is a statutory offense encompassing the common law definition of perjury. CRIM. LAW II § 9-101(a)(1); </w:t>
            </w:r>
            <w:hyperlink r:id="rId1936" w:history="1">
              <w:r>
                <w:rPr>
                  <w:rFonts w:ascii="Arial" w:eastAsia="Arial" w:hAnsi="Arial" w:cs="Arial"/>
                  <w:i/>
                  <w:color w:val="0077CC"/>
                  <w:sz w:val="20"/>
                  <w:u w:val="single"/>
                </w:rPr>
                <w:t>Hourie v. State, 53 Md. App. 62, 67, 452 A.2d 440, 442-43 (1982),</w:t>
              </w:r>
            </w:hyperlink>
            <w:r>
              <w:rPr>
                <w:rFonts w:ascii="Arial" w:eastAsia="Arial" w:hAnsi="Arial" w:cs="Arial"/>
                <w:color w:val="000000"/>
                <w:sz w:val="20"/>
              </w:rPr>
              <w:t xml:space="preserve"> </w:t>
            </w:r>
            <w:r>
              <w:rPr>
                <w:rFonts w:ascii="Arial" w:eastAsia="Arial" w:hAnsi="Arial" w:cs="Arial"/>
                <w:i/>
                <w:color w:val="000000"/>
                <w:sz w:val="20"/>
              </w:rPr>
              <w:t>aff'd on other grounds</w:t>
            </w:r>
            <w:r>
              <w:rPr>
                <w:rFonts w:ascii="Arial" w:eastAsia="Arial" w:hAnsi="Arial" w:cs="Arial"/>
                <w:color w:val="000000"/>
                <w:sz w:val="20"/>
              </w:rPr>
              <w:t xml:space="preserve">, </w:t>
            </w:r>
            <w:hyperlink r:id="rId1937" w:history="1">
              <w:r>
                <w:rPr>
                  <w:rFonts w:ascii="Arial" w:eastAsia="Arial" w:hAnsi="Arial" w:cs="Arial"/>
                  <w:i/>
                  <w:color w:val="0077CC"/>
                  <w:sz w:val="20"/>
                  <w:u w:val="single"/>
                </w:rPr>
                <w:t>298 Md. 50, 467 A.2d 1016 (1983).</w:t>
              </w:r>
            </w:hyperlink>
            <w:r>
              <w:rPr>
                <w:rFonts w:ascii="Arial" w:eastAsia="Arial" w:hAnsi="Arial" w:cs="Arial"/>
                <w:color w:val="000000"/>
                <w:sz w:val="20"/>
              </w:rPr>
              <w:t xml:space="preserve"> To be the subject of perjury at common law, the testimony had to be given in a "judicial" proceeding. </w:t>
            </w:r>
            <w:hyperlink r:id="rId1938" w:history="1">
              <w:r>
                <w:rPr>
                  <w:rFonts w:ascii="Arial" w:eastAsia="Arial" w:hAnsi="Arial" w:cs="Arial"/>
                  <w:i/>
                  <w:color w:val="0077CC"/>
                  <w:sz w:val="20"/>
                  <w:u w:val="single"/>
                </w:rPr>
                <w:t>Gatewood v. State, 15 Md. App. 314, 318, 290 A.2d 551, 553 (1972)</w:t>
              </w:r>
            </w:hyperlink>
            <w:r>
              <w:rPr>
                <w:rFonts w:ascii="Arial" w:eastAsia="Arial" w:hAnsi="Arial" w:cs="Arial"/>
                <w:color w:val="000000"/>
                <w:sz w:val="20"/>
              </w:rPr>
              <w:t xml:space="preserve"> (citing 4 WILLIAM BLACKSTONE, COMMENTARIES ON THE LAW OF ENGLAND 137 (1902)); </w:t>
            </w:r>
            <w:r>
              <w:rPr>
                <w:rFonts w:ascii="Arial" w:eastAsia="Arial" w:hAnsi="Arial" w:cs="Arial"/>
                <w:i/>
                <w:color w:val="000000"/>
                <w:sz w:val="20"/>
              </w:rPr>
              <w:t xml:space="preserve">see also </w:t>
            </w:r>
            <w:hyperlink r:id="rId1939" w:history="1">
              <w:r>
                <w:rPr>
                  <w:rFonts w:ascii="Arial" w:eastAsia="Arial" w:hAnsi="Arial" w:cs="Arial"/>
                  <w:i/>
                  <w:color w:val="0077CC"/>
                  <w:sz w:val="20"/>
                  <w:u w:val="single"/>
                </w:rPr>
                <w:t>Smith v. State, 51 Md. App. 408, 419, 443 A.2d 985, 991 (1982),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1940" w:history="1">
              <w:r>
                <w:rPr>
                  <w:rFonts w:ascii="Arial" w:eastAsia="Arial" w:hAnsi="Arial" w:cs="Arial"/>
                  <w:i/>
                  <w:color w:val="0077CC"/>
                  <w:sz w:val="20"/>
                  <w:u w:val="single"/>
                </w:rPr>
                <w:t>293 Md. 618 (1992);</w:t>
              </w:r>
            </w:hyperlink>
            <w:r>
              <w:rPr>
                <w:rFonts w:ascii="Arial" w:eastAsia="Arial" w:hAnsi="Arial" w:cs="Arial"/>
                <w:color w:val="000000"/>
                <w:sz w:val="20"/>
              </w:rPr>
              <w:t xml:space="preserve"> </w:t>
            </w:r>
            <w:hyperlink r:id="rId1941" w:history="1">
              <w:r>
                <w:rPr>
                  <w:rFonts w:ascii="Arial" w:eastAsia="Arial" w:hAnsi="Arial" w:cs="Arial"/>
                  <w:i/>
                  <w:color w:val="0077CC"/>
                  <w:sz w:val="20"/>
                  <w:u w:val="single"/>
                </w:rPr>
                <w:t>State v. Levitt, 48 Md. App. 1, 9-10, 426 A.2d 383, 388-89 (1981).</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WILLIAM LAWRENCE CLARK &amp; WILLIAM LAWRENCE MARSHALL, A TREATISE ON THE LAW OF CRIMES § 14.03, at 1039-50 (7th ed. 1967); RICHARD P. GILBERT &amp; CHARLES E. MOYLAN, JR., MARYLAND CRIMINAL LAW: PRACTICE &amp; PROCEDURE §§ 9 </w:t>
            </w:r>
            <w:r>
              <w:rPr>
                <w:rFonts w:ascii="Arial" w:eastAsia="Arial" w:hAnsi="Arial" w:cs="Arial"/>
                <w:i/>
                <w:color w:val="000000"/>
                <w:sz w:val="20"/>
              </w:rPr>
              <w:t>et seq.</w:t>
            </w:r>
            <w:r>
              <w:rPr>
                <w:rFonts w:ascii="Arial" w:eastAsia="Arial" w:hAnsi="Arial" w:cs="Arial"/>
                <w:color w:val="000000"/>
                <w:sz w:val="20"/>
              </w:rPr>
              <w:t xml:space="preserve">, at 101-07 (1983 &amp; Supp. 1990); ROLLIN M. PERKINS &amp; RONALD N. BOYCE, CRIMINAL LAW 510-25 (3d ed. 1982). A judicial proceeding is one before "a court, agency, or official having </w:t>
            </w:r>
            <w:r>
              <w:rPr>
                <w:rFonts w:ascii="Arial" w:eastAsia="Arial" w:hAnsi="Arial" w:cs="Arial"/>
                <w:color w:val="000000"/>
                <w:sz w:val="20"/>
              </w:rPr>
              <w:lastRenderedPageBreak/>
              <w:t xml:space="preserve">jurisdiction to inquire into the matter which was the subject of the proceeding." </w:t>
            </w:r>
            <w:hyperlink r:id="rId1942" w:history="1">
              <w:r>
                <w:rPr>
                  <w:rFonts w:ascii="Arial" w:eastAsia="Arial" w:hAnsi="Arial" w:cs="Arial"/>
                  <w:i/>
                  <w:color w:val="0077CC"/>
                  <w:sz w:val="20"/>
                  <w:u w:val="single"/>
                </w:rPr>
                <w:t>Gatewood, 15 Md. App. at 318, 290 A.2d at 553</w:t>
              </w:r>
            </w:hyperlink>
            <w:r>
              <w:rPr>
                <w:rFonts w:ascii="Arial" w:eastAsia="Arial" w:hAnsi="Arial" w:cs="Arial"/>
                <w:color w:val="000000"/>
                <w:sz w:val="20"/>
              </w:rPr>
              <w:t xml:space="preserve"> (internal quotation marks and citation omitted); </w:t>
            </w:r>
            <w:r>
              <w:rPr>
                <w:rFonts w:ascii="Arial" w:eastAsia="Arial" w:hAnsi="Arial" w:cs="Arial"/>
                <w:i/>
                <w:color w:val="000000"/>
                <w:sz w:val="20"/>
              </w:rPr>
              <w:t>see</w:t>
            </w:r>
            <w:r>
              <w:rPr>
                <w:rFonts w:ascii="Arial" w:eastAsia="Arial" w:hAnsi="Arial" w:cs="Arial"/>
                <w:color w:val="000000"/>
                <w:sz w:val="20"/>
              </w:rPr>
              <w:t xml:space="preserve"> 4 FRANCIS WHARTON, CRIMINAL LAW § 614 (15th ed. 1993); </w:t>
            </w:r>
            <w:r>
              <w:rPr>
                <w:rFonts w:ascii="Arial" w:eastAsia="Arial" w:hAnsi="Arial" w:cs="Arial"/>
                <w:i/>
                <w:color w:val="000000"/>
                <w:sz w:val="20"/>
              </w:rPr>
              <w:t xml:space="preserve">e.g., </w:t>
            </w:r>
            <w:hyperlink r:id="rId1943" w:history="1">
              <w:r>
                <w:rPr>
                  <w:rFonts w:ascii="Arial" w:eastAsia="Arial" w:hAnsi="Arial" w:cs="Arial"/>
                  <w:i/>
                  <w:color w:val="0077CC"/>
                  <w:sz w:val="20"/>
                  <w:u w:val="single"/>
                </w:rPr>
                <w:t>State v. Mercer, 101 Md. 535, 61 A. 220 (1905)</w:t>
              </w:r>
            </w:hyperlink>
            <w:r>
              <w:rPr>
                <w:rFonts w:ascii="Arial" w:eastAsia="Arial" w:hAnsi="Arial" w:cs="Arial"/>
                <w:color w:val="000000"/>
                <w:sz w:val="20"/>
              </w:rPr>
              <w:t xml:space="preserve"> (false statement before an orphan's court); </w:t>
            </w:r>
            <w:hyperlink r:id="rId1944" w:history="1">
              <w:r>
                <w:rPr>
                  <w:rFonts w:ascii="Arial" w:eastAsia="Arial" w:hAnsi="Arial" w:cs="Arial"/>
                  <w:i/>
                  <w:color w:val="0077CC"/>
                  <w:sz w:val="20"/>
                  <w:u w:val="single"/>
                </w:rPr>
                <w:t>Izer v. State, 77 Md. 110, 26 A. 282 (1893)</w:t>
              </w:r>
            </w:hyperlink>
            <w:r>
              <w:rPr>
                <w:rFonts w:ascii="Arial" w:eastAsia="Arial" w:hAnsi="Arial" w:cs="Arial"/>
                <w:color w:val="000000"/>
                <w:sz w:val="20"/>
              </w:rPr>
              <w:t xml:space="preserve"> (false statement before a grand jury); </w:t>
            </w:r>
            <w:hyperlink r:id="rId1945" w:history="1">
              <w:r>
                <w:rPr>
                  <w:rFonts w:ascii="Arial" w:eastAsia="Arial" w:hAnsi="Arial" w:cs="Arial"/>
                  <w:i/>
                  <w:color w:val="0077CC"/>
                  <w:sz w:val="20"/>
                  <w:u w:val="single"/>
                </w:rPr>
                <w:t>State v. Bixler, 62 Md. 354 (1884)</w:t>
              </w:r>
            </w:hyperlink>
            <w:r>
              <w:rPr>
                <w:rFonts w:ascii="Arial" w:eastAsia="Arial" w:hAnsi="Arial" w:cs="Arial"/>
                <w:color w:val="000000"/>
                <w:sz w:val="20"/>
              </w:rPr>
              <w:t xml:space="preserve"> (false statement before an elections officer).</w:t>
            </w:r>
          </w:p>
          <w:p w:rsidR="004729FB" w:rsidRDefault="004729FB" w:rsidP="00713DA5">
            <w:pPr>
              <w:spacing w:before="200" w:line="260" w:lineRule="atLeast"/>
              <w:ind w:left="60" w:right="360"/>
              <w:jc w:val="both"/>
            </w:pPr>
            <w:r>
              <w:rPr>
                <w:rFonts w:ascii="Arial" w:eastAsia="Arial" w:hAnsi="Arial" w:cs="Arial"/>
                <w:color w:val="000000"/>
                <w:sz w:val="20"/>
              </w:rPr>
              <w:t xml:space="preserve">The defendant must have taken an oath to testify truthfully and the oath must have been lawful. </w:t>
            </w:r>
            <w:hyperlink r:id="rId1946" w:history="1">
              <w:r>
                <w:rPr>
                  <w:rFonts w:ascii="Arial" w:eastAsia="Arial" w:hAnsi="Arial" w:cs="Arial"/>
                  <w:i/>
                  <w:color w:val="0077CC"/>
                  <w:sz w:val="20"/>
                  <w:u w:val="single"/>
                </w:rPr>
                <w:t>Gatewood, 15 Md. App. at 318, 290 A.2d at 553;</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1947" w:history="1">
              <w:r>
                <w:rPr>
                  <w:rFonts w:ascii="Arial" w:eastAsia="Arial" w:hAnsi="Arial" w:cs="Arial"/>
                  <w:i/>
                  <w:color w:val="0077CC"/>
                  <w:sz w:val="20"/>
                  <w:u w:val="single"/>
                </w:rPr>
                <w:t>Smith, 51 Md. App. at 418, 443 A.2d at 991;</w:t>
              </w:r>
            </w:hyperlink>
            <w:r>
              <w:rPr>
                <w:rFonts w:ascii="Arial" w:eastAsia="Arial" w:hAnsi="Arial" w:cs="Arial"/>
                <w:color w:val="000000"/>
                <w:sz w:val="20"/>
              </w:rPr>
              <w:t xml:space="preserve"> </w:t>
            </w:r>
            <w:hyperlink r:id="rId1948" w:history="1">
              <w:r>
                <w:rPr>
                  <w:rFonts w:ascii="Arial" w:eastAsia="Arial" w:hAnsi="Arial" w:cs="Arial"/>
                  <w:i/>
                  <w:color w:val="0077CC"/>
                  <w:sz w:val="20"/>
                  <w:u w:val="single"/>
                </w:rPr>
                <w:t>Levitt, 48 Md. App. at 9, 426 A.2d at 388.</w:t>
              </w:r>
            </w:hyperlink>
            <w:r>
              <w:rPr>
                <w:rFonts w:ascii="Arial" w:eastAsia="Arial" w:hAnsi="Arial" w:cs="Arial"/>
                <w:color w:val="000000"/>
                <w:sz w:val="20"/>
              </w:rPr>
              <w:t xml:space="preserve"> A lawful oath may be delivered by those authorized by statute. </w:t>
            </w:r>
            <w:r>
              <w:rPr>
                <w:rFonts w:ascii="Arial" w:eastAsia="Arial" w:hAnsi="Arial" w:cs="Arial"/>
                <w:i/>
                <w:color w:val="000000"/>
                <w:sz w:val="20"/>
              </w:rPr>
              <w:t>See, e.g.</w:t>
            </w:r>
            <w:r>
              <w:rPr>
                <w:rFonts w:ascii="Arial" w:eastAsia="Arial" w:hAnsi="Arial" w:cs="Arial"/>
                <w:color w:val="000000"/>
                <w:sz w:val="20"/>
              </w:rPr>
              <w:t>, MD. CODE ANN., STATE GOVERNMENT II § 18-105 (notary public) (2014 &amp; Supp. 2018); MD. CODE ANN., COURTS AND JUDICIAL PROCEEDINGS I § 3-217 (arbitrator) (2013 &amp; Supp. 2018); MD. CODE ANN., HEALTH-GENERAL I § 5-312 (medical examiner) (2015 &amp; Supp. 2018); MD. CODE ANN., EDUCATION I § 4-205 (county school superintendent) (2018).</w:t>
            </w:r>
          </w:p>
          <w:p w:rsidR="004729FB" w:rsidRDefault="004729FB" w:rsidP="00713DA5">
            <w:pPr>
              <w:spacing w:before="240" w:line="260" w:lineRule="atLeast"/>
              <w:ind w:left="60" w:right="360"/>
              <w:jc w:val="both"/>
            </w:pPr>
            <w:r>
              <w:rPr>
                <w:rFonts w:ascii="Arial" w:eastAsia="Arial" w:hAnsi="Arial" w:cs="Arial"/>
                <w:color w:val="000000"/>
                <w:sz w:val="20"/>
              </w:rPr>
              <w:t xml:space="preserve">Statutory perjury also includes acts that constitute the lesser crime of false swearing at common law. </w:t>
            </w:r>
            <w:hyperlink r:id="rId1949" w:history="1">
              <w:r>
                <w:rPr>
                  <w:rFonts w:ascii="Arial" w:eastAsia="Arial" w:hAnsi="Arial" w:cs="Arial"/>
                  <w:i/>
                  <w:color w:val="0077CC"/>
                  <w:sz w:val="20"/>
                  <w:u w:val="single"/>
                </w:rPr>
                <w:t>Levitt, 48 Md. App. at 9, 426 A.2d at 388.</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CRIM. LAW II § 9-101(a). While testimony made in a judicial proceeding came within perjury at common law, a false oath made outside of a judicial proceeding came within the crime of false swearing. PERKINS &amp; BOYCE, </w:t>
            </w:r>
            <w:r>
              <w:rPr>
                <w:rFonts w:ascii="Arial" w:eastAsia="Arial" w:hAnsi="Arial" w:cs="Arial"/>
                <w:i/>
                <w:color w:val="000000"/>
                <w:sz w:val="20"/>
              </w:rPr>
              <w:t>supra</w:t>
            </w:r>
            <w:r>
              <w:rPr>
                <w:rFonts w:ascii="Arial" w:eastAsia="Arial" w:hAnsi="Arial" w:cs="Arial"/>
                <w:color w:val="000000"/>
                <w:sz w:val="20"/>
              </w:rPr>
              <w:t xml:space="preserve">, at 511. The statute further expands perjury to include a false affirmation, as well as a false oath. </w:t>
            </w:r>
            <w:r>
              <w:rPr>
                <w:rFonts w:ascii="Arial" w:eastAsia="Arial" w:hAnsi="Arial" w:cs="Arial"/>
                <w:i/>
                <w:color w:val="000000"/>
                <w:sz w:val="20"/>
              </w:rPr>
              <w:t xml:space="preserve">See </w:t>
            </w:r>
            <w:hyperlink r:id="rId1950" w:history="1">
              <w:r>
                <w:rPr>
                  <w:rFonts w:ascii="Arial" w:eastAsia="Arial" w:hAnsi="Arial" w:cs="Arial"/>
                  <w:i/>
                  <w:color w:val="0077CC"/>
                  <w:sz w:val="20"/>
                  <w:u w:val="single"/>
                </w:rPr>
                <w:t>Levitt, 48 Md. App. at 9 n.5, 426 A.2d at 388 n.5</w:t>
              </w:r>
            </w:hyperlink>
            <w:r>
              <w:rPr>
                <w:rFonts w:ascii="Arial" w:eastAsia="Arial" w:hAnsi="Arial" w:cs="Arial"/>
                <w:color w:val="000000"/>
                <w:sz w:val="20"/>
              </w:rPr>
              <w:t xml:space="preserve"> (citing L. HOCHHEIMER, CRIMINAL LAW § 405 (2d ed. 1904)) (noting the historical distinction between oaths and affirmations).</w:t>
            </w:r>
          </w:p>
          <w:p w:rsidR="004729FB" w:rsidRDefault="004729FB" w:rsidP="00713DA5">
            <w:pPr>
              <w:spacing w:before="200" w:line="260" w:lineRule="atLeast"/>
              <w:ind w:left="60" w:right="360"/>
              <w:jc w:val="both"/>
            </w:pPr>
            <w:r>
              <w:rPr>
                <w:rFonts w:ascii="Arial" w:eastAsia="Arial" w:hAnsi="Arial" w:cs="Arial"/>
                <w:color w:val="000000"/>
                <w:sz w:val="20"/>
              </w:rPr>
              <w:t xml:space="preserve">Common law perjury requires swearing falsely and corruptly. </w:t>
            </w:r>
            <w:hyperlink r:id="rId1951" w:history="1">
              <w:r>
                <w:rPr>
                  <w:rFonts w:ascii="Arial" w:eastAsia="Arial" w:hAnsi="Arial" w:cs="Arial"/>
                  <w:i/>
                  <w:color w:val="0077CC"/>
                  <w:sz w:val="20"/>
                  <w:u w:val="single"/>
                </w:rPr>
                <w:t>Brown v. State, 225 Md. 610, 616, 171 A.2d 456, 458 (1961)</w:t>
              </w:r>
            </w:hyperlink>
            <w:r>
              <w:rPr>
                <w:rFonts w:ascii="Arial" w:eastAsia="Arial" w:hAnsi="Arial" w:cs="Arial"/>
                <w:color w:val="000000"/>
                <w:sz w:val="20"/>
              </w:rPr>
              <w:t xml:space="preserve"> (citation omitted). "Corruption" is established when the defendant testifies, with deliberation, to matters that have no basis in "'probable cause.'" </w:t>
            </w:r>
            <w:r>
              <w:rPr>
                <w:rFonts w:ascii="Arial" w:eastAsia="Arial" w:hAnsi="Arial" w:cs="Arial"/>
                <w:i/>
                <w:color w:val="000000"/>
                <w:sz w:val="20"/>
              </w:rPr>
              <w:t>Id.</w:t>
            </w:r>
            <w:r>
              <w:rPr>
                <w:rFonts w:ascii="Arial" w:eastAsia="Arial" w:hAnsi="Arial" w:cs="Arial"/>
                <w:color w:val="000000"/>
                <w:sz w:val="20"/>
              </w:rPr>
              <w:t xml:space="preserve"> (quoting FRANCIS WHARTON, CRIMINAL LAW § 1511 (12th ed. 1932)). On the other hand, if the defendant testifies "through surprise or confusion, or through a bona fide mistake as to the facts," </w:t>
            </w:r>
            <w:hyperlink r:id="rId1952" w:history="1">
              <w:r>
                <w:rPr>
                  <w:rFonts w:ascii="Arial" w:eastAsia="Arial" w:hAnsi="Arial" w:cs="Arial"/>
                  <w:i/>
                  <w:color w:val="0077CC"/>
                  <w:sz w:val="20"/>
                  <w:u w:val="single"/>
                </w:rPr>
                <w:t>id. at 616, 171 A.2d at 458</w:t>
              </w:r>
            </w:hyperlink>
            <w:r>
              <w:rPr>
                <w:rFonts w:ascii="Arial" w:eastAsia="Arial" w:hAnsi="Arial" w:cs="Arial"/>
                <w:color w:val="000000"/>
                <w:sz w:val="20"/>
              </w:rPr>
              <w:t xml:space="preserve"> (quoting WHARTON, </w:t>
            </w:r>
            <w:r>
              <w:rPr>
                <w:rFonts w:ascii="Arial" w:eastAsia="Arial" w:hAnsi="Arial" w:cs="Arial"/>
                <w:i/>
                <w:color w:val="000000"/>
                <w:sz w:val="20"/>
              </w:rPr>
              <w:t>supra</w:t>
            </w:r>
            <w:r>
              <w:rPr>
                <w:rFonts w:ascii="Arial" w:eastAsia="Arial" w:hAnsi="Arial" w:cs="Arial"/>
                <w:color w:val="000000"/>
                <w:sz w:val="20"/>
              </w:rPr>
              <w:t>, § 1511), the oath is not voluntarily corrupt and perjury has not been committed.</w:t>
            </w:r>
          </w:p>
          <w:p w:rsidR="004729FB" w:rsidRDefault="004729FB" w:rsidP="00713DA5">
            <w:pPr>
              <w:spacing w:before="200" w:line="260" w:lineRule="atLeast"/>
              <w:ind w:left="60" w:right="360"/>
              <w:jc w:val="both"/>
            </w:pPr>
            <w:r>
              <w:rPr>
                <w:rFonts w:ascii="Arial" w:eastAsia="Arial" w:hAnsi="Arial" w:cs="Arial"/>
                <w:color w:val="000000"/>
                <w:sz w:val="20"/>
              </w:rPr>
              <w:t xml:space="preserve">Not only must the testimony be false, it also must relate to a matter material to the issue or point in question. </w:t>
            </w:r>
            <w:hyperlink r:id="rId1953" w:history="1">
              <w:r>
                <w:rPr>
                  <w:rFonts w:ascii="Arial" w:eastAsia="Arial" w:hAnsi="Arial" w:cs="Arial"/>
                  <w:i/>
                  <w:color w:val="0077CC"/>
                  <w:sz w:val="20"/>
                  <w:u w:val="single"/>
                </w:rPr>
                <w:t>Smith, 51 Md. App. at 418, 443 A.2d at 991</w:t>
              </w:r>
            </w:hyperlink>
            <w:r>
              <w:rPr>
                <w:rFonts w:ascii="Arial" w:eastAsia="Arial" w:hAnsi="Arial" w:cs="Arial"/>
                <w:color w:val="000000"/>
                <w:sz w:val="20"/>
              </w:rPr>
              <w:t xml:space="preserve"> (quoting BLACKSTONE, </w:t>
            </w:r>
            <w:r>
              <w:rPr>
                <w:rFonts w:ascii="Arial" w:eastAsia="Arial" w:hAnsi="Arial" w:cs="Arial"/>
                <w:i/>
                <w:color w:val="000000"/>
                <w:sz w:val="20"/>
              </w:rPr>
              <w:t>supra</w:t>
            </w:r>
            <w:r>
              <w:rPr>
                <w:rFonts w:ascii="Arial" w:eastAsia="Arial" w:hAnsi="Arial" w:cs="Arial"/>
                <w:color w:val="000000"/>
                <w:sz w:val="20"/>
              </w:rPr>
              <w:t xml:space="preserve">, at 137); </w:t>
            </w:r>
            <w:hyperlink r:id="rId1954" w:history="1">
              <w:r>
                <w:rPr>
                  <w:rFonts w:ascii="Arial" w:eastAsia="Arial" w:hAnsi="Arial" w:cs="Arial"/>
                  <w:i/>
                  <w:color w:val="0077CC"/>
                  <w:sz w:val="20"/>
                  <w:u w:val="single"/>
                </w:rPr>
                <w:t>Levitt, 48 Md. App. at 9, 426 A.2d at 388-89</w:t>
              </w:r>
            </w:hyperlink>
            <w:r>
              <w:rPr>
                <w:rFonts w:ascii="Arial" w:eastAsia="Arial" w:hAnsi="Arial" w:cs="Arial"/>
                <w:color w:val="000000"/>
                <w:sz w:val="20"/>
              </w:rPr>
              <w:t xml:space="preserve"> (quoting BLACKSTONE, </w:t>
            </w:r>
            <w:r>
              <w:rPr>
                <w:rFonts w:ascii="Arial" w:eastAsia="Arial" w:hAnsi="Arial" w:cs="Arial"/>
                <w:i/>
                <w:color w:val="000000"/>
                <w:sz w:val="20"/>
              </w:rPr>
              <w:t>supra</w:t>
            </w:r>
            <w:r>
              <w:rPr>
                <w:rFonts w:ascii="Arial" w:eastAsia="Arial" w:hAnsi="Arial" w:cs="Arial"/>
                <w:color w:val="000000"/>
                <w:sz w:val="20"/>
              </w:rPr>
              <w:t xml:space="preserve">, at 137). "If the testimony be false and immaterial, there is no perjury because the issue is not affected." GILBERT &amp; MOYLAN, </w:t>
            </w:r>
            <w:r>
              <w:rPr>
                <w:rFonts w:ascii="Arial" w:eastAsia="Arial" w:hAnsi="Arial" w:cs="Arial"/>
                <w:i/>
                <w:color w:val="000000"/>
                <w:sz w:val="20"/>
              </w:rPr>
              <w:t>supra</w:t>
            </w:r>
            <w:r>
              <w:rPr>
                <w:rFonts w:ascii="Arial" w:eastAsia="Arial" w:hAnsi="Arial" w:cs="Arial"/>
                <w:color w:val="000000"/>
                <w:sz w:val="20"/>
              </w:rPr>
              <w:t xml:space="preserve">, § 9.1, at 101-02. In </w:t>
            </w:r>
            <w:hyperlink r:id="rId1955" w:history="1">
              <w:r>
                <w:rPr>
                  <w:rFonts w:ascii="Arial" w:eastAsia="Arial" w:hAnsi="Arial" w:cs="Arial"/>
                  <w:i/>
                  <w:color w:val="0077CC"/>
                  <w:sz w:val="20"/>
                  <w:u w:val="single"/>
                </w:rPr>
                <w:t>Oaks v. State, 83 Md. App. 1, 573 A.2d 392 (1990),</w:t>
              </w:r>
            </w:hyperlink>
            <w:r>
              <w:rPr>
                <w:rFonts w:ascii="Arial" w:eastAsia="Arial" w:hAnsi="Arial" w:cs="Arial"/>
                <w:color w:val="000000"/>
                <w:sz w:val="20"/>
              </w:rPr>
              <w:t xml:space="preserve"> the defendant could not be convicted of either common law or statutory perjury for filing a false campaign fund report because the falsity was immaterial, in that the report was a nullity when signed by the defendant candidate instead of the statutorily required campaign committee chairperson. </w:t>
            </w:r>
            <w:hyperlink r:id="rId1956" w:history="1">
              <w:r>
                <w:rPr>
                  <w:rFonts w:ascii="Arial" w:eastAsia="Arial" w:hAnsi="Arial" w:cs="Arial"/>
                  <w:i/>
                  <w:color w:val="0077CC"/>
                  <w:sz w:val="20"/>
                  <w:u w:val="single"/>
                </w:rPr>
                <w:t>Id. at 6-7, 573 A.2d at 394-95.</w:t>
              </w:r>
            </w:hyperlink>
            <w:r>
              <w:rPr>
                <w:rFonts w:ascii="Arial" w:eastAsia="Arial" w:hAnsi="Arial" w:cs="Arial"/>
                <w:color w:val="000000"/>
                <w:sz w:val="20"/>
              </w:rPr>
              <w:t xml:space="preserve"> A matter that seems immaterial but circumstantially forms "a link in a chain of circumstantial evidence," and acts to contribute to the witness's credibility, becomes material. WHARTON, </w:t>
            </w:r>
            <w:r>
              <w:rPr>
                <w:rFonts w:ascii="Arial" w:eastAsia="Arial" w:hAnsi="Arial" w:cs="Arial"/>
                <w:i/>
                <w:color w:val="000000"/>
                <w:sz w:val="20"/>
              </w:rPr>
              <w:t>supra</w:t>
            </w:r>
            <w:r>
              <w:rPr>
                <w:rFonts w:ascii="Arial" w:eastAsia="Arial" w:hAnsi="Arial" w:cs="Arial"/>
                <w:color w:val="000000"/>
                <w:sz w:val="20"/>
              </w:rPr>
              <w:t>, §§ 619-620.</w:t>
            </w:r>
          </w:p>
          <w:p w:rsidR="004729FB" w:rsidRDefault="004729FB" w:rsidP="00713DA5">
            <w:pPr>
              <w:spacing w:before="240" w:line="260" w:lineRule="atLeast"/>
              <w:ind w:left="60" w:right="360"/>
              <w:jc w:val="both"/>
            </w:pPr>
            <w:r>
              <w:rPr>
                <w:rFonts w:ascii="Arial" w:eastAsia="Arial" w:hAnsi="Arial" w:cs="Arial"/>
                <w:color w:val="000000"/>
                <w:sz w:val="20"/>
              </w:rPr>
              <w:t xml:space="preserve">At common law, perjury required the testimony of two witnesses, because "if only one person's testimony was offered against the accused, the situation would present oath against oath, or a 'draw.'" </w:t>
            </w:r>
            <w:hyperlink r:id="rId1957" w:history="1">
              <w:r>
                <w:rPr>
                  <w:rFonts w:ascii="Arial" w:eastAsia="Arial" w:hAnsi="Arial" w:cs="Arial"/>
                  <w:i/>
                  <w:color w:val="0077CC"/>
                  <w:sz w:val="20"/>
                  <w:u w:val="single"/>
                </w:rPr>
                <w:t>Smith, 51 Md. App. at 421, 443 A.2d at 992.</w:t>
              </w:r>
            </w:hyperlink>
            <w:r>
              <w:rPr>
                <w:rFonts w:ascii="Arial" w:eastAsia="Arial" w:hAnsi="Arial" w:cs="Arial"/>
                <w:color w:val="000000"/>
                <w:sz w:val="20"/>
              </w:rPr>
              <w:t xml:space="preserve"> Although Maryland courts have stopped short of abrogating the two witness rule, its applicability has been so severely limited as to question whether it would be used as the basis of a holding. Consequently, the Committee did not include the two-witness rule in the instruction.</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r>
              <w:rPr>
                <w:rFonts w:ascii="Arial" w:eastAsia="Arial" w:hAnsi="Arial" w:cs="Arial"/>
                <w:i/>
                <w:color w:val="000000"/>
                <w:sz w:val="20"/>
              </w:rPr>
              <w:t>Brown</w:t>
            </w:r>
            <w:r>
              <w:rPr>
                <w:rFonts w:ascii="Arial" w:eastAsia="Arial" w:hAnsi="Arial" w:cs="Arial"/>
                <w:color w:val="000000"/>
                <w:sz w:val="20"/>
              </w:rPr>
              <w:t xml:space="preserve">, the Court of Appeals recognized that this rule has been relaxed, permitting conviction based upon "[t]he testimony of one witness and other independent corroborative evidence … of such a nature so as to be of equal weight to that of at least a second witness, thus foreclosing any reasonable hypothesis other than the defendant's guilt." </w:t>
            </w:r>
            <w:hyperlink r:id="rId1958" w:history="1">
              <w:r>
                <w:rPr>
                  <w:rFonts w:ascii="Arial" w:eastAsia="Arial" w:hAnsi="Arial" w:cs="Arial"/>
                  <w:i/>
                  <w:color w:val="0077CC"/>
                  <w:sz w:val="20"/>
                  <w:u w:val="single"/>
                </w:rPr>
                <w:t>225 Md. at 616-17, 171 A.2d at 458.</w:t>
              </w:r>
            </w:hyperlink>
            <w:r>
              <w:rPr>
                <w:rFonts w:ascii="Arial" w:eastAsia="Arial" w:hAnsi="Arial" w:cs="Arial"/>
                <w:color w:val="000000"/>
                <w:sz w:val="20"/>
              </w:rPr>
              <w:t xml:space="preserve"> The </w:t>
            </w:r>
            <w:r>
              <w:rPr>
                <w:rFonts w:ascii="Arial" w:eastAsia="Arial" w:hAnsi="Arial" w:cs="Arial"/>
                <w:i/>
                <w:color w:val="000000"/>
                <w:sz w:val="20"/>
              </w:rPr>
              <w:t>Brown</w:t>
            </w:r>
            <w:r>
              <w:rPr>
                <w:rFonts w:ascii="Arial" w:eastAsia="Arial" w:hAnsi="Arial" w:cs="Arial"/>
                <w:color w:val="000000"/>
                <w:sz w:val="20"/>
              </w:rPr>
              <w:t xml:space="preserve"> court upheld a conviction based on documentary evidence, some of which the defendant admitted signing, and the testimony of a handwriting expert. </w:t>
            </w:r>
            <w:hyperlink r:id="rId1959" w:history="1">
              <w:r>
                <w:rPr>
                  <w:rFonts w:ascii="Arial" w:eastAsia="Arial" w:hAnsi="Arial" w:cs="Arial"/>
                  <w:i/>
                  <w:color w:val="0077CC"/>
                  <w:sz w:val="20"/>
                  <w:u w:val="single"/>
                </w:rPr>
                <w:t>Id. at 617, 171 A.2d at 459;</w:t>
              </w:r>
            </w:hyperlink>
            <w:r>
              <w:rPr>
                <w:rFonts w:ascii="Arial" w:eastAsia="Arial" w:hAnsi="Arial" w:cs="Arial"/>
                <w:color w:val="000000"/>
                <w:sz w:val="20"/>
              </w:rPr>
              <w:t xml:space="preserve"> </w:t>
            </w:r>
            <w:r>
              <w:rPr>
                <w:rFonts w:ascii="Arial" w:eastAsia="Arial" w:hAnsi="Arial" w:cs="Arial"/>
                <w:i/>
                <w:color w:val="000000"/>
                <w:sz w:val="20"/>
              </w:rPr>
              <w:t xml:space="preserve">accord </w:t>
            </w:r>
            <w:hyperlink r:id="rId1960" w:history="1">
              <w:r>
                <w:rPr>
                  <w:rFonts w:ascii="Arial" w:eastAsia="Arial" w:hAnsi="Arial" w:cs="Arial"/>
                  <w:i/>
                  <w:color w:val="0077CC"/>
                  <w:sz w:val="20"/>
                  <w:u w:val="single"/>
                </w:rPr>
                <w:t>State v. Devers, 260 Md. 360, 272 A.2d 794 (1971),</w:t>
              </w:r>
            </w:hyperlink>
            <w:r>
              <w:rPr>
                <w:rFonts w:ascii="Arial" w:eastAsia="Arial" w:hAnsi="Arial" w:cs="Arial"/>
                <w:color w:val="000000"/>
                <w:sz w:val="20"/>
              </w:rPr>
              <w:t xml:space="preserve"> </w:t>
            </w:r>
            <w:r>
              <w:rPr>
                <w:rFonts w:ascii="Arial" w:eastAsia="Arial" w:hAnsi="Arial" w:cs="Arial"/>
                <w:i/>
                <w:color w:val="000000"/>
                <w:sz w:val="20"/>
              </w:rPr>
              <w:t xml:space="preserve">overruled on other grounds by </w:t>
            </w:r>
            <w:hyperlink r:id="rId1961" w:history="1">
              <w:r>
                <w:rPr>
                  <w:rFonts w:ascii="Arial" w:eastAsia="Arial" w:hAnsi="Arial" w:cs="Arial"/>
                  <w:i/>
                  <w:color w:val="0077CC"/>
                  <w:sz w:val="20"/>
                  <w:u w:val="single"/>
                </w:rPr>
                <w:t>In re Petition for Writ of Prohibition, 312 Md. 280, 539 A.2d 664 (1988).</w:t>
              </w:r>
            </w:hyperlink>
            <w:r>
              <w:rPr>
                <w:rFonts w:ascii="Arial" w:eastAsia="Arial" w:hAnsi="Arial" w:cs="Arial"/>
                <w:color w:val="000000"/>
                <w:sz w:val="20"/>
              </w:rPr>
              <w:t xml:space="preserve"> In </w:t>
            </w:r>
            <w:hyperlink r:id="rId1962" w:history="1">
              <w:r>
                <w:rPr>
                  <w:rFonts w:ascii="Arial" w:eastAsia="Arial" w:hAnsi="Arial" w:cs="Arial"/>
                  <w:i/>
                  <w:color w:val="0077CC"/>
                  <w:sz w:val="20"/>
                  <w:u w:val="single"/>
                </w:rPr>
                <w:t>Tipton v. State, 8 Md. App. 91, 98-99, 258 A.2d 606, 610 (1969),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257 Md. 736 (1970),</w:t>
            </w:r>
            <w:r>
              <w:rPr>
                <w:rFonts w:ascii="Arial" w:eastAsia="Arial" w:hAnsi="Arial" w:cs="Arial"/>
                <w:color w:val="000000"/>
                <w:sz w:val="20"/>
              </w:rPr>
              <w:t xml:space="preserve"> the Court </w:t>
            </w:r>
            <w:r>
              <w:rPr>
                <w:rFonts w:ascii="Arial" w:eastAsia="Arial" w:hAnsi="Arial" w:cs="Arial"/>
                <w:color w:val="000000"/>
                <w:sz w:val="20"/>
              </w:rPr>
              <w:lastRenderedPageBreak/>
              <w:t xml:space="preserve">of Special Appeals, in noting that the testimony of one witness can support a conviction for murder, rape, or robbery, found the rule inapplicable to attempted subornation of perjury. In </w:t>
            </w:r>
            <w:r>
              <w:rPr>
                <w:rFonts w:ascii="Arial" w:eastAsia="Arial" w:hAnsi="Arial" w:cs="Arial"/>
                <w:i/>
                <w:color w:val="000000"/>
                <w:sz w:val="20"/>
              </w:rPr>
              <w:t>Smith</w:t>
            </w:r>
            <w:r>
              <w:rPr>
                <w:rFonts w:ascii="Arial" w:eastAsia="Arial" w:hAnsi="Arial" w:cs="Arial"/>
                <w:color w:val="000000"/>
                <w:sz w:val="20"/>
              </w:rPr>
              <w:t xml:space="preserve">, the Court of Special Appeals called the rule "incongruous in our present system of jurisprudence." </w:t>
            </w:r>
            <w:hyperlink r:id="rId1963" w:history="1">
              <w:r>
                <w:rPr>
                  <w:rFonts w:ascii="Arial" w:eastAsia="Arial" w:hAnsi="Arial" w:cs="Arial"/>
                  <w:i/>
                  <w:color w:val="0077CC"/>
                  <w:sz w:val="20"/>
                  <w:u w:val="single"/>
                </w:rPr>
                <w:t>51 Md. App. at 421, 443 A.2d at 993</w:t>
              </w:r>
            </w:hyperlink>
            <w:r>
              <w:rPr>
                <w:rFonts w:ascii="Arial" w:eastAsia="Arial" w:hAnsi="Arial" w:cs="Arial"/>
                <w:color w:val="000000"/>
                <w:sz w:val="20"/>
              </w:rPr>
              <w:t xml:space="preserve"> (internal quotation marks and citation omitted). Relying on </w:t>
            </w:r>
            <w:r>
              <w:rPr>
                <w:rFonts w:ascii="Arial" w:eastAsia="Arial" w:hAnsi="Arial" w:cs="Arial"/>
                <w:i/>
                <w:color w:val="000000"/>
                <w:sz w:val="20"/>
              </w:rPr>
              <w:t>Brown</w:t>
            </w:r>
            <w:r>
              <w:rPr>
                <w:rFonts w:ascii="Arial" w:eastAsia="Arial" w:hAnsi="Arial" w:cs="Arial"/>
                <w:color w:val="000000"/>
                <w:sz w:val="20"/>
              </w:rPr>
              <w:t xml:space="preserve"> and the cases on which it relied, the court held that circumstantial evidence may be sufficient for a perjury conviction and the two-witness rule is inapplicable. </w:t>
            </w:r>
            <w:hyperlink r:id="rId1964" w:history="1">
              <w:r>
                <w:rPr>
                  <w:rFonts w:ascii="Arial" w:eastAsia="Arial" w:hAnsi="Arial" w:cs="Arial"/>
                  <w:i/>
                  <w:color w:val="0077CC"/>
                  <w:sz w:val="20"/>
                  <w:u w:val="single"/>
                </w:rPr>
                <w:t>Id. at 426, 443 A.2d at 995.</w:t>
              </w:r>
            </w:hyperlink>
            <w:r>
              <w:rPr>
                <w:rFonts w:ascii="Arial" w:eastAsia="Arial" w:hAnsi="Arial" w:cs="Arial"/>
                <w:color w:val="000000"/>
                <w:sz w:val="20"/>
              </w:rPr>
              <w:t xml:space="preserve"> In </w:t>
            </w:r>
            <w:r>
              <w:rPr>
                <w:rFonts w:ascii="Arial" w:eastAsia="Arial" w:hAnsi="Arial" w:cs="Arial"/>
                <w:i/>
                <w:color w:val="000000"/>
                <w:sz w:val="20"/>
              </w:rPr>
              <w:t>Hourie</w:t>
            </w:r>
            <w:r>
              <w:rPr>
                <w:rFonts w:ascii="Arial" w:eastAsia="Arial" w:hAnsi="Arial" w:cs="Arial"/>
                <w:color w:val="000000"/>
                <w:sz w:val="20"/>
              </w:rPr>
              <w:t xml:space="preserve">, the Court of Special Appeals addressed the two-witness rule in the context of welfare perjury, one of about a hundred statutes in "the perjury family." </w:t>
            </w:r>
            <w:hyperlink r:id="rId1965" w:history="1">
              <w:r>
                <w:rPr>
                  <w:rFonts w:ascii="Arial" w:eastAsia="Arial" w:hAnsi="Arial" w:cs="Arial"/>
                  <w:i/>
                  <w:color w:val="0077CC"/>
                  <w:sz w:val="20"/>
                  <w:u w:val="single"/>
                </w:rPr>
                <w:t>53 Md. App. at 68-88, 452 A.2d at 443-54.</w:t>
              </w:r>
            </w:hyperlink>
            <w:r>
              <w:rPr>
                <w:rFonts w:ascii="Arial" w:eastAsia="Arial" w:hAnsi="Arial" w:cs="Arial"/>
                <w:color w:val="000000"/>
                <w:sz w:val="20"/>
              </w:rPr>
              <w:t xml:space="preserve"> The court found that the two-witness rule, even in its relaxed form, was limited to common law perjury and inapplicable to non-"oath against oath cases." </w:t>
            </w:r>
            <w:hyperlink r:id="rId1966" w:history="1">
              <w:r>
                <w:rPr>
                  <w:rFonts w:ascii="Arial" w:eastAsia="Arial" w:hAnsi="Arial" w:cs="Arial"/>
                  <w:i/>
                  <w:color w:val="0077CC"/>
                  <w:sz w:val="20"/>
                  <w:u w:val="single"/>
                </w:rPr>
                <w:t>Id. at 88, 452 A.2d at 454.</w:t>
              </w:r>
            </w:hyperlink>
            <w:r>
              <w:rPr>
                <w:rFonts w:ascii="Arial" w:eastAsia="Arial" w:hAnsi="Arial" w:cs="Arial"/>
                <w:color w:val="000000"/>
                <w:sz w:val="20"/>
              </w:rPr>
              <w:t xml:space="preserve"> "[Because] we find it to be an incongruous oddity, entombed like some ancient fly in amber and preserved beyond its time by a fluke of history, we will confine it strictly within the bounds of </w:t>
            </w:r>
            <w:r>
              <w:rPr>
                <w:rFonts w:ascii="Arial" w:eastAsia="Arial" w:hAnsi="Arial" w:cs="Arial"/>
                <w:i/>
                <w:color w:val="000000"/>
                <w:sz w:val="20"/>
              </w:rPr>
              <w:t>stare decisis</w:t>
            </w:r>
            <w:r>
              <w:rPr>
                <w:rFonts w:ascii="Arial" w:eastAsia="Arial" w:hAnsi="Arial" w:cs="Arial"/>
                <w:color w:val="000000"/>
                <w:sz w:val="20"/>
              </w:rPr>
              <w:t xml:space="preserve">." </w:t>
            </w:r>
            <w:hyperlink r:id="rId1967" w:history="1">
              <w:r>
                <w:rPr>
                  <w:rFonts w:ascii="Arial" w:eastAsia="Arial" w:hAnsi="Arial" w:cs="Arial"/>
                  <w:i/>
                  <w:color w:val="0077CC"/>
                  <w:sz w:val="20"/>
                  <w:u w:val="single"/>
                </w:rPr>
                <w:t>Id. at 68-69, 452 A.2d at 443.</w:t>
              </w:r>
            </w:hyperlink>
            <w:r>
              <w:rPr>
                <w:rFonts w:ascii="Arial" w:eastAsia="Arial" w:hAnsi="Arial" w:cs="Arial"/>
                <w:color w:val="000000"/>
                <w:sz w:val="20"/>
              </w:rPr>
              <w:t xml:space="preserve"> The Court of Appeals affirmed, stating that the evidence "foreclose[d] any reasonable hypothesis other than the defendant's guilt." </w:t>
            </w:r>
            <w:hyperlink r:id="rId1968" w:history="1">
              <w:r>
                <w:rPr>
                  <w:rFonts w:ascii="Arial" w:eastAsia="Arial" w:hAnsi="Arial" w:cs="Arial"/>
                  <w:i/>
                  <w:color w:val="0077CC"/>
                  <w:sz w:val="20"/>
                  <w:u w:val="single"/>
                </w:rPr>
                <w:t>Id. at 64, 467 A.2d at 1024.</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Although the general rule is that contradictory statements alone will not support a perjury conviction, </w:t>
            </w:r>
            <w:r>
              <w:rPr>
                <w:rFonts w:ascii="Arial" w:eastAsia="Arial" w:hAnsi="Arial" w:cs="Arial"/>
                <w:i/>
                <w:color w:val="000000"/>
                <w:sz w:val="20"/>
              </w:rPr>
              <w:t>see</w:t>
            </w:r>
            <w:r>
              <w:rPr>
                <w:rFonts w:ascii="Arial" w:eastAsia="Arial" w:hAnsi="Arial" w:cs="Arial"/>
                <w:color w:val="000000"/>
                <w:sz w:val="20"/>
              </w:rPr>
              <w:t xml:space="preserve"> Annotation, 25 A.L.R. 414 (1923), Maryland has by statute provided that "[i]f a person makes an oath or affirmation to two contradictory statements, … it is sufficient to allege, and for conviction to prove, that one of the statements is willfully false without specifying which one." CRIM. LAW II § 9-101(c)(1).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52" style="position:absolute;left:0;text-align:left;z-index:2519818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2" name="Picture 11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75" w:history="1">
        <w:r>
          <w:rPr>
            <w:rFonts w:ascii="Arial" w:eastAsia="Arial" w:hAnsi="Arial" w:cs="Arial"/>
            <w:b/>
            <w:bCs/>
            <w:i/>
            <w:color w:val="0077CC"/>
            <w:kern w:val="32"/>
            <w:sz w:val="28"/>
            <w:szCs w:val="32"/>
            <w:u w:val="single"/>
          </w:rPr>
          <w:t>MPJI-Cr 4:26.1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PERJURY--AFFIDAVIT</w:t>
      </w:r>
    </w:p>
    <w:p w:rsidR="004729FB" w:rsidRDefault="004729FB" w:rsidP="004729FB">
      <w:pPr>
        <w:keepNext/>
        <w:spacing w:before="240" w:line="340" w:lineRule="atLeast"/>
      </w:pPr>
      <w:r>
        <w:br/>
      </w:r>
      <w:r>
        <w:rPr>
          <w:rFonts w:ascii="Arial" w:eastAsia="Arial" w:hAnsi="Arial" w:cs="Arial"/>
          <w:b/>
          <w:color w:val="000000"/>
          <w:sz w:val="28"/>
        </w:rPr>
        <w:t>4:26.1Perjury--Affidavit</w:t>
      </w:r>
    </w:p>
    <w:p w:rsidR="004729FB" w:rsidRDefault="004729FB" w:rsidP="004729FB">
      <w:pPr>
        <w:spacing w:line="60" w:lineRule="exact"/>
      </w:pPr>
      <w:r>
        <w:pict>
          <v:line id="_x0000_s1343" style="position:absolute;z-index:25197260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perjury by affidavit. Perjury is deliberately making a false affidavit. In order to convict the defendant of perjury by affidavit,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made an affidavit, which is a written statement under the penalty of perjury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represented that the facts in the statement were true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the statement contained false information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(4) that the false information was material, that is, it was capable of affecting the decision in the matter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(5) that the defendant knew or believed the information was false at the time [he] [she] made the statement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(6) that the defendant provided the false information willfully, that is, intentionally, rather than as a result of confusion or reasonable mistake[; and] [.]</w:t>
      </w:r>
    </w:p>
    <w:p w:rsidR="004729FB" w:rsidRDefault="004729FB" w:rsidP="004729FB">
      <w:pPr>
        <w:spacing w:before="200" w:line="260" w:lineRule="atLeast"/>
        <w:ind w:left="400"/>
        <w:jc w:val="both"/>
      </w:pPr>
      <w:r>
        <w:rPr>
          <w:rFonts w:ascii="Arial" w:eastAsia="Arial" w:hAnsi="Arial" w:cs="Arial"/>
          <w:b/>
          <w:color w:val="000000"/>
          <w:sz w:val="20"/>
        </w:rPr>
        <w:t>[[(7)that the defendant made the affidavit [with respect to a state, federal, or local law] [to induce a court or officer to pass an account or claim] [in an affidavit or affirmation made under the Maryland Rules] [(</w:t>
      </w:r>
      <w:r>
        <w:rPr>
          <w:rFonts w:ascii="Arial" w:eastAsia="Arial" w:hAnsi="Arial" w:cs="Arial"/>
          <w:b/>
          <w:color w:val="000000"/>
          <w:sz w:val="20"/>
          <w:u w:val="single"/>
        </w:rPr>
        <w:t>other</w:t>
      </w:r>
      <w:r>
        <w:rPr>
          <w:rFonts w:ascii="Arial" w:eastAsia="Arial" w:hAnsi="Arial" w:cs="Arial"/>
          <w:b/>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4:26 (Perjury--Testimonial).</w:t>
            </w:r>
          </w:p>
          <w:p w:rsidR="004729FB" w:rsidRDefault="004729FB" w:rsidP="00713DA5">
            <w:pPr>
              <w:spacing w:before="200" w:line="260" w:lineRule="atLeast"/>
              <w:ind w:left="60" w:right="360"/>
              <w:jc w:val="both"/>
            </w:pPr>
            <w:r>
              <w:rPr>
                <w:rFonts w:ascii="Arial" w:eastAsia="Arial" w:hAnsi="Arial" w:cs="Arial"/>
                <w:color w:val="000000"/>
                <w:sz w:val="20"/>
              </w:rPr>
              <w:t>Statutory perjury expands common law perjury and false swearing to include a false oath or affirmation (1) in an affidavit required by state, federal, or local law; (2) in an affidavit made to induce a court or officer to pass an account or claim; (3) in an affidavit required by any state, federal, or local government or governmental official with legal authority to require the issuance of an affidavit; or (4) in an affidavit or affirmation made under the Maryland Rules. CRIM. LAW II § 9-101(a)(2)-(5).</w:t>
            </w:r>
          </w:p>
          <w:p w:rsidR="004729FB" w:rsidRDefault="004729FB" w:rsidP="00713DA5">
            <w:pPr>
              <w:spacing w:before="200" w:line="260" w:lineRule="atLeast"/>
              <w:ind w:left="60" w:right="360"/>
              <w:jc w:val="both"/>
            </w:pPr>
            <w:r>
              <w:rPr>
                <w:rFonts w:ascii="Arial" w:eastAsia="Arial" w:hAnsi="Arial" w:cs="Arial"/>
                <w:color w:val="000000"/>
                <w:sz w:val="20"/>
              </w:rPr>
              <w:t>An affidavit is a written statement, the contents of which are affirmed to be true under penalty of perjury. MD. RULE 1-202(b). The offense includes:</w:t>
            </w:r>
          </w:p>
          <w:p w:rsidR="004729FB" w:rsidRDefault="004729FB" w:rsidP="00713DA5">
            <w:pPr>
              <w:spacing w:before="240" w:line="260" w:lineRule="atLeast"/>
              <w:ind w:left="460" w:right="360"/>
              <w:jc w:val="both"/>
            </w:pPr>
            <w:r>
              <w:rPr>
                <w:rFonts w:ascii="Arial" w:eastAsia="Arial" w:hAnsi="Arial" w:cs="Arial"/>
                <w:color w:val="000000"/>
                <w:sz w:val="20"/>
              </w:rPr>
              <w:t xml:space="preserve">(1) a false statement in an application for a search warrant, </w:t>
            </w:r>
            <w:hyperlink r:id="rId1976" w:history="1">
              <w:r>
                <w:rPr>
                  <w:rFonts w:ascii="Arial" w:eastAsia="Arial" w:hAnsi="Arial" w:cs="Arial"/>
                  <w:i/>
                  <w:color w:val="0077CC"/>
                  <w:sz w:val="20"/>
                  <w:u w:val="single"/>
                </w:rPr>
                <w:t xml:space="preserve">Tischler v. State, 206 Md. 386, 391-92, 111 </w:t>
              </w:r>
              <w:r>
                <w:rPr>
                  <w:rFonts w:ascii="Arial" w:eastAsia="Arial" w:hAnsi="Arial" w:cs="Arial"/>
                  <w:i/>
                  <w:color w:val="0077CC"/>
                  <w:sz w:val="20"/>
                  <w:u w:val="single"/>
                </w:rPr>
                <w:lastRenderedPageBreak/>
                <w:t>A.2d 655, 658 (1955);</w:t>
              </w:r>
            </w:hyperlink>
            <w:r>
              <w:rPr>
                <w:rFonts w:ascii="Arial" w:eastAsia="Arial" w:hAnsi="Arial" w:cs="Arial"/>
                <w:color w:val="000000"/>
                <w:sz w:val="20"/>
              </w:rPr>
              <w:t xml:space="preserve"> </w:t>
            </w:r>
            <w:r>
              <w:rPr>
                <w:rFonts w:ascii="Arial" w:eastAsia="Arial" w:hAnsi="Arial" w:cs="Arial"/>
                <w:i/>
                <w:color w:val="000000"/>
                <w:sz w:val="20"/>
              </w:rPr>
              <w:t>accord</w:t>
            </w:r>
            <w:r>
              <w:rPr>
                <w:rFonts w:ascii="Arial" w:eastAsia="Arial" w:hAnsi="Arial" w:cs="Arial"/>
                <w:color w:val="000000"/>
                <w:sz w:val="20"/>
              </w:rPr>
              <w:t xml:space="preserve"> MD. CODE ANN., CRIMINAL PROCEDURE § 1-203 (2008 &amp; Supp. 2018); </w:t>
            </w:r>
            <w:hyperlink r:id="rId1977" w:history="1">
              <w:r>
                <w:rPr>
                  <w:rFonts w:ascii="Arial" w:eastAsia="Arial" w:hAnsi="Arial" w:cs="Arial"/>
                  <w:i/>
                  <w:color w:val="0077CC"/>
                  <w:sz w:val="20"/>
                  <w:u w:val="single"/>
                </w:rPr>
                <w:t>Scarborough v. State, 3 Md. App. 208, 238 A.2d 297 (1968);</w:t>
              </w:r>
            </w:hyperlink>
          </w:p>
          <w:p w:rsidR="004729FB" w:rsidRDefault="004729FB" w:rsidP="00713DA5">
            <w:pPr>
              <w:spacing w:before="240" w:line="260" w:lineRule="atLeast"/>
              <w:ind w:left="460" w:right="360"/>
              <w:jc w:val="both"/>
            </w:pPr>
            <w:r>
              <w:rPr>
                <w:rFonts w:ascii="Arial" w:eastAsia="Arial" w:hAnsi="Arial" w:cs="Arial"/>
                <w:color w:val="000000"/>
                <w:sz w:val="20"/>
              </w:rPr>
              <w:t xml:space="preserve">(2) a false statement in a liquor license application, MD. CODE ANN., ALCOHOLIC BEVERAGES §§ 2-407, 6-330 (2016 &amp; Supp. 2018); </w:t>
            </w:r>
            <w:hyperlink r:id="rId1978" w:history="1">
              <w:r>
                <w:rPr>
                  <w:rFonts w:ascii="Arial" w:eastAsia="Arial" w:hAnsi="Arial" w:cs="Arial"/>
                  <w:i/>
                  <w:color w:val="0077CC"/>
                  <w:sz w:val="20"/>
                  <w:u w:val="single"/>
                </w:rPr>
                <w:t>State v. Levitt, 48 Md. App. 1, 426 A.2d 383 (1981);</w:t>
              </w:r>
            </w:hyperlink>
            <w:r>
              <w:rPr>
                <w:rFonts w:ascii="Arial" w:eastAsia="Arial" w:hAnsi="Arial" w:cs="Arial"/>
                <w:color w:val="000000"/>
                <w:sz w:val="20"/>
              </w:rPr>
              <w:t xml:space="preserve"> and</w:t>
            </w:r>
          </w:p>
          <w:p w:rsidR="004729FB" w:rsidRDefault="004729FB" w:rsidP="00713DA5">
            <w:pPr>
              <w:spacing w:before="200" w:line="260" w:lineRule="atLeast"/>
              <w:ind w:left="460" w:right="360"/>
              <w:jc w:val="both"/>
            </w:pPr>
            <w:r>
              <w:rPr>
                <w:rFonts w:ascii="Arial" w:eastAsia="Arial" w:hAnsi="Arial" w:cs="Arial"/>
                <w:color w:val="000000"/>
                <w:sz w:val="20"/>
              </w:rPr>
              <w:t xml:space="preserve">(3) a false statement in a marriage license application, MD. CODE ANN., FAMILY LAW § 2-407 (2012 &amp; Supp. 2018); </w:t>
            </w:r>
            <w:hyperlink r:id="rId1979" w:history="1">
              <w:r>
                <w:rPr>
                  <w:rFonts w:ascii="Arial" w:eastAsia="Arial" w:hAnsi="Arial" w:cs="Arial"/>
                  <w:i/>
                  <w:color w:val="0077CC"/>
                  <w:sz w:val="20"/>
                  <w:u w:val="single"/>
                </w:rPr>
                <w:t>State v. Floto, 81 Md. 600, 32 A. 315 (1895);</w:t>
              </w:r>
            </w:hyperlink>
            <w:r>
              <w:rPr>
                <w:rFonts w:ascii="Arial" w:eastAsia="Arial" w:hAnsi="Arial" w:cs="Arial"/>
                <w:color w:val="000000"/>
                <w:sz w:val="20"/>
              </w:rPr>
              <w:t xml:space="preserve"> </w:t>
            </w:r>
            <w:r>
              <w:rPr>
                <w:rFonts w:ascii="Arial" w:eastAsia="Arial" w:hAnsi="Arial" w:cs="Arial"/>
                <w:i/>
                <w:color w:val="000000"/>
                <w:sz w:val="20"/>
              </w:rPr>
              <w:t>see also</w:t>
            </w:r>
            <w:r>
              <w:rPr>
                <w:rFonts w:ascii="Arial" w:eastAsia="Arial" w:hAnsi="Arial" w:cs="Arial"/>
                <w:color w:val="000000"/>
                <w:sz w:val="20"/>
              </w:rPr>
              <w:t xml:space="preserve"> MD. CODE ANN., REAL PROPERTY § 4-106 (2015 &amp; Supp. 2018); MD. CODE ANN., COMMERCIAL LAW I § 6-104(2) (2013 &amp; Supp. 2018).</w:t>
            </w:r>
          </w:p>
          <w:p w:rsidR="004729FB" w:rsidRDefault="004729FB" w:rsidP="00713DA5">
            <w:pPr>
              <w:spacing w:before="60" w:after="120" w:line="260" w:lineRule="atLeast"/>
              <w:ind w:left="460" w:right="360"/>
              <w:jc w:val="both"/>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53" style="position:absolute;left:0;text-align:left;z-index:25198284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11" name="Picture 11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1986" w:history="1">
        <w:r>
          <w:rPr>
            <w:rFonts w:ascii="Arial" w:eastAsia="Arial" w:hAnsi="Arial" w:cs="Arial"/>
            <w:b/>
            <w:bCs/>
            <w:i/>
            <w:color w:val="0077CC"/>
            <w:kern w:val="32"/>
            <w:sz w:val="28"/>
            <w:szCs w:val="32"/>
            <w:u w:val="single"/>
          </w:rPr>
          <w:t>MPJI-Cr 4:25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OBSTRUCTION OF JUSTICE--JURORS, WITNESSES, OR OFFICIALS</w:t>
      </w:r>
    </w:p>
    <w:p w:rsidR="004729FB" w:rsidRDefault="004729FB" w:rsidP="004729FB">
      <w:pPr>
        <w:keepNext/>
        <w:spacing w:before="240" w:line="340" w:lineRule="atLeast"/>
      </w:pPr>
      <w:r>
        <w:br/>
      </w:r>
      <w:r>
        <w:rPr>
          <w:rFonts w:ascii="Arial" w:eastAsia="Arial" w:hAnsi="Arial" w:cs="Arial"/>
          <w:b/>
          <w:color w:val="000000"/>
          <w:sz w:val="28"/>
        </w:rPr>
        <w:t>4:25Obstruction of Justice--Jurors, Witnesses, or Officials</w:t>
      </w:r>
    </w:p>
    <w:p w:rsidR="004729FB" w:rsidRDefault="004729FB" w:rsidP="004729FB">
      <w:pPr>
        <w:spacing w:line="60" w:lineRule="exact"/>
      </w:pPr>
      <w:r>
        <w:pict>
          <v:line id="_x0000_s1344" style="position:absolute;z-index:25197363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USE OF THREATS, FORCE</w:t>
      </w:r>
      <w:r>
        <w:rPr>
          <w:rFonts w:ascii="Arial" w:eastAsia="Arial" w:hAnsi="Arial" w:cs="Arial"/>
          <w:color w:val="000000"/>
          <w:sz w:val="20"/>
        </w:rPr>
        <w:t xml:space="preserve">, </w:t>
      </w:r>
      <w:r>
        <w:rPr>
          <w:rFonts w:ascii="Arial" w:eastAsia="Arial" w:hAnsi="Arial" w:cs="Arial"/>
          <w:b/>
          <w:color w:val="000000"/>
          <w:sz w:val="20"/>
        </w:rPr>
        <w:t>CORRUPT MEANS</w:t>
      </w:r>
      <w:r>
        <w:rPr>
          <w:rFonts w:ascii="Arial" w:eastAsia="Arial" w:hAnsi="Arial" w:cs="Arial"/>
          <w:color w:val="000000"/>
          <w:sz w:val="20"/>
        </w:rPr>
        <w:t xml:space="preserve">: </w:t>
      </w:r>
      <w:r>
        <w:rPr>
          <w:rFonts w:ascii="Arial" w:eastAsia="Arial" w:hAnsi="Arial" w:cs="Arial"/>
          <w:b/>
          <w:color w:val="000000"/>
          <w:sz w:val="20"/>
        </w:rPr>
        <w:t>JUROR, WITNESS</w:t>
      </w:r>
      <w:r>
        <w:rPr>
          <w:rFonts w:ascii="Arial" w:eastAsia="Arial" w:hAnsi="Arial" w:cs="Arial"/>
          <w:color w:val="000000"/>
          <w:sz w:val="20"/>
        </w:rPr>
        <w:t xml:space="preserve">, </w:t>
      </w:r>
      <w:r>
        <w:rPr>
          <w:rFonts w:ascii="Arial" w:eastAsia="Arial" w:hAnsi="Arial" w:cs="Arial"/>
          <w:b/>
          <w:color w:val="000000"/>
          <w:sz w:val="20"/>
        </w:rPr>
        <w:t>COURT OFFICIAL</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solicitation to obstruct justice.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solicited another person; and</w:t>
      </w:r>
    </w:p>
    <w:p w:rsidR="004729FB" w:rsidRDefault="004729FB" w:rsidP="004729FB">
      <w:pPr>
        <w:spacing w:before="200" w:line="260" w:lineRule="atLeast"/>
        <w:ind w:left="400"/>
        <w:jc w:val="both"/>
      </w:pPr>
      <w:r>
        <w:rPr>
          <w:rFonts w:ascii="Arial" w:eastAsia="Arial" w:hAnsi="Arial" w:cs="Arial"/>
          <w:b/>
          <w:color w:val="000000"/>
          <w:sz w:val="20"/>
        </w:rPr>
        <w:t>(2) that the defendant solicited this person to use [threats] [force] [corrupt means] to try to [influence] [intimidate] [impede] a [juror] [witness] [court officer] in the performance of [his] [her] official duties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SOLICITATION TO OBSTRUCT JUSTICE--JURORS, WITNESSES, COURT OFFICIALS</w:t>
      </w:r>
    </w:p>
    <w:p w:rsidR="004729FB" w:rsidRDefault="004729FB" w:rsidP="004729FB">
      <w:pPr>
        <w:spacing w:before="200" w:line="260" w:lineRule="atLeast"/>
        <w:jc w:val="both"/>
      </w:pPr>
      <w:r>
        <w:rPr>
          <w:rFonts w:ascii="Arial" w:eastAsia="Arial" w:hAnsi="Arial" w:cs="Arial"/>
          <w:b/>
          <w:color w:val="000000"/>
          <w:sz w:val="20"/>
        </w:rPr>
        <w:t>The defendant is charged with the crime of obstruction of justice.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used [threats] [force] [corrupt means];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to [obstruct] [try to obstruct] [impede] [try to impede] the administration of justice in a court of the State of Maryland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OBSTRUCTION OF JUSTICE--GENERALLY</w:t>
      </w:r>
    </w:p>
    <w:p w:rsidR="004729FB" w:rsidRDefault="004729FB" w:rsidP="004729FB">
      <w:pPr>
        <w:spacing w:before="200" w:line="260" w:lineRule="atLeast"/>
        <w:jc w:val="both"/>
      </w:pPr>
      <w:r>
        <w:rPr>
          <w:rFonts w:ascii="Arial" w:eastAsia="Arial" w:hAnsi="Arial" w:cs="Arial"/>
          <w:b/>
          <w:color w:val="000000"/>
          <w:sz w:val="20"/>
        </w:rPr>
        <w:t>The defendant is charged with the crime of obstruction of justice.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used [threats] [force] [corrupt means];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to [obstruct] [try to obstruct] [impede] [try to impede] the administration of justice in a court of the State of Maryland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lastRenderedPageBreak/>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II §§ 9-305 and 9-306 prohibit conduct that attempts or succeeds in influencing, intimidating, or impeding, by threats, force, or other corrupt means, any juror, witness, or court officer in the discharge of official duties, and conduct that obstructs and attempts to obstruct the administration of justice in Maryland's courts. CRIM. LAW II §§ 9-305(a)-(b), 9-306(a).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10.8-10.9, at 113-14 (1983); ROLLIN M. PERKINS &amp; RONALD N. BOYCE, CRIMINAL LAW 552-59 (3d ed. 1982); </w:t>
            </w:r>
            <w:r>
              <w:rPr>
                <w:rFonts w:ascii="Arial" w:eastAsia="Arial" w:hAnsi="Arial" w:cs="Arial"/>
                <w:i/>
                <w:color w:val="000000"/>
                <w:sz w:val="20"/>
              </w:rPr>
              <w:t>see also</w:t>
            </w:r>
            <w:r>
              <w:rPr>
                <w:rFonts w:ascii="Arial" w:eastAsia="Arial" w:hAnsi="Arial" w:cs="Arial"/>
                <w:color w:val="000000"/>
                <w:sz w:val="20"/>
              </w:rPr>
              <w:t xml:space="preserve"> WILLIAM LAWRENCE CLARK &amp; WILLIAM LAWRENCE MARSHALL, A TREATISE ON THE LAW OF CRIMES § 14.06, at 1052 (7th ed. 1967). The statute only proscribes acts committed after there has been some judicial action. </w:t>
            </w:r>
            <w:hyperlink r:id="rId1987" w:history="1">
              <w:r>
                <w:rPr>
                  <w:rFonts w:ascii="Arial" w:eastAsia="Arial" w:hAnsi="Arial" w:cs="Arial"/>
                  <w:i/>
                  <w:color w:val="0077CC"/>
                  <w:sz w:val="20"/>
                  <w:u w:val="single"/>
                </w:rPr>
                <w:t>State v. Pagano, 341 Md. 129, 131, 669 A.2d 1339, 1340 (1996)</w:t>
              </w:r>
            </w:hyperlink>
            <w:r>
              <w:rPr>
                <w:rFonts w:ascii="Arial" w:eastAsia="Arial" w:hAnsi="Arial" w:cs="Arial"/>
                <w:color w:val="000000"/>
                <w:sz w:val="20"/>
              </w:rPr>
              <w:t xml:space="preserve"> (holding that the statute applies only after there has been some court involvement).</w:t>
            </w:r>
          </w:p>
          <w:p w:rsidR="004729FB" w:rsidRDefault="004729FB" w:rsidP="00713DA5">
            <w:pPr>
              <w:spacing w:before="200" w:line="260" w:lineRule="atLeast"/>
              <w:ind w:left="60" w:right="360"/>
              <w:jc w:val="both"/>
            </w:pPr>
            <w:r>
              <w:rPr>
                <w:rFonts w:ascii="Arial" w:eastAsia="Arial" w:hAnsi="Arial" w:cs="Arial"/>
                <w:color w:val="000000"/>
                <w:sz w:val="20"/>
              </w:rPr>
              <w:t xml:space="preserve">Sections 9-305 and 9-306 codify the meaning of obstruction of justice developed under the common law. In </w:t>
            </w:r>
            <w:hyperlink r:id="rId1988" w:history="1">
              <w:r>
                <w:rPr>
                  <w:rFonts w:ascii="Arial" w:eastAsia="Arial" w:hAnsi="Arial" w:cs="Arial"/>
                  <w:i/>
                  <w:color w:val="0077CC"/>
                  <w:sz w:val="20"/>
                  <w:u w:val="single"/>
                </w:rPr>
                <w:t>Romans v. State, 178 Md. 588, 592, 16 A.2d 642, 644 (1940),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312 U.S. 695 (1941),</w:t>
            </w:r>
            <w:r>
              <w:rPr>
                <w:rFonts w:ascii="Arial" w:eastAsia="Arial" w:hAnsi="Arial" w:cs="Arial"/>
                <w:color w:val="000000"/>
                <w:sz w:val="20"/>
              </w:rPr>
              <w:t xml:space="preserve"> the Court of Appeals addressed the predecessor statute, MD. CODE ANN., ART. 27, § 26, stating:</w:t>
            </w:r>
          </w:p>
          <w:p w:rsidR="004729FB" w:rsidRDefault="004729FB" w:rsidP="00713DA5">
            <w:pPr>
              <w:spacing w:before="60" w:line="260" w:lineRule="atLeast"/>
              <w:ind w:left="460" w:right="360"/>
              <w:jc w:val="both"/>
            </w:pPr>
            <w:r>
              <w:rPr>
                <w:rFonts w:ascii="Arial" w:eastAsia="Arial" w:hAnsi="Arial" w:cs="Arial"/>
                <w:color w:val="000000"/>
                <w:sz w:val="20"/>
              </w:rPr>
              <w:t>The words of the statute are general and embrace in comprehensive terms various forms of obstruction. Thus the particular acts are not specified but, whatever they may be, if the acts be corrupt, or be threats or force, used in an attempt to influence, intimidate or impede any juror, witness or officer in any court of the State in the discharge of his duty, there is an obstruction of justice. Likewise, if by acts of similar quality and nature the due administration of justice in any court shall either be impeded or obstructed or be so attempted, there is an obstruction of justice. Furthermore, it is quite clear that the corrupt act, or one of threat or force, employed to influence or intimidate or impede any such juror, witness or officer in the discharge of his duty in a court, must necessarily be, also, an endeavor to obstruct or impede in such court the due administration of justice.</w:t>
            </w:r>
          </w:p>
          <w:p w:rsidR="004729FB" w:rsidRDefault="004729FB" w:rsidP="00713DA5">
            <w:pPr>
              <w:spacing w:before="240" w:line="260" w:lineRule="atLeast"/>
              <w:ind w:left="60" w:right="360"/>
              <w:jc w:val="both"/>
            </w:pPr>
            <w:r>
              <w:rPr>
                <w:rFonts w:ascii="Arial" w:eastAsia="Arial" w:hAnsi="Arial" w:cs="Arial"/>
                <w:i/>
                <w:color w:val="000000"/>
                <w:sz w:val="20"/>
              </w:rPr>
              <w:t xml:space="preserve">See </w:t>
            </w:r>
            <w:hyperlink r:id="rId1989" w:history="1">
              <w:r>
                <w:rPr>
                  <w:rFonts w:ascii="Arial" w:eastAsia="Arial" w:hAnsi="Arial" w:cs="Arial"/>
                  <w:i/>
                  <w:color w:val="0077CC"/>
                  <w:sz w:val="20"/>
                  <w:u w:val="single"/>
                </w:rPr>
                <w:t>Lee v. State, 65 Md. App. 587, 501 A.2d 495 (1985)</w:t>
              </w:r>
            </w:hyperlink>
            <w:r>
              <w:rPr>
                <w:rFonts w:ascii="Arial" w:eastAsia="Arial" w:hAnsi="Arial" w:cs="Arial"/>
                <w:color w:val="000000"/>
                <w:sz w:val="20"/>
              </w:rPr>
              <w:t xml:space="preserve"> (sustaining a conviction for obstruction of justice where, after failing to appear for his assault trial, the defendant offered the complaining witness a ride, asked why he had initiated charges, and took out a gun and pointed it at the witness); </w:t>
            </w:r>
            <w:hyperlink r:id="rId1990" w:history="1">
              <w:r>
                <w:rPr>
                  <w:rFonts w:ascii="Arial" w:eastAsia="Arial" w:hAnsi="Arial" w:cs="Arial"/>
                  <w:i/>
                  <w:color w:val="0077CC"/>
                  <w:sz w:val="20"/>
                  <w:u w:val="single"/>
                </w:rPr>
                <w:t>Mayne v. State, 45 Md. App. 483, 488, 414 A.2d 1, 4</w:t>
              </w:r>
            </w:hyperlink>
            <w:r>
              <w:rPr>
                <w:rFonts w:ascii="Arial" w:eastAsia="Arial" w:hAnsi="Arial" w:cs="Arial"/>
                <w:color w:val="000000"/>
                <w:sz w:val="20"/>
              </w:rPr>
              <w:t xml:space="preserve"> (finding obstruction of justice where the defendant substituted another knife for the one that caused his wife's death and gave a false report to the police), </w:t>
            </w:r>
            <w:r>
              <w:rPr>
                <w:rFonts w:ascii="Arial" w:eastAsia="Arial" w:hAnsi="Arial" w:cs="Arial"/>
                <w:i/>
                <w:color w:val="000000"/>
                <w:sz w:val="20"/>
              </w:rPr>
              <w:t>cert. denied</w:t>
            </w:r>
            <w:r>
              <w:rPr>
                <w:rFonts w:ascii="Arial" w:eastAsia="Arial" w:hAnsi="Arial" w:cs="Arial"/>
                <w:color w:val="000000"/>
                <w:sz w:val="20"/>
              </w:rPr>
              <w:t xml:space="preserve">, </w:t>
            </w:r>
            <w:hyperlink r:id="rId1991" w:history="1">
              <w:r>
                <w:rPr>
                  <w:rFonts w:ascii="Arial" w:eastAsia="Arial" w:hAnsi="Arial" w:cs="Arial"/>
                  <w:i/>
                  <w:color w:val="0077CC"/>
                  <w:sz w:val="20"/>
                  <w:u w:val="single"/>
                </w:rPr>
                <w:t>288 Md. 739 (1980),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450 U.S. 910 (1981).</w:t>
            </w:r>
            <w:r>
              <w:rPr>
                <w:rFonts w:ascii="Arial" w:eastAsia="Arial" w:hAnsi="Arial" w:cs="Arial"/>
                <w:color w:val="000000"/>
                <w:sz w:val="20"/>
              </w:rPr>
              <w:t xml:space="preserve"> Acts committed solely in another state, which have the effect of influencing a pending case in Maryland, constitute obstruction of justice in Maryland. </w:t>
            </w:r>
            <w:hyperlink r:id="rId1992" w:history="1">
              <w:r>
                <w:rPr>
                  <w:rFonts w:ascii="Arial" w:eastAsia="Arial" w:hAnsi="Arial" w:cs="Arial"/>
                  <w:i/>
                  <w:color w:val="0077CC"/>
                  <w:sz w:val="20"/>
                  <w:u w:val="single"/>
                </w:rPr>
                <w:t>Pennington v. State, 308 Md. 727, 521 A.2d 1216 (1987).</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Committee has not defined or explained the word "corrupt," believing that it, by itself, connotes its meaning better than a definition would. </w:t>
            </w:r>
            <w:r>
              <w:rPr>
                <w:rFonts w:ascii="Arial" w:eastAsia="Arial" w:hAnsi="Arial" w:cs="Arial"/>
                <w:i/>
                <w:color w:val="000000"/>
                <w:sz w:val="20"/>
              </w:rPr>
              <w:t xml:space="preserve">See </w:t>
            </w:r>
            <w:hyperlink r:id="rId1993" w:history="1">
              <w:r>
                <w:rPr>
                  <w:rFonts w:ascii="Arial" w:eastAsia="Arial" w:hAnsi="Arial" w:cs="Arial"/>
                  <w:i/>
                  <w:color w:val="0077CC"/>
                  <w:sz w:val="20"/>
                  <w:u w:val="single"/>
                </w:rPr>
                <w:t>United States v. Reeves, 752 F.2d 995, 998 (5th Cir. 1985)</w:t>
              </w:r>
            </w:hyperlink>
            <w:r>
              <w:rPr>
                <w:rFonts w:ascii="Arial" w:eastAsia="Arial" w:hAnsi="Arial" w:cs="Arial"/>
                <w:color w:val="000000"/>
                <w:sz w:val="20"/>
              </w:rPr>
              <w:t xml:space="preserve"> (defining "corruptly" as an act "done </w:t>
            </w:r>
            <w:r>
              <w:rPr>
                <w:rFonts w:ascii="Arial" w:eastAsia="Arial" w:hAnsi="Arial" w:cs="Arial"/>
                <w:i/>
                <w:color w:val="000000"/>
                <w:sz w:val="20"/>
              </w:rPr>
              <w:t>with an intent to give some advantage</w:t>
            </w:r>
            <w:r>
              <w:rPr>
                <w:rFonts w:ascii="Arial" w:eastAsia="Arial" w:hAnsi="Arial" w:cs="Arial"/>
                <w:color w:val="000000"/>
                <w:sz w:val="20"/>
              </w:rPr>
              <w:t xml:space="preserve"> inconsistent with the official duty and rights of others" (emphasis in original) (quoting </w:t>
            </w:r>
            <w:hyperlink r:id="rId1994" w:history="1">
              <w:r>
                <w:rPr>
                  <w:rFonts w:ascii="Arial" w:eastAsia="Arial" w:hAnsi="Arial" w:cs="Arial"/>
                  <w:i/>
                  <w:color w:val="0077CC"/>
                  <w:sz w:val="20"/>
                  <w:u w:val="single"/>
                </w:rPr>
                <w:t>United States v. Ogle, 613 F.2d 233, 238 (10th Cir. 1979)));</w:t>
              </w:r>
            </w:hyperlink>
            <w:r>
              <w:rPr>
                <w:rFonts w:ascii="Arial" w:eastAsia="Arial" w:hAnsi="Arial" w:cs="Arial"/>
                <w:color w:val="000000"/>
                <w:sz w:val="20"/>
              </w:rPr>
              <w:t xml:space="preserve"> </w:t>
            </w:r>
            <w:hyperlink r:id="rId1995" w:history="1">
              <w:r>
                <w:rPr>
                  <w:rFonts w:ascii="Arial" w:eastAsia="Arial" w:hAnsi="Arial" w:cs="Arial"/>
                  <w:i/>
                  <w:color w:val="0077CC"/>
                  <w:sz w:val="20"/>
                  <w:u w:val="single"/>
                </w:rPr>
                <w:t>United States v. Ryan, 455 F.2d 728, 734 (9th Cir. 1971)</w:t>
              </w:r>
            </w:hyperlink>
            <w:r>
              <w:rPr>
                <w:rFonts w:ascii="Arial" w:eastAsia="Arial" w:hAnsi="Arial" w:cs="Arial"/>
                <w:color w:val="000000"/>
                <w:sz w:val="20"/>
              </w:rPr>
              <w:t xml:space="preserve"> (defining "corrupt" as with "evil or wicked purpose" and stating that "[s]pecific intent to impede the administration of justice is an essential element").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354" style="position:absolute;left:0;text-align:left;z-index:251983872;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10:53:00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77923714</w:t>
      </w:r>
    </w:p>
    <w:p w:rsidR="004729FB" w:rsidRDefault="004729FB" w:rsidP="004729FB">
      <w:pPr>
        <w:spacing w:before="360" w:line="360" w:lineRule="atLeast"/>
        <w:jc w:val="both"/>
      </w:pPr>
      <w:r>
        <w:rPr>
          <w:rFonts w:ascii="Arial" w:eastAsia="Arial" w:hAnsi="Arial" w:cs="Arial"/>
          <w:b/>
          <w:color w:val="000000"/>
        </w:rPr>
        <w:t>Documents (11)</w:t>
      </w:r>
    </w:p>
    <w:p w:rsidR="004729FB" w:rsidRDefault="004729FB" w:rsidP="004729FB">
      <w:pPr>
        <w:spacing w:before="200" w:line="300" w:lineRule="atLeast"/>
        <w:ind w:left="440" w:hanging="290"/>
      </w:pPr>
      <w:r>
        <w:rPr>
          <w:rFonts w:ascii="Arial" w:eastAsia="Arial" w:hAnsi="Arial" w:cs="Arial"/>
          <w:sz w:val="20"/>
        </w:rPr>
        <w:t>1.</w:t>
      </w:r>
      <w:hyperlink r:id="rId1996" w:history="1">
        <w:r>
          <w:rPr>
            <w:rFonts w:ascii="Arial" w:eastAsia="Arial" w:hAnsi="Arial" w:cs="Arial"/>
            <w:color w:val="000000"/>
            <w:sz w:val="20"/>
            <w:u w:val="single"/>
          </w:rPr>
          <w:t xml:space="preserve"> </w:t>
        </w:r>
      </w:hyperlink>
      <w:hyperlink r:id="rId1997" w:history="1">
        <w:r>
          <w:rPr>
            <w:rFonts w:ascii="Arial" w:eastAsia="Arial" w:hAnsi="Arial" w:cs="Arial"/>
            <w:i/>
            <w:color w:val="0077CC"/>
            <w:sz w:val="20"/>
            <w:u w:val="single"/>
          </w:rPr>
          <w:t>Sexual Offenses--Fourth Degree Sexual Offense (Person in Position Of Authority)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1998" w:history="1">
        <w:r>
          <w:rPr>
            <w:rFonts w:ascii="Arial" w:eastAsia="Arial" w:hAnsi="Arial" w:cs="Arial"/>
            <w:color w:val="000000"/>
            <w:sz w:val="20"/>
            <w:u w:val="single"/>
          </w:rPr>
          <w:t xml:space="preserve"> </w:t>
        </w:r>
      </w:hyperlink>
      <w:hyperlink r:id="rId1999" w:history="1">
        <w:r>
          <w:rPr>
            <w:rFonts w:ascii="Arial" w:eastAsia="Arial" w:hAnsi="Arial" w:cs="Arial"/>
            <w:i/>
            <w:color w:val="0077CC"/>
            <w:sz w:val="20"/>
            <w:u w:val="single"/>
          </w:rPr>
          <w:t>Sexual Offenses--Fourth Degree Sexual Offense (Vaginal Intercourse--Age)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2000" w:history="1">
        <w:r>
          <w:rPr>
            <w:rFonts w:ascii="Arial" w:eastAsia="Arial" w:hAnsi="Arial" w:cs="Arial"/>
            <w:color w:val="000000"/>
            <w:sz w:val="20"/>
            <w:u w:val="single"/>
          </w:rPr>
          <w:t xml:space="preserve"> </w:t>
        </w:r>
      </w:hyperlink>
      <w:hyperlink r:id="rId2001" w:history="1">
        <w:r>
          <w:rPr>
            <w:rFonts w:ascii="Arial" w:eastAsia="Arial" w:hAnsi="Arial" w:cs="Arial"/>
            <w:i/>
            <w:color w:val="0077CC"/>
            <w:sz w:val="20"/>
            <w:u w:val="single"/>
          </w:rPr>
          <w:t>Sexual Offenses--Sexual Conduct Between Correctional Employee and Inmate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2002" w:history="1">
        <w:r>
          <w:rPr>
            <w:rFonts w:ascii="Arial" w:eastAsia="Arial" w:hAnsi="Arial" w:cs="Arial"/>
            <w:color w:val="000000"/>
            <w:sz w:val="20"/>
            <w:u w:val="single"/>
          </w:rPr>
          <w:t xml:space="preserve"> </w:t>
        </w:r>
      </w:hyperlink>
      <w:hyperlink r:id="rId2003" w:history="1">
        <w:r>
          <w:rPr>
            <w:rFonts w:ascii="Arial" w:eastAsia="Arial" w:hAnsi="Arial" w:cs="Arial"/>
            <w:i/>
            <w:color w:val="0077CC"/>
            <w:sz w:val="20"/>
            <w:u w:val="single"/>
          </w:rPr>
          <w:t>Sexual Offenses--Sexual Conduct With Individual Confined in Child Care Institution, Juvenile Detention Center, or Facility for Juveniles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2004" w:history="1">
        <w:r>
          <w:rPr>
            <w:rFonts w:ascii="Arial" w:eastAsia="Arial" w:hAnsi="Arial" w:cs="Arial"/>
            <w:color w:val="000000"/>
            <w:sz w:val="20"/>
            <w:u w:val="single"/>
          </w:rPr>
          <w:t xml:space="preserve"> </w:t>
        </w:r>
      </w:hyperlink>
      <w:hyperlink r:id="rId2005" w:history="1">
        <w:r>
          <w:rPr>
            <w:rFonts w:ascii="Arial" w:eastAsia="Arial" w:hAnsi="Arial" w:cs="Arial"/>
            <w:i/>
            <w:color w:val="0077CC"/>
            <w:sz w:val="20"/>
            <w:u w:val="single"/>
          </w:rPr>
          <w:t>Sexual Offenses--Sexual Conduct Between Court-Ordered Services Provider and Individual Ordered to Obtain Services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2006" w:history="1">
        <w:r>
          <w:rPr>
            <w:rFonts w:ascii="Arial" w:eastAsia="Arial" w:hAnsi="Arial" w:cs="Arial"/>
            <w:color w:val="000000"/>
            <w:sz w:val="20"/>
            <w:u w:val="single"/>
          </w:rPr>
          <w:t xml:space="preserve"> </w:t>
        </w:r>
      </w:hyperlink>
      <w:hyperlink r:id="rId2007" w:history="1">
        <w:r>
          <w:rPr>
            <w:rFonts w:ascii="Arial" w:eastAsia="Arial" w:hAnsi="Arial" w:cs="Arial"/>
            <w:i/>
            <w:color w:val="0077CC"/>
            <w:sz w:val="20"/>
            <w:u w:val="single"/>
          </w:rPr>
          <w:t>Sodomy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2008" w:history="1">
        <w:r>
          <w:rPr>
            <w:rFonts w:ascii="Arial" w:eastAsia="Arial" w:hAnsi="Arial" w:cs="Arial"/>
            <w:color w:val="000000"/>
            <w:sz w:val="20"/>
            <w:u w:val="single"/>
          </w:rPr>
          <w:t xml:space="preserve"> </w:t>
        </w:r>
      </w:hyperlink>
      <w:hyperlink r:id="rId2009" w:history="1">
        <w:r>
          <w:rPr>
            <w:rFonts w:ascii="Arial" w:eastAsia="Arial" w:hAnsi="Arial" w:cs="Arial"/>
            <w:i/>
            <w:color w:val="0077CC"/>
            <w:sz w:val="20"/>
            <w:u w:val="single"/>
          </w:rPr>
          <w:t>Unnatural or Perverted Sexual Practices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2010" w:history="1">
        <w:r>
          <w:rPr>
            <w:rFonts w:ascii="Arial" w:eastAsia="Arial" w:hAnsi="Arial" w:cs="Arial"/>
            <w:color w:val="000000"/>
            <w:sz w:val="20"/>
            <w:u w:val="single"/>
          </w:rPr>
          <w:t xml:space="preserve"> </w:t>
        </w:r>
      </w:hyperlink>
      <w:hyperlink r:id="rId2011" w:history="1">
        <w:r>
          <w:rPr>
            <w:rFonts w:ascii="Arial" w:eastAsia="Arial" w:hAnsi="Arial" w:cs="Arial"/>
            <w:i/>
            <w:color w:val="0077CC"/>
            <w:sz w:val="20"/>
            <w:u w:val="single"/>
          </w:rPr>
          <w:t>Solicitation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2012" w:history="1">
        <w:r>
          <w:rPr>
            <w:rFonts w:ascii="Arial" w:eastAsia="Arial" w:hAnsi="Arial" w:cs="Arial"/>
            <w:color w:val="000000"/>
            <w:sz w:val="20"/>
            <w:u w:val="single"/>
          </w:rPr>
          <w:t xml:space="preserve"> </w:t>
        </w:r>
      </w:hyperlink>
      <w:hyperlink r:id="rId2013" w:history="1">
        <w:r>
          <w:rPr>
            <w:rFonts w:ascii="Arial" w:eastAsia="Arial" w:hAnsi="Arial" w:cs="Arial"/>
            <w:i/>
            <w:color w:val="0077CC"/>
            <w:sz w:val="20"/>
            <w:u w:val="single"/>
          </w:rPr>
          <w:t>Stalking</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2014" w:history="1">
        <w:r>
          <w:rPr>
            <w:rFonts w:ascii="Arial" w:eastAsia="Arial" w:hAnsi="Arial" w:cs="Arial"/>
            <w:color w:val="000000"/>
            <w:sz w:val="20"/>
            <w:u w:val="single"/>
          </w:rPr>
          <w:t xml:space="preserve"> </w:t>
        </w:r>
      </w:hyperlink>
      <w:hyperlink r:id="rId2015" w:history="1">
        <w:r>
          <w:rPr>
            <w:rFonts w:ascii="Arial" w:eastAsia="Arial" w:hAnsi="Arial" w:cs="Arial"/>
            <w:i/>
            <w:color w:val="0077CC"/>
            <w:sz w:val="20"/>
            <w:u w:val="single"/>
          </w:rPr>
          <w:t>§ 7-104(A): Theft--Unauthorized Control</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11.</w:t>
      </w:r>
      <w:hyperlink r:id="rId2016" w:history="1">
        <w:r>
          <w:rPr>
            <w:rFonts w:ascii="Arial" w:eastAsia="Arial" w:hAnsi="Arial" w:cs="Arial"/>
            <w:color w:val="000000"/>
            <w:sz w:val="20"/>
            <w:u w:val="single"/>
          </w:rPr>
          <w:t xml:space="preserve"> </w:t>
        </w:r>
      </w:hyperlink>
      <w:hyperlink r:id="rId2017" w:history="1">
        <w:r>
          <w:rPr>
            <w:rFonts w:ascii="Arial" w:eastAsia="Arial" w:hAnsi="Arial" w:cs="Arial"/>
            <w:i/>
            <w:color w:val="0077CC"/>
            <w:sz w:val="20"/>
            <w:u w:val="single"/>
          </w:rPr>
          <w:t>§ 7-104(b): Theft--Obtaining Control by Deception</w:t>
        </w:r>
      </w:hyperlink>
    </w:p>
    <w:p w:rsidR="004729FB" w:rsidRDefault="004729FB" w:rsidP="004729FB">
      <w:pPr>
        <w:spacing w:before="80" w:line="240" w:lineRule="atLeast"/>
        <w:ind w:left="290"/>
        <w:sectPr w:rsidR="004729FB" w:rsidSect="004729FB">
          <w:headerReference w:type="even" r:id="rId2018"/>
          <w:headerReference w:type="default" r:id="rId2019"/>
          <w:footerReference w:type="even" r:id="rId2020"/>
          <w:footerReference w:type="default" r:id="rId2021"/>
          <w:headerReference w:type="first" r:id="rId2022"/>
          <w:footerReference w:type="first" r:id="rId2023"/>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2" name="Picture 13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30" w:history="1">
        <w:r>
          <w:rPr>
            <w:rFonts w:ascii="Arial" w:eastAsia="Arial" w:hAnsi="Arial" w:cs="Arial"/>
            <w:b/>
            <w:bCs/>
            <w:i/>
            <w:color w:val="0077CC"/>
            <w:kern w:val="32"/>
            <w:sz w:val="28"/>
            <w:szCs w:val="32"/>
            <w:u w:val="single"/>
          </w:rPr>
          <w:t>MPJI-Cr 4:29.10A</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SEXUAL OFFENSES--FOURTH DEGREE SEXUAL OFFENSE (PERSON IN POSITION OF AUTHORITY)</w:t>
      </w:r>
    </w:p>
    <w:p w:rsidR="004729FB" w:rsidRDefault="004729FB" w:rsidP="004729FB">
      <w:pPr>
        <w:keepNext/>
        <w:spacing w:before="240" w:line="340" w:lineRule="atLeast"/>
      </w:pPr>
      <w:r>
        <w:br/>
      </w:r>
      <w:r>
        <w:rPr>
          <w:rFonts w:ascii="Arial" w:eastAsia="Arial" w:hAnsi="Arial" w:cs="Arial"/>
          <w:b/>
          <w:color w:val="000000"/>
          <w:sz w:val="28"/>
        </w:rPr>
        <w:t>4:29.10ASexual Offenses--Fourth Degree Sexual Offense (Person in Position Of Authority)</w:t>
      </w:r>
    </w:p>
    <w:p w:rsidR="004729FB" w:rsidRDefault="004729FB" w:rsidP="004729FB">
      <w:pPr>
        <w:spacing w:line="60" w:lineRule="exact"/>
      </w:pPr>
      <w:r>
        <w:pict>
          <v:line id="_x0000_s1356" style="position:absolute;z-index:25198694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fourth degree sexual offense by a person in a position of authority.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a person in a position of authority</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engaged in [vaginal intercourse] [fellatio] [cunnilingus] [analingus] [anal intercourse] [unlawful penetration] [sexual contact] with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w:t>
      </w:r>
      <w:r>
        <w:rPr>
          <w:rFonts w:ascii="Arial" w:eastAsia="Arial" w:hAnsi="Arial" w:cs="Arial"/>
          <w:b/>
          <w:color w:val="000000"/>
          <w:sz w:val="20"/>
          <w:u w:val="single"/>
        </w:rPr>
        <w:t>name</w:t>
      </w:r>
      <w:r>
        <w:rPr>
          <w:rFonts w:ascii="Arial" w:eastAsia="Arial" w:hAnsi="Arial" w:cs="Arial"/>
          <w:b/>
          <w:color w:val="000000"/>
          <w:sz w:val="20"/>
        </w:rPr>
        <w:t>) was under eighteen years of age at the time of the act; and</w:t>
      </w:r>
    </w:p>
    <w:p w:rsidR="004729FB" w:rsidRDefault="004729FB" w:rsidP="004729FB">
      <w:pPr>
        <w:spacing w:before="200" w:line="260" w:lineRule="atLeast"/>
        <w:ind w:left="400"/>
        <w:jc w:val="both"/>
      </w:pPr>
      <w:r>
        <w:rPr>
          <w:rFonts w:ascii="Arial" w:eastAsia="Arial" w:hAnsi="Arial" w:cs="Arial"/>
          <w:b/>
          <w:color w:val="000000"/>
          <w:sz w:val="20"/>
        </w:rPr>
        <w:t>(4) that at the time of [vaginal intercourse] [fellatio] [cunnilingus] [analingus] [anal intercourse] [unlawful penetration] [sexual contact], (</w:t>
      </w:r>
      <w:r>
        <w:rPr>
          <w:rFonts w:ascii="Arial" w:eastAsia="Arial" w:hAnsi="Arial" w:cs="Arial"/>
          <w:b/>
          <w:color w:val="000000"/>
          <w:sz w:val="20"/>
          <w:u w:val="single"/>
        </w:rPr>
        <w:t>name</w:t>
      </w:r>
      <w:r>
        <w:rPr>
          <w:rFonts w:ascii="Arial" w:eastAsia="Arial" w:hAnsi="Arial" w:cs="Arial"/>
          <w:b/>
          <w:color w:val="000000"/>
          <w:sz w:val="20"/>
        </w:rPr>
        <w:t>) was a student enrolled at a school where the person in a position of authority was employed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[Person in a position of authority means a person who: (i) is at least 21 years old; (ii) is employed by or under contract with a public or private preschool, elementary school, or secondary school; and (iii) because of the person's position or occupation, exercises supervision over a minor who attends that school.]</w:t>
      </w:r>
    </w:p>
    <w:p w:rsidR="004729FB" w:rsidRDefault="004729FB" w:rsidP="004729FB">
      <w:pPr>
        <w:spacing w:before="200" w:line="260" w:lineRule="atLeast"/>
        <w:jc w:val="both"/>
      </w:pPr>
      <w:r>
        <w:rPr>
          <w:rFonts w:ascii="Arial" w:eastAsia="Arial" w:hAnsi="Arial" w:cs="Arial"/>
          <w:b/>
          <w:color w:val="000000"/>
          <w:sz w:val="20"/>
        </w:rPr>
        <w:t>["Vaginal intercourse" means the penetration of the penis into the vagina. The slightest penetration is sufficient and emission of semen is not required.]</w:t>
      </w:r>
    </w:p>
    <w:p w:rsidR="004729FB" w:rsidRDefault="004729FB" w:rsidP="004729FB">
      <w:pPr>
        <w:spacing w:before="200" w:line="260" w:lineRule="atLeast"/>
        <w:jc w:val="both"/>
      </w:pPr>
      <w:r>
        <w:rPr>
          <w:rFonts w:ascii="Arial" w:eastAsia="Arial" w:hAnsi="Arial" w:cs="Arial"/>
          <w:b/>
          <w:color w:val="000000"/>
          <w:sz w:val="20"/>
        </w:rPr>
        <w:t>["Sexual act" means [fellatio] [cunnilingus] [analingus] [anal intercourse] [unlawful penetration].]</w:t>
      </w:r>
    </w:p>
    <w:p w:rsidR="004729FB" w:rsidRDefault="004729FB" w:rsidP="004729FB">
      <w:pPr>
        <w:spacing w:before="200" w:line="260" w:lineRule="atLeast"/>
        <w:jc w:val="both"/>
      </w:pPr>
      <w:r>
        <w:rPr>
          <w:rFonts w:ascii="Arial" w:eastAsia="Arial" w:hAnsi="Arial" w:cs="Arial"/>
          <w:b/>
          <w:color w:val="000000"/>
          <w:sz w:val="20"/>
        </w:rPr>
        <w:t>["Fellatio" means that [the defendant applied [his] [her] mouth to the sexual organ of a 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male defendant].]</w:t>
      </w:r>
    </w:p>
    <w:p w:rsidR="004729FB" w:rsidRDefault="004729FB" w:rsidP="004729FB">
      <w:pPr>
        <w:spacing w:before="200" w:line="260" w:lineRule="atLeast"/>
        <w:jc w:val="both"/>
      </w:pPr>
      <w:r>
        <w:rPr>
          <w:rFonts w:ascii="Arial" w:eastAsia="Arial" w:hAnsi="Arial" w:cs="Arial"/>
          <w:b/>
          <w:color w:val="000000"/>
          <w:sz w:val="20"/>
        </w:rPr>
        <w:t>["Cunnilingus" means that [the defendant applied [his] [her] mouth to the sexual organ of a female]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female defendant].]</w:t>
      </w:r>
    </w:p>
    <w:p w:rsidR="004729FB" w:rsidRDefault="004729FB" w:rsidP="004729FB">
      <w:pPr>
        <w:spacing w:before="200" w:line="260" w:lineRule="atLeast"/>
        <w:jc w:val="both"/>
      </w:pPr>
      <w:r>
        <w:rPr>
          <w:rFonts w:ascii="Arial" w:eastAsia="Arial" w:hAnsi="Arial" w:cs="Arial"/>
          <w:b/>
          <w:color w:val="000000"/>
          <w:sz w:val="20"/>
        </w:rPr>
        <w:t>["Analingus" means that [the defendant applied [his] [her] mouth 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applied [his] [her] mouth to the anus of the defendant].]</w:t>
      </w:r>
    </w:p>
    <w:p w:rsidR="004729FB" w:rsidRDefault="004729FB" w:rsidP="004729FB">
      <w:pPr>
        <w:spacing w:before="200" w:line="260" w:lineRule="atLeast"/>
        <w:jc w:val="both"/>
      </w:pPr>
      <w:r>
        <w:rPr>
          <w:rFonts w:ascii="Arial" w:eastAsia="Arial" w:hAnsi="Arial" w:cs="Arial"/>
          <w:b/>
          <w:color w:val="000000"/>
          <w:sz w:val="20"/>
        </w:rPr>
        <w:t>["Anal intercourse" means that [the defendant placed his penis into the anus of (</w:t>
      </w:r>
      <w:r>
        <w:rPr>
          <w:rFonts w:ascii="Arial" w:eastAsia="Arial" w:hAnsi="Arial" w:cs="Arial"/>
          <w:b/>
          <w:color w:val="000000"/>
          <w:sz w:val="20"/>
          <w:u w:val="single"/>
        </w:rPr>
        <w:t>name</w:t>
      </w:r>
      <w:r>
        <w:rPr>
          <w:rFonts w:ascii="Arial" w:eastAsia="Arial" w:hAnsi="Arial" w:cs="Arial"/>
          <w:b/>
          <w:color w:val="000000"/>
          <w:sz w:val="20"/>
        </w:rPr>
        <w:t>), even the slightest amount] [(</w:t>
      </w:r>
      <w:r>
        <w:rPr>
          <w:rFonts w:ascii="Arial" w:eastAsia="Arial" w:hAnsi="Arial" w:cs="Arial"/>
          <w:b/>
          <w:color w:val="000000"/>
          <w:sz w:val="20"/>
          <w:u w:val="single"/>
        </w:rPr>
        <w:t>name</w:t>
      </w:r>
      <w:r>
        <w:rPr>
          <w:rFonts w:ascii="Arial" w:eastAsia="Arial" w:hAnsi="Arial" w:cs="Arial"/>
          <w:b/>
          <w:color w:val="000000"/>
          <w:sz w:val="20"/>
        </w:rPr>
        <w:t>) placed his penis into the anus of the defendant, even the slightest amount].]</w:t>
      </w:r>
    </w:p>
    <w:p w:rsidR="004729FB" w:rsidRDefault="004729FB" w:rsidP="004729FB">
      <w:pPr>
        <w:spacing w:before="200" w:line="260" w:lineRule="atLeast"/>
        <w:jc w:val="both"/>
      </w:pPr>
      <w:r>
        <w:rPr>
          <w:rFonts w:ascii="Arial" w:eastAsia="Arial" w:hAnsi="Arial" w:cs="Arial"/>
          <w:b/>
          <w:color w:val="000000"/>
          <w:sz w:val="20"/>
        </w:rPr>
        <w:lastRenderedPageBreak/>
        <w:t>["Unlawful penetration" means the penetration, however slight, with an object or part of a person's body into the genital opening or anus of another person's body, if it can be reasonably construed that the act is intended for sexual arousal or gratification or for the abuse of either person.]</w:t>
      </w:r>
    </w:p>
    <w:p w:rsidR="004729FB" w:rsidRDefault="004729FB" w:rsidP="004729FB">
      <w:pPr>
        <w:spacing w:before="200" w:line="260" w:lineRule="atLeast"/>
        <w:jc w:val="both"/>
      </w:pPr>
      <w:r>
        <w:rPr>
          <w:rFonts w:ascii="Arial" w:eastAsia="Arial" w:hAnsi="Arial" w:cs="Arial"/>
          <w:b/>
          <w:color w:val="000000"/>
          <w:sz w:val="20"/>
        </w:rPr>
        <w:t>["Sexual contact" means the intentional touching of the [(</w:t>
      </w:r>
      <w:r>
        <w:rPr>
          <w:rFonts w:ascii="Arial" w:eastAsia="Arial" w:hAnsi="Arial" w:cs="Arial"/>
          <w:b/>
          <w:color w:val="000000"/>
          <w:sz w:val="20"/>
          <w:u w:val="single"/>
        </w:rPr>
        <w:t>name</w:t>
      </w:r>
      <w:r>
        <w:rPr>
          <w:rFonts w:ascii="Arial" w:eastAsia="Arial" w:hAnsi="Arial" w:cs="Arial"/>
          <w:b/>
          <w:color w:val="000000"/>
          <w:sz w:val="20"/>
        </w:rPr>
        <w:t>)] [defendant's] genital or anal area or other intimate parts for the purpose of sexual arousal or gratification or for the abuse of either party.]</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definitions of "sexual contact," "sexual act," and "vaginal intercourse" all come from CRIM. LAW I § 3-301. Neither vaginal intercourse nor any of the sexual acts require the emission of semen. </w:t>
            </w:r>
            <w:r>
              <w:rPr>
                <w:rFonts w:ascii="Arial" w:eastAsia="Arial" w:hAnsi="Arial" w:cs="Arial"/>
                <w:i/>
                <w:color w:val="000000"/>
                <w:sz w:val="20"/>
              </w:rPr>
              <w:t>Id.</w:t>
            </w:r>
            <w:r>
              <w:rPr>
                <w:rFonts w:ascii="Arial" w:eastAsia="Arial" w:hAnsi="Arial" w:cs="Arial"/>
                <w:color w:val="000000"/>
                <w:sz w:val="20"/>
              </w:rPr>
              <w:t xml:space="preserve"> § 3- 301(g)(1), (d)(1). The specific definitions of fellatio, cunnilingus, and analingus all derive from the common law. </w:t>
            </w:r>
            <w:r>
              <w:rPr>
                <w:rFonts w:ascii="Arial" w:eastAsia="Arial" w:hAnsi="Arial" w:cs="Arial"/>
                <w:i/>
                <w:color w:val="000000"/>
                <w:sz w:val="20"/>
              </w:rPr>
              <w:t>See</w:t>
            </w:r>
            <w:r>
              <w:rPr>
                <w:rFonts w:ascii="Arial" w:eastAsia="Arial" w:hAnsi="Arial" w:cs="Arial"/>
                <w:color w:val="000000"/>
                <w:sz w:val="20"/>
              </w:rPr>
              <w:t xml:space="preserve"> Comment to MPJI-Cr 4:29--New (Sexual Offenses--Second Degree Rape). </w:t>
            </w:r>
            <w:r>
              <w:rPr>
                <w:rFonts w:ascii="Arial" w:eastAsia="Arial" w:hAnsi="Arial" w:cs="Arial"/>
                <w:i/>
                <w:color w:val="000000"/>
                <w:sz w:val="20"/>
              </w:rPr>
              <w:t>See also</w:t>
            </w:r>
            <w:r>
              <w:rPr>
                <w:rFonts w:ascii="Arial" w:eastAsia="Arial" w:hAnsi="Arial" w:cs="Arial"/>
                <w:color w:val="000000"/>
                <w:sz w:val="20"/>
              </w:rPr>
              <w:t xml:space="preserve"> RICHARD P. GILBERT &amp; CHARLES E. MOYLAN, JR., MARYLAND CRIMINAL LAW: PRACTICE &amp; PROCEDURE § 6.1, at 83-84 (1983 &amp; Supp. 1990).</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67" style="position:absolute;left:0;text-align:left;z-index:2519982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1" name="Picture 13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37" w:history="1">
        <w:r>
          <w:rPr>
            <w:rFonts w:ascii="Arial" w:eastAsia="Arial" w:hAnsi="Arial" w:cs="Arial"/>
            <w:b/>
            <w:bCs/>
            <w:i/>
            <w:color w:val="0077CC"/>
            <w:kern w:val="32"/>
            <w:sz w:val="28"/>
            <w:szCs w:val="32"/>
            <w:u w:val="single"/>
          </w:rPr>
          <w:t>MPJI-Cr 4:29.11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SEXUAL OFFENSES--FOURTH DEGREE SEXUAL OFFENSE (VAGINAL INTERCOURSE--AGE)</w:t>
      </w:r>
    </w:p>
    <w:p w:rsidR="004729FB" w:rsidRDefault="004729FB" w:rsidP="004729FB">
      <w:pPr>
        <w:keepNext/>
        <w:spacing w:before="240" w:line="340" w:lineRule="atLeast"/>
      </w:pPr>
      <w:r>
        <w:br/>
      </w:r>
      <w:r>
        <w:rPr>
          <w:rFonts w:ascii="Arial" w:eastAsia="Arial" w:hAnsi="Arial" w:cs="Arial"/>
          <w:b/>
          <w:color w:val="000000"/>
          <w:sz w:val="28"/>
        </w:rPr>
        <w:t>4:29.11Sexual Offenses--Fourth Degree Sexual Offense (Vaginal Intercourse--Age)</w:t>
      </w:r>
    </w:p>
    <w:p w:rsidR="004729FB" w:rsidRDefault="004729FB" w:rsidP="004729FB">
      <w:pPr>
        <w:spacing w:line="60" w:lineRule="exact"/>
      </w:pPr>
      <w:r>
        <w:pict>
          <v:line id="_x0000_s1357" style="position:absolute;z-index:2519879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fourth degree sexual offense. In order to convict the defendant of fourth degree sexual offense,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had vaginal intercourse with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w:t>
      </w:r>
      <w:r>
        <w:rPr>
          <w:rFonts w:ascii="Arial" w:eastAsia="Arial" w:hAnsi="Arial" w:cs="Arial"/>
          <w:b/>
          <w:color w:val="000000"/>
          <w:sz w:val="20"/>
          <w:u w:val="single"/>
        </w:rPr>
        <w:t>name</w:t>
      </w:r>
      <w:r>
        <w:rPr>
          <w:rFonts w:ascii="Arial" w:eastAsia="Arial" w:hAnsi="Arial" w:cs="Arial"/>
          <w:b/>
          <w:color w:val="000000"/>
          <w:sz w:val="20"/>
        </w:rPr>
        <w:t>) was fourteen or fifteen years of age at the time of the act; and</w:t>
      </w:r>
    </w:p>
    <w:p w:rsidR="004729FB" w:rsidRDefault="004729FB" w:rsidP="004729FB">
      <w:pPr>
        <w:spacing w:before="200" w:line="260" w:lineRule="atLeast"/>
        <w:ind w:left="400"/>
        <w:jc w:val="both"/>
      </w:pPr>
      <w:r>
        <w:rPr>
          <w:rFonts w:ascii="Arial" w:eastAsia="Arial" w:hAnsi="Arial" w:cs="Arial"/>
          <w:b/>
          <w:color w:val="000000"/>
          <w:sz w:val="20"/>
        </w:rPr>
        <w:t>(3) that the defendant is at least four years older than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Vaginal intercourse means the penetration of the penis into the vagina. The slightest penetration is sufficient and emission of semen is not required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4:29 (Sexual Offenses--Second Degree Rape); MPJI-Cr 4:29.3 (Sexual Offenses--Second Degree Rape (Age)).</w:t>
            </w:r>
          </w:p>
          <w:p w:rsidR="004729FB" w:rsidRDefault="004729FB" w:rsidP="00713DA5">
            <w:pPr>
              <w:spacing w:before="200" w:line="260" w:lineRule="atLeast"/>
              <w:ind w:left="60" w:right="360"/>
              <w:jc w:val="both"/>
            </w:pPr>
            <w:r>
              <w:rPr>
                <w:rFonts w:ascii="Arial" w:eastAsia="Arial" w:hAnsi="Arial" w:cs="Arial"/>
                <w:color w:val="000000"/>
                <w:sz w:val="20"/>
              </w:rPr>
              <w:t>Fourth degree sexual offense includes strict liability for vaginal intercourse with a victim who is fourteen or fifteen years of age by a defendant at least four years older than the victim. CRIM. LAW I § 3-308(b)(3).</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68" style="position:absolute;left:0;text-align:left;z-index:2519992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0" name="Picture 13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44" w:history="1">
        <w:r>
          <w:rPr>
            <w:rFonts w:ascii="Arial" w:eastAsia="Arial" w:hAnsi="Arial" w:cs="Arial"/>
            <w:b/>
            <w:bCs/>
            <w:i/>
            <w:color w:val="0077CC"/>
            <w:kern w:val="32"/>
            <w:sz w:val="28"/>
            <w:szCs w:val="32"/>
            <w:u w:val="single"/>
          </w:rPr>
          <w:t>MPJI-Cr 4:29.12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SEXUAL OFFENSES--SEXUAL CONDUCT BETWEEN CORRECTIONAL EMPLOYEE AND INMATE</w:t>
      </w:r>
    </w:p>
    <w:p w:rsidR="004729FB" w:rsidRDefault="004729FB" w:rsidP="004729FB">
      <w:pPr>
        <w:keepNext/>
        <w:spacing w:before="240" w:line="340" w:lineRule="atLeast"/>
      </w:pPr>
      <w:r>
        <w:br/>
      </w:r>
      <w:r>
        <w:rPr>
          <w:rFonts w:ascii="Arial" w:eastAsia="Arial" w:hAnsi="Arial" w:cs="Arial"/>
          <w:b/>
          <w:color w:val="000000"/>
          <w:sz w:val="28"/>
        </w:rPr>
        <w:t>4:29.12Sexual Offenses--Sexual Conduct Between Correctional Employee and Inmate</w:t>
      </w:r>
    </w:p>
    <w:p w:rsidR="004729FB" w:rsidRDefault="004729FB" w:rsidP="004729FB">
      <w:pPr>
        <w:spacing w:line="60" w:lineRule="exact"/>
      </w:pPr>
      <w:r>
        <w:pict>
          <v:line id="_x0000_s1358" style="position:absolute;z-index:25198899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engaging in sexual conduct with an inmate. In order to convict the defendant of engaging in sexual conduct with an inmate,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[sexual contact] [vaginal intercourse] [a sexual act] with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at the time of the [sexual contact] [vaginal intercourse] [sexual act], the defendant was [a correctional employee] [an employee of the Department of Public Safety and Correctional Services or a correctional facility] [a contractor of the Department of Public Safety and Correctional Services or a correctional facility] [an individual working [or volunteering] in a correctional facility]; and</w:t>
      </w:r>
    </w:p>
    <w:p w:rsidR="004729FB" w:rsidRDefault="004729FB" w:rsidP="004729FB">
      <w:pPr>
        <w:spacing w:before="200" w:line="260" w:lineRule="atLeast"/>
        <w:ind w:left="400"/>
        <w:jc w:val="both"/>
      </w:pPr>
      <w:r>
        <w:rPr>
          <w:rFonts w:ascii="Arial" w:eastAsia="Arial" w:hAnsi="Arial" w:cs="Arial"/>
          <w:b/>
          <w:color w:val="000000"/>
          <w:sz w:val="20"/>
        </w:rPr>
        <w:t>(3) that at the time of [sexual contact] [vaginal intercourse] [sexual act] (</w:t>
      </w:r>
      <w:r>
        <w:rPr>
          <w:rFonts w:ascii="Arial" w:eastAsia="Arial" w:hAnsi="Arial" w:cs="Arial"/>
          <w:b/>
          <w:color w:val="000000"/>
          <w:sz w:val="20"/>
          <w:u w:val="single"/>
        </w:rPr>
        <w:t>name</w:t>
      </w:r>
      <w:r>
        <w:rPr>
          <w:rFonts w:ascii="Arial" w:eastAsia="Arial" w:hAnsi="Arial" w:cs="Arial"/>
          <w:b/>
          <w:color w:val="000000"/>
          <w:sz w:val="20"/>
        </w:rPr>
        <w:t>) was an inmate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inmate is an individual who is actually [or constructively] detained or confined in a correctional facility. [An individual is constructively detained or confined in a correctional facility when the individual is temporarily permitted to leave while still lawfully detained or confined in that facility]. ["Inmate" includes an individual confined in a community adult rehabilitation center]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["Correctional officer" means a member of a correctional unit whose duties relate to the investigation, care, custody, control, or supervision of inmates and individuals who: (i) have been placed on parole or mandatory supervision; (ii) have been placed on probation; or (iii) have received a suspended sentence. A correctional officer also includes a managing official or deputy managing official of a correctional facility.]</w:t>
      </w:r>
    </w:p>
    <w:p w:rsidR="004729FB" w:rsidRDefault="004729FB" w:rsidP="004729FB">
      <w:pPr>
        <w:spacing w:before="200" w:line="260" w:lineRule="atLeast"/>
        <w:jc w:val="both"/>
      </w:pPr>
      <w:r>
        <w:rPr>
          <w:rFonts w:ascii="Arial" w:eastAsia="Arial" w:hAnsi="Arial" w:cs="Arial"/>
          <w:b/>
          <w:color w:val="000000"/>
          <w:sz w:val="20"/>
        </w:rPr>
        <w:t>["Correctional employee" includes a sheriff, warden, or other official who is appointed or employed to supervise a correctional facility.]</w:t>
      </w:r>
    </w:p>
    <w:p w:rsidR="004729FB" w:rsidRDefault="004729FB" w:rsidP="004729FB">
      <w:pPr>
        <w:spacing w:before="200" w:line="260" w:lineRule="atLeast"/>
        <w:jc w:val="both"/>
      </w:pPr>
      <w:r>
        <w:rPr>
          <w:rFonts w:ascii="Arial" w:eastAsia="Arial" w:hAnsi="Arial" w:cs="Arial"/>
          <w:b/>
          <w:color w:val="000000"/>
          <w:sz w:val="20"/>
        </w:rPr>
        <w:t>[A "correctional facility" is a facility operated for the purpose of detaining or confining adults who are charged with or found guilty of a crime.]</w:t>
      </w:r>
    </w:p>
    <w:p w:rsidR="004729FB" w:rsidRDefault="004729FB" w:rsidP="004729FB">
      <w:pPr>
        <w:spacing w:before="200" w:line="260" w:lineRule="atLeast"/>
        <w:jc w:val="both"/>
      </w:pPr>
      <w:r>
        <w:rPr>
          <w:rFonts w:ascii="Arial" w:eastAsia="Arial" w:hAnsi="Arial" w:cs="Arial"/>
          <w:b/>
          <w:color w:val="000000"/>
          <w:sz w:val="20"/>
        </w:rPr>
        <w:t>[A "correctional unit" is a unit of [State] [county] [municipal] government responsible by statute, ordinance, or court order for the investigation, care, custody, control, and supervision of inmates.]</w:t>
      </w:r>
    </w:p>
    <w:p w:rsidR="004729FB" w:rsidRDefault="004729FB" w:rsidP="004729FB">
      <w:pPr>
        <w:spacing w:before="200" w:line="260" w:lineRule="atLeast"/>
        <w:jc w:val="both"/>
      </w:pPr>
      <w:r>
        <w:rPr>
          <w:rFonts w:ascii="Arial" w:eastAsia="Arial" w:hAnsi="Arial" w:cs="Arial"/>
          <w:b/>
          <w:color w:val="000000"/>
          <w:sz w:val="20"/>
        </w:rPr>
        <w:t>["Sexual contact" means the intentional touching of the [victim's] [defendant's] genital or anal area or other intimate parts for the purpose of sexual arousal or gratification or for the abuse of either party. Sexual contact does not include acts commonly expressive of familial or friendly affection, or acts for accepted medical purposes.]</w:t>
      </w:r>
    </w:p>
    <w:p w:rsidR="004729FB" w:rsidRDefault="004729FB" w:rsidP="004729FB">
      <w:pPr>
        <w:spacing w:before="200" w:line="260" w:lineRule="atLeast"/>
        <w:jc w:val="both"/>
      </w:pPr>
      <w:r>
        <w:rPr>
          <w:rFonts w:ascii="Arial" w:eastAsia="Arial" w:hAnsi="Arial" w:cs="Arial"/>
          <w:b/>
          <w:color w:val="000000"/>
          <w:sz w:val="20"/>
        </w:rPr>
        <w:lastRenderedPageBreak/>
        <w:t>["Vaginal intercourse" means the penetration of the penis into the vagina. The slightest penetration is sufficient and emission of semen is not required.]</w:t>
      </w:r>
    </w:p>
    <w:p w:rsidR="004729FB" w:rsidRDefault="004729FB" w:rsidP="004729FB">
      <w:pPr>
        <w:spacing w:before="200" w:line="260" w:lineRule="atLeast"/>
        <w:jc w:val="both"/>
      </w:pPr>
      <w:r>
        <w:rPr>
          <w:rFonts w:ascii="Arial" w:eastAsia="Arial" w:hAnsi="Arial" w:cs="Arial"/>
          <w:b/>
          <w:color w:val="000000"/>
          <w:sz w:val="20"/>
        </w:rPr>
        <w:t>["Sexual act" means [fellatio] [cunnilingus] [analingus] [anal intercourse] [unlawful penetration].]</w:t>
      </w:r>
    </w:p>
    <w:p w:rsidR="004729FB" w:rsidRDefault="004729FB" w:rsidP="004729FB">
      <w:pPr>
        <w:spacing w:before="200" w:line="260" w:lineRule="atLeast"/>
        <w:jc w:val="both"/>
      </w:pPr>
      <w:r>
        <w:rPr>
          <w:rFonts w:ascii="Arial" w:eastAsia="Arial" w:hAnsi="Arial" w:cs="Arial"/>
          <w:b/>
          <w:color w:val="000000"/>
          <w:sz w:val="20"/>
        </w:rPr>
        <w:t>["Fellatio" means that [the defendant applied [his] [her] mouth to the sexual organ of a 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male defendant].]</w:t>
      </w:r>
    </w:p>
    <w:p w:rsidR="004729FB" w:rsidRDefault="004729FB" w:rsidP="004729FB">
      <w:pPr>
        <w:spacing w:before="200" w:line="260" w:lineRule="atLeast"/>
        <w:jc w:val="both"/>
      </w:pPr>
      <w:r>
        <w:rPr>
          <w:rFonts w:ascii="Arial" w:eastAsia="Arial" w:hAnsi="Arial" w:cs="Arial"/>
          <w:b/>
          <w:color w:val="000000"/>
          <w:sz w:val="20"/>
        </w:rPr>
        <w:t>["Cunnilingus" means that [the defendant applied [his] [her] mouth to the sexual organ of a female]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female defendant].]</w:t>
      </w:r>
    </w:p>
    <w:p w:rsidR="004729FB" w:rsidRDefault="004729FB" w:rsidP="004729FB">
      <w:pPr>
        <w:spacing w:before="200" w:line="260" w:lineRule="atLeast"/>
        <w:jc w:val="both"/>
      </w:pPr>
      <w:r>
        <w:rPr>
          <w:rFonts w:ascii="Arial" w:eastAsia="Arial" w:hAnsi="Arial" w:cs="Arial"/>
          <w:b/>
          <w:color w:val="000000"/>
          <w:sz w:val="20"/>
        </w:rPr>
        <w:t>["Analingus" means that [the defendant applied [his] [her] mouth 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applied [his] [her] mouth to the anus of the defendant].]</w:t>
      </w:r>
    </w:p>
    <w:p w:rsidR="004729FB" w:rsidRDefault="004729FB" w:rsidP="004729FB">
      <w:pPr>
        <w:spacing w:before="200" w:line="260" w:lineRule="atLeast"/>
        <w:jc w:val="both"/>
      </w:pPr>
      <w:r>
        <w:rPr>
          <w:rFonts w:ascii="Arial" w:eastAsia="Arial" w:hAnsi="Arial" w:cs="Arial"/>
          <w:b/>
          <w:color w:val="000000"/>
          <w:sz w:val="20"/>
        </w:rPr>
        <w:t>["Anal intercourse" means that [the defendant placed his penis into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placed his penis into the anus of the defendant. The slightest penetration is sufficient].]</w:t>
      </w:r>
    </w:p>
    <w:p w:rsidR="004729FB" w:rsidRDefault="004729FB" w:rsidP="004729FB">
      <w:pPr>
        <w:spacing w:before="200" w:line="260" w:lineRule="atLeast"/>
        <w:jc w:val="both"/>
      </w:pPr>
      <w:r>
        <w:rPr>
          <w:rFonts w:ascii="Arial" w:eastAsia="Arial" w:hAnsi="Arial" w:cs="Arial"/>
          <w:b/>
          <w:color w:val="000000"/>
          <w:sz w:val="20"/>
        </w:rPr>
        <w:t>["Unlawful penetration" means the penetration, however slight, with an object or part of a person's body into the genital opening or anus of another person's body, if it can be reasonably construed that the act is intended for sexual arousal or gratification or for the abuse of either person.]</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This instruction is for a law effective October 1, 2017. The law was derived without substantive change from former Art. 27, § 464G. The definition of 'inmate" comes from subsection (a)(4) and § 1-101(i) of the Correctional Services article. Definitions of correctional officers, employees, facilities, and units come from subsection (a)(2) as well as § 8-201 of the Correctional Services article.</w:t>
            </w:r>
          </w:p>
          <w:p w:rsidR="004729FB" w:rsidRDefault="004729FB" w:rsidP="00713DA5">
            <w:pPr>
              <w:spacing w:before="200" w:line="260" w:lineRule="atLeast"/>
              <w:ind w:left="60" w:right="360"/>
              <w:jc w:val="both"/>
            </w:pPr>
            <w:r>
              <w:rPr>
                <w:rFonts w:ascii="Arial" w:eastAsia="Arial" w:hAnsi="Arial" w:cs="Arial"/>
                <w:color w:val="000000"/>
                <w:sz w:val="20"/>
              </w:rPr>
              <w:t xml:space="preserve">The definition of "sexual contact," "sexual act," and "vaginal intercourse" all come from CRIM. LAW I § 3-301. Vaginal intercourse is not included within the definition of "sexual act." </w:t>
            </w:r>
            <w:r>
              <w:rPr>
                <w:rFonts w:ascii="Arial" w:eastAsia="Arial" w:hAnsi="Arial" w:cs="Arial"/>
                <w:i/>
                <w:color w:val="000000"/>
                <w:sz w:val="20"/>
              </w:rPr>
              <w:t>Id.</w:t>
            </w:r>
            <w:r>
              <w:rPr>
                <w:rFonts w:ascii="Arial" w:eastAsia="Arial" w:hAnsi="Arial" w:cs="Arial"/>
                <w:color w:val="000000"/>
                <w:sz w:val="20"/>
              </w:rPr>
              <w:t xml:space="preserve"> § 3-301(d)(2). Neither vaginal intercourse nor any of the sexual acts require the emission of semen. </w:t>
            </w:r>
            <w:r>
              <w:rPr>
                <w:rFonts w:ascii="Arial" w:eastAsia="Arial" w:hAnsi="Arial" w:cs="Arial"/>
                <w:i/>
                <w:color w:val="000000"/>
                <w:sz w:val="20"/>
              </w:rPr>
              <w:t>Id.</w:t>
            </w:r>
            <w:r>
              <w:rPr>
                <w:rFonts w:ascii="Arial" w:eastAsia="Arial" w:hAnsi="Arial" w:cs="Arial"/>
                <w:color w:val="000000"/>
                <w:sz w:val="20"/>
              </w:rPr>
              <w:t xml:space="preserve"> § 3-301(g)(1), (d)(1). The specific definitions of fellatio, cunnilingus, and analingus all derive from the common law. </w:t>
            </w:r>
            <w:r>
              <w:rPr>
                <w:rFonts w:ascii="Arial" w:eastAsia="Arial" w:hAnsi="Arial" w:cs="Arial"/>
                <w:i/>
                <w:color w:val="000000"/>
                <w:sz w:val="20"/>
              </w:rPr>
              <w:t>See</w:t>
            </w:r>
            <w:r>
              <w:rPr>
                <w:rFonts w:ascii="Arial" w:eastAsia="Arial" w:hAnsi="Arial" w:cs="Arial"/>
                <w:color w:val="000000"/>
                <w:sz w:val="20"/>
              </w:rPr>
              <w:t xml:space="preserve"> Comment to MPJI-Cr 4:29--New (Sexual Offenses--Second Degree Rape). </w:t>
            </w:r>
            <w:r>
              <w:rPr>
                <w:rFonts w:ascii="Arial" w:eastAsia="Arial" w:hAnsi="Arial" w:cs="Arial"/>
                <w:i/>
                <w:color w:val="000000"/>
                <w:sz w:val="20"/>
              </w:rPr>
              <w:t>See also</w:t>
            </w:r>
            <w:r>
              <w:rPr>
                <w:rFonts w:ascii="Arial" w:eastAsia="Arial" w:hAnsi="Arial" w:cs="Arial"/>
                <w:color w:val="000000"/>
                <w:sz w:val="20"/>
              </w:rPr>
              <w:t xml:space="preserve"> RICHARD P. GILBERT &amp; CHARLES E. MOYLAN, JR., MARYLAND CRIMINAL LAW: PRACTICE &amp; PROCEDURE § 6.1, at 83-84 (1983 &amp; Supp. 1990).</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69" style="position:absolute;z-index:25200025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4:29.13, MPJI-Cr 4:29.14.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8" style="position:absolute;left:0;text-align:left;z-index:25200947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9" name="Picture 12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51" w:history="1">
        <w:r>
          <w:rPr>
            <w:rFonts w:ascii="Arial" w:eastAsia="Arial" w:hAnsi="Arial" w:cs="Arial"/>
            <w:b/>
            <w:bCs/>
            <w:i/>
            <w:color w:val="0077CC"/>
            <w:kern w:val="32"/>
            <w:sz w:val="28"/>
            <w:szCs w:val="32"/>
            <w:u w:val="single"/>
          </w:rPr>
          <w:t>MPJI-Cr 4:29.13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SEXUAL OFFENSES--SEXUAL CONDUCT WITH INDIVIDUAL CONFINED IN CHILD CARE INSTITUTION, JUVENILE DETENTION CENTER, OR FACILITY FOR JUVENILES</w:t>
      </w:r>
    </w:p>
    <w:p w:rsidR="004729FB" w:rsidRDefault="004729FB" w:rsidP="004729FB">
      <w:pPr>
        <w:keepNext/>
        <w:spacing w:before="240" w:line="340" w:lineRule="atLeast"/>
      </w:pPr>
      <w:r>
        <w:br/>
      </w:r>
      <w:r>
        <w:rPr>
          <w:rFonts w:ascii="Arial" w:eastAsia="Arial" w:hAnsi="Arial" w:cs="Arial"/>
          <w:b/>
          <w:color w:val="000000"/>
          <w:sz w:val="28"/>
        </w:rPr>
        <w:t>4:29.13Sexual Offenses--Sexual Conduct With Individual Confined in Child Care Institution, Juvenile Detention Center, or Facility for Juveniles</w:t>
      </w:r>
    </w:p>
    <w:p w:rsidR="004729FB" w:rsidRDefault="004729FB" w:rsidP="004729FB">
      <w:pPr>
        <w:spacing w:line="60" w:lineRule="exact"/>
      </w:pPr>
      <w:r>
        <w:pict>
          <v:line id="_x0000_s1359" style="position:absolute;z-index:25199001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engaging in sexual conduct with an individual confined in a [child care institution licensed by the Department of Public Safety and Correctional Services] [Detention center for juveniles] [facility for juveniles]. In order to convict the defendant of engaging in sexual conduct with an individual confined in a [child care institution] [juvenile detention center] [facility for juveniles],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[sexual contact] [vaginal intercourse] [a sexual act] with (</w:t>
      </w:r>
      <w:r>
        <w:rPr>
          <w:rFonts w:ascii="Arial" w:eastAsia="Arial" w:hAnsi="Arial" w:cs="Arial"/>
          <w:b/>
          <w:color w:val="000000"/>
          <w:sz w:val="20"/>
          <w:u w:val="single"/>
        </w:rPr>
        <w:t>name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at the time of the [sexual contact] [vaginal intercourse] [sexual act], (</w:t>
      </w:r>
      <w:r>
        <w:rPr>
          <w:rFonts w:ascii="Arial" w:eastAsia="Arial" w:hAnsi="Arial" w:cs="Arial"/>
          <w:b/>
          <w:color w:val="000000"/>
          <w:sz w:val="20"/>
          <w:u w:val="single"/>
        </w:rPr>
        <w:t>name</w:t>
      </w:r>
      <w:r>
        <w:rPr>
          <w:rFonts w:ascii="Arial" w:eastAsia="Arial" w:hAnsi="Arial" w:cs="Arial"/>
          <w:b/>
          <w:color w:val="000000"/>
          <w:sz w:val="20"/>
        </w:rPr>
        <w:t>) was confine in a [child care institution] [juvenile detention center] [facility for juveniles]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["Sexual contact" means the intentional touching of the [victim's] [defendant's] genital or anal area or other intimate parts for the purpose of sexual arousal or gratification or for the abuse of either party. Sexual contact does not include acts commonly expressive of familial or friendly affection, or acts for accepted medical purposes.]</w:t>
      </w:r>
    </w:p>
    <w:p w:rsidR="004729FB" w:rsidRDefault="004729FB" w:rsidP="004729FB">
      <w:pPr>
        <w:spacing w:before="200" w:line="260" w:lineRule="atLeast"/>
        <w:jc w:val="both"/>
      </w:pPr>
      <w:r>
        <w:rPr>
          <w:rFonts w:ascii="Arial" w:eastAsia="Arial" w:hAnsi="Arial" w:cs="Arial"/>
          <w:b/>
          <w:color w:val="000000"/>
          <w:sz w:val="20"/>
        </w:rPr>
        <w:t>["Vaginal intercourse" means the penetration of the penis into the vagina. The slightest penetration is sufficient and emission of semen is not required.]</w:t>
      </w:r>
    </w:p>
    <w:p w:rsidR="004729FB" w:rsidRDefault="004729FB" w:rsidP="004729FB">
      <w:pPr>
        <w:spacing w:before="200" w:line="260" w:lineRule="atLeast"/>
        <w:jc w:val="both"/>
      </w:pPr>
      <w:r>
        <w:rPr>
          <w:rFonts w:ascii="Arial" w:eastAsia="Arial" w:hAnsi="Arial" w:cs="Arial"/>
          <w:b/>
          <w:color w:val="000000"/>
          <w:sz w:val="20"/>
        </w:rPr>
        <w:t>["Sexual act" means [fellatio] [cunnilingus] [analingus] [anal intercourse] [unlawful penetration].]</w:t>
      </w:r>
    </w:p>
    <w:p w:rsidR="004729FB" w:rsidRDefault="004729FB" w:rsidP="004729FB">
      <w:pPr>
        <w:spacing w:before="200" w:line="260" w:lineRule="atLeast"/>
        <w:jc w:val="both"/>
      </w:pPr>
      <w:r>
        <w:rPr>
          <w:rFonts w:ascii="Arial" w:eastAsia="Arial" w:hAnsi="Arial" w:cs="Arial"/>
          <w:b/>
          <w:color w:val="000000"/>
          <w:sz w:val="20"/>
        </w:rPr>
        <w:t>["Fellatio" means that [the defendant applied [his] [her] mouth to the sexual organ of a 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male defendant].]</w:t>
      </w:r>
    </w:p>
    <w:p w:rsidR="004729FB" w:rsidRDefault="004729FB" w:rsidP="004729FB">
      <w:pPr>
        <w:spacing w:before="200" w:line="260" w:lineRule="atLeast"/>
        <w:jc w:val="both"/>
      </w:pPr>
      <w:r>
        <w:rPr>
          <w:rFonts w:ascii="Arial" w:eastAsia="Arial" w:hAnsi="Arial" w:cs="Arial"/>
          <w:b/>
          <w:color w:val="000000"/>
          <w:sz w:val="20"/>
        </w:rPr>
        <w:t>["Cunnilingus" means that [the defendant applied [his] [her] mouth to the sexual organ of a female]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female defendant].]</w:t>
      </w:r>
    </w:p>
    <w:p w:rsidR="004729FB" w:rsidRDefault="004729FB" w:rsidP="004729FB">
      <w:pPr>
        <w:spacing w:before="200" w:line="260" w:lineRule="atLeast"/>
        <w:jc w:val="both"/>
      </w:pPr>
      <w:r>
        <w:rPr>
          <w:rFonts w:ascii="Arial" w:eastAsia="Arial" w:hAnsi="Arial" w:cs="Arial"/>
          <w:b/>
          <w:color w:val="000000"/>
          <w:sz w:val="20"/>
        </w:rPr>
        <w:t>["Analingus" means that [the defendant applied [his] [her] mouth 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applied [his] [her] mouth to the anus of the defendant].]</w:t>
      </w:r>
    </w:p>
    <w:p w:rsidR="004729FB" w:rsidRDefault="004729FB" w:rsidP="004729FB">
      <w:pPr>
        <w:spacing w:before="200" w:line="260" w:lineRule="atLeast"/>
        <w:jc w:val="both"/>
      </w:pPr>
      <w:r>
        <w:rPr>
          <w:rFonts w:ascii="Arial" w:eastAsia="Arial" w:hAnsi="Arial" w:cs="Arial"/>
          <w:b/>
          <w:color w:val="000000"/>
          <w:sz w:val="20"/>
        </w:rPr>
        <w:t>["Anal intercourse" means that [the defendant placed his penis into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placed his penis into the anus of the defendant. The slightest penetration is sufficient].]</w:t>
      </w:r>
    </w:p>
    <w:p w:rsidR="004729FB" w:rsidRDefault="004729FB" w:rsidP="004729FB">
      <w:pPr>
        <w:spacing w:before="200" w:line="260" w:lineRule="atLeast"/>
        <w:jc w:val="both"/>
      </w:pPr>
      <w:r>
        <w:rPr>
          <w:rFonts w:ascii="Arial" w:eastAsia="Arial" w:hAnsi="Arial" w:cs="Arial"/>
          <w:b/>
          <w:color w:val="000000"/>
          <w:sz w:val="20"/>
        </w:rPr>
        <w:t>["Unlawful penetration" means the penetration, however slight, with an object or part of a person's body into the genital opening or anus of another person's body, if it can be reasonably construed that the act is intended for sexual arousal or gratification or for the abuse of either person.]</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This instruction is for a law effective October 1, 2017. The law was derived without substantive change from former Art. 27, § 464G. The definition of "sexual contact," "sexual act," and "vaginal intercourse" all come from CRIM. LAW I § 3-301. Vaginal intercourse is not included within the definition of "sexual act." </w:t>
            </w:r>
            <w:r>
              <w:rPr>
                <w:rFonts w:ascii="Arial" w:eastAsia="Arial" w:hAnsi="Arial" w:cs="Arial"/>
                <w:i/>
                <w:color w:val="000000"/>
                <w:sz w:val="20"/>
              </w:rPr>
              <w:t>Id.</w:t>
            </w:r>
            <w:r>
              <w:rPr>
                <w:rFonts w:ascii="Arial" w:eastAsia="Arial" w:hAnsi="Arial" w:cs="Arial"/>
                <w:color w:val="000000"/>
                <w:sz w:val="20"/>
              </w:rPr>
              <w:t xml:space="preserve"> § 3-301(d)(2). However, neither vaginal intercourse nor any of the other sexual acts require the emission of semen. </w:t>
            </w:r>
            <w:r>
              <w:rPr>
                <w:rFonts w:ascii="Arial" w:eastAsia="Arial" w:hAnsi="Arial" w:cs="Arial"/>
                <w:i/>
                <w:color w:val="000000"/>
                <w:sz w:val="20"/>
              </w:rPr>
              <w:t>Id.</w:t>
            </w:r>
            <w:r>
              <w:rPr>
                <w:rFonts w:ascii="Arial" w:eastAsia="Arial" w:hAnsi="Arial" w:cs="Arial"/>
                <w:color w:val="000000"/>
                <w:sz w:val="20"/>
              </w:rPr>
              <w:t xml:space="preserve"> § 3-301(g)(1), (d)(1). The specific definitions of fellatio, cunnilingus, and analingus all derive from the common law. </w:t>
            </w:r>
            <w:r>
              <w:rPr>
                <w:rFonts w:ascii="Arial" w:eastAsia="Arial" w:hAnsi="Arial" w:cs="Arial"/>
                <w:i/>
                <w:color w:val="000000"/>
                <w:sz w:val="20"/>
              </w:rPr>
              <w:t>See</w:t>
            </w:r>
            <w:r>
              <w:rPr>
                <w:rFonts w:ascii="Arial" w:eastAsia="Arial" w:hAnsi="Arial" w:cs="Arial"/>
                <w:color w:val="000000"/>
                <w:sz w:val="20"/>
              </w:rPr>
              <w:t xml:space="preserve"> Comment to MPJI-Cr 4:29--New (Sexual Offenses--Second Degree Rape). </w:t>
            </w:r>
            <w:r>
              <w:rPr>
                <w:rFonts w:ascii="Arial" w:eastAsia="Arial" w:hAnsi="Arial" w:cs="Arial"/>
                <w:i/>
                <w:color w:val="000000"/>
                <w:sz w:val="20"/>
              </w:rPr>
              <w:t>See also</w:t>
            </w:r>
            <w:r>
              <w:rPr>
                <w:rFonts w:ascii="Arial" w:eastAsia="Arial" w:hAnsi="Arial" w:cs="Arial"/>
                <w:color w:val="000000"/>
                <w:sz w:val="20"/>
              </w:rPr>
              <w:t xml:space="preserve"> RICHARD P. GILBERT &amp; CHARLES E. MOYLAN, JR., MARYLAND CRIMINAL LAW: PRACTICE &amp; PROCEDURE § 6.1, at 83-84 (1983 &amp; Supp. 1990).</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70" style="position:absolute;z-index:25200128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4:29.12, MPJI-Cr 4:29.14.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9" style="position:absolute;left:0;text-align:left;z-index:25201049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8" name="Picture 12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58" w:history="1">
        <w:r>
          <w:rPr>
            <w:rFonts w:ascii="Arial" w:eastAsia="Arial" w:hAnsi="Arial" w:cs="Arial"/>
            <w:b/>
            <w:bCs/>
            <w:i/>
            <w:color w:val="0077CC"/>
            <w:kern w:val="32"/>
            <w:sz w:val="28"/>
            <w:szCs w:val="32"/>
            <w:u w:val="single"/>
          </w:rPr>
          <w:t>MPJI-Cr 4:29.14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SEXUAL OFFENSES--SEXUAL CONDUCT BETWEEN COURT-ORDERED SERVICES PROVIDER AND INDIVIDUAL ORDERED TO OBTAIN SERVICES</w:t>
      </w:r>
    </w:p>
    <w:p w:rsidR="004729FB" w:rsidRDefault="004729FB" w:rsidP="004729FB">
      <w:pPr>
        <w:keepNext/>
        <w:spacing w:before="240" w:line="340" w:lineRule="atLeast"/>
      </w:pPr>
      <w:r>
        <w:br/>
      </w:r>
      <w:r>
        <w:rPr>
          <w:rFonts w:ascii="Arial" w:eastAsia="Arial" w:hAnsi="Arial" w:cs="Arial"/>
          <w:b/>
          <w:color w:val="000000"/>
          <w:sz w:val="28"/>
        </w:rPr>
        <w:t>4:29.14Sexual Offenses--Sexual Conduct Between Court-Ordered Services Provider and Individual Ordered to Obtain Services</w:t>
      </w:r>
    </w:p>
    <w:p w:rsidR="004729FB" w:rsidRDefault="004729FB" w:rsidP="004729FB">
      <w:pPr>
        <w:spacing w:line="60" w:lineRule="exact"/>
      </w:pPr>
      <w:r>
        <w:pict>
          <v:line id="_x0000_s1360" style="position:absolute;z-index:2519910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engaging in sexual conduct with an individual ordered to obtain services while serving as a court ordered service provider.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[sexual contact] [vaginal intercourse] [a sexual act] with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at the time of the [sexual contact] [vaginal intercourse] [sexual act], the defendant was a court ordered services provider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(3) that at the time of the [sexual contact] [vaginal intercourse] [sexual act], (</w:t>
      </w:r>
      <w:r>
        <w:rPr>
          <w:rFonts w:ascii="Arial" w:eastAsia="Arial" w:hAnsi="Arial" w:cs="Arial"/>
          <w:b/>
          <w:color w:val="000000"/>
          <w:sz w:val="20"/>
          <w:u w:val="single"/>
        </w:rPr>
        <w:t>name</w:t>
      </w:r>
      <w:r>
        <w:rPr>
          <w:rFonts w:ascii="Arial" w:eastAsia="Arial" w:hAnsi="Arial" w:cs="Arial"/>
          <w:b/>
          <w:color w:val="000000"/>
          <w:sz w:val="20"/>
        </w:rPr>
        <w:t>) had been ordered to obtain services; and</w:t>
      </w:r>
    </w:p>
    <w:p w:rsidR="004729FB" w:rsidRDefault="004729FB" w:rsidP="004729FB">
      <w:pPr>
        <w:spacing w:before="200" w:line="260" w:lineRule="atLeast"/>
        <w:ind w:left="400"/>
        <w:jc w:val="both"/>
      </w:pPr>
      <w:r>
        <w:rPr>
          <w:rFonts w:ascii="Arial" w:eastAsia="Arial" w:hAnsi="Arial" w:cs="Arial"/>
          <w:b/>
          <w:color w:val="000000"/>
          <w:sz w:val="20"/>
        </w:rPr>
        <w:t>(4) that at the time of the [sexual contact] [vaginal intercourse] [sexual act], the order for services was in effect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court ordered services provider is a person who provides services to an individual who has been ordered by the court, the Division of Parole and Probation, or the Department of Juvenile Services to obtain those services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["Sexual contact" means the intentional touching of the [victim's] [defendant's] genital or anal area or other intimate parts for the purpose of sexual arousal or gratification or for the abuse of either party. Sexual contact does not include acts commonly expressive of familial or friendly affection, or acts for accepted medical purposes.]</w:t>
      </w:r>
    </w:p>
    <w:p w:rsidR="004729FB" w:rsidRDefault="004729FB" w:rsidP="004729FB">
      <w:pPr>
        <w:spacing w:before="200" w:line="260" w:lineRule="atLeast"/>
        <w:jc w:val="both"/>
      </w:pPr>
      <w:r>
        <w:rPr>
          <w:rFonts w:ascii="Arial" w:eastAsia="Arial" w:hAnsi="Arial" w:cs="Arial"/>
          <w:b/>
          <w:color w:val="000000"/>
          <w:sz w:val="20"/>
        </w:rPr>
        <w:t>["Vaginal intercourse" means the penetration of the penis into the vagina. The slightest penetration is sufficient and emission of semen is not required.]</w:t>
      </w:r>
    </w:p>
    <w:p w:rsidR="004729FB" w:rsidRDefault="004729FB" w:rsidP="004729FB">
      <w:pPr>
        <w:spacing w:before="200" w:line="260" w:lineRule="atLeast"/>
        <w:jc w:val="both"/>
      </w:pPr>
      <w:r>
        <w:rPr>
          <w:rFonts w:ascii="Arial" w:eastAsia="Arial" w:hAnsi="Arial" w:cs="Arial"/>
          <w:b/>
          <w:color w:val="000000"/>
          <w:sz w:val="20"/>
        </w:rPr>
        <w:t>["Sexual act" means [fellatio] [cunnilingus] [analingus] [anal intercourse] [unlawful penetration].]</w:t>
      </w:r>
    </w:p>
    <w:p w:rsidR="004729FB" w:rsidRDefault="004729FB" w:rsidP="004729FB">
      <w:pPr>
        <w:spacing w:before="200" w:line="260" w:lineRule="atLeast"/>
        <w:jc w:val="both"/>
      </w:pPr>
      <w:r>
        <w:rPr>
          <w:rFonts w:ascii="Arial" w:eastAsia="Arial" w:hAnsi="Arial" w:cs="Arial"/>
          <w:b/>
          <w:color w:val="000000"/>
          <w:sz w:val="20"/>
        </w:rPr>
        <w:t>["Fellatio" means that [the defendant applied [his] [her] mouth to the sexual organ of a 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male defendant].]</w:t>
      </w:r>
    </w:p>
    <w:p w:rsidR="004729FB" w:rsidRDefault="004729FB" w:rsidP="004729FB">
      <w:pPr>
        <w:spacing w:before="200" w:line="260" w:lineRule="atLeast"/>
        <w:jc w:val="both"/>
      </w:pPr>
      <w:r>
        <w:rPr>
          <w:rFonts w:ascii="Arial" w:eastAsia="Arial" w:hAnsi="Arial" w:cs="Arial"/>
          <w:b/>
          <w:color w:val="000000"/>
          <w:sz w:val="20"/>
        </w:rPr>
        <w:t>["Cunnilingus" means that [the defendant applied [his] [her] mouth to the sexual organ of a female] [(</w:t>
      </w:r>
      <w:r>
        <w:rPr>
          <w:rFonts w:ascii="Arial" w:eastAsia="Arial" w:hAnsi="Arial" w:cs="Arial"/>
          <w:b/>
          <w:color w:val="000000"/>
          <w:sz w:val="20"/>
          <w:u w:val="single"/>
        </w:rPr>
        <w:t>name</w:t>
      </w:r>
      <w:r>
        <w:rPr>
          <w:rFonts w:ascii="Arial" w:eastAsia="Arial" w:hAnsi="Arial" w:cs="Arial"/>
          <w:b/>
          <w:color w:val="000000"/>
          <w:sz w:val="20"/>
        </w:rPr>
        <w:t>) applied [his] [her] mouth to the sexual organ of the female defendant].]</w:t>
      </w:r>
    </w:p>
    <w:p w:rsidR="004729FB" w:rsidRDefault="004729FB" w:rsidP="004729FB">
      <w:pPr>
        <w:spacing w:before="200" w:line="260" w:lineRule="atLeast"/>
        <w:jc w:val="both"/>
      </w:pPr>
      <w:r>
        <w:rPr>
          <w:rFonts w:ascii="Arial" w:eastAsia="Arial" w:hAnsi="Arial" w:cs="Arial"/>
          <w:b/>
          <w:color w:val="000000"/>
          <w:sz w:val="20"/>
        </w:rPr>
        <w:t>["Analingus" means that [the defendant applied [his] [her] mouth 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applied [his] [her] mouth to the anus of the defendant].]</w:t>
      </w:r>
    </w:p>
    <w:p w:rsidR="004729FB" w:rsidRDefault="004729FB" w:rsidP="004729FB">
      <w:pPr>
        <w:spacing w:before="200" w:line="260" w:lineRule="atLeast"/>
        <w:jc w:val="both"/>
      </w:pPr>
      <w:r>
        <w:rPr>
          <w:rFonts w:ascii="Arial" w:eastAsia="Arial" w:hAnsi="Arial" w:cs="Arial"/>
          <w:b/>
          <w:color w:val="000000"/>
          <w:sz w:val="20"/>
        </w:rPr>
        <w:lastRenderedPageBreak/>
        <w:t>["Anal intercourse" means that [the defendant placed his penis into the anus of (</w:t>
      </w:r>
      <w:r>
        <w:rPr>
          <w:rFonts w:ascii="Arial" w:eastAsia="Arial" w:hAnsi="Arial" w:cs="Arial"/>
          <w:b/>
          <w:color w:val="000000"/>
          <w:sz w:val="20"/>
          <w:u w:val="single"/>
        </w:rPr>
        <w:t>name</w:t>
      </w:r>
      <w:r>
        <w:rPr>
          <w:rFonts w:ascii="Arial" w:eastAsia="Arial" w:hAnsi="Arial" w:cs="Arial"/>
          <w:b/>
          <w:color w:val="000000"/>
          <w:sz w:val="20"/>
        </w:rPr>
        <w:t>)] [(</w:t>
      </w:r>
      <w:r>
        <w:rPr>
          <w:rFonts w:ascii="Arial" w:eastAsia="Arial" w:hAnsi="Arial" w:cs="Arial"/>
          <w:b/>
          <w:color w:val="000000"/>
          <w:sz w:val="20"/>
          <w:u w:val="single"/>
        </w:rPr>
        <w:t>name</w:t>
      </w:r>
      <w:r>
        <w:rPr>
          <w:rFonts w:ascii="Arial" w:eastAsia="Arial" w:hAnsi="Arial" w:cs="Arial"/>
          <w:b/>
          <w:color w:val="000000"/>
          <w:sz w:val="20"/>
        </w:rPr>
        <w:t>) placed his penis into the anus of the defendant. The slightest penetration is sufficient].]</w:t>
      </w:r>
    </w:p>
    <w:p w:rsidR="004729FB" w:rsidRDefault="004729FB" w:rsidP="004729FB">
      <w:pPr>
        <w:spacing w:before="200" w:line="260" w:lineRule="atLeast"/>
        <w:jc w:val="both"/>
      </w:pPr>
      <w:r>
        <w:rPr>
          <w:rFonts w:ascii="Arial" w:eastAsia="Arial" w:hAnsi="Arial" w:cs="Arial"/>
          <w:b/>
          <w:color w:val="000000"/>
          <w:sz w:val="20"/>
        </w:rPr>
        <w:t>["Unlawful penetration" means the penetration, however slight, with an object or part of a person's body into the genital opening or anus of another person's body, if it can be reasonably construed that the act is intended for sexual arousal or gratification or for the abuse of either person.]</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This instruction is for a law effective October 1, 2017. The law was derived without substantive change from former Art. 27, § 464G. The definition of "court ordered service provider" comes from CRIM. LAW I § 3-314(a)(3).</w:t>
            </w:r>
          </w:p>
          <w:p w:rsidR="004729FB" w:rsidRDefault="004729FB" w:rsidP="00713DA5">
            <w:pPr>
              <w:spacing w:before="200" w:line="260" w:lineRule="atLeast"/>
              <w:ind w:left="60" w:right="360"/>
              <w:jc w:val="both"/>
            </w:pPr>
            <w:r>
              <w:rPr>
                <w:rFonts w:ascii="Arial" w:eastAsia="Arial" w:hAnsi="Arial" w:cs="Arial"/>
                <w:color w:val="000000"/>
                <w:sz w:val="20"/>
              </w:rPr>
              <w:t xml:space="preserve">The definition of "sexual contact," "sexual act," and "vaginal intercourse" all come from CRIM. LAW I § 3-301. Vaginal intercourse is not included within the definition of "sexual act." </w:t>
            </w:r>
            <w:r>
              <w:rPr>
                <w:rFonts w:ascii="Arial" w:eastAsia="Arial" w:hAnsi="Arial" w:cs="Arial"/>
                <w:i/>
                <w:color w:val="000000"/>
                <w:sz w:val="20"/>
              </w:rPr>
              <w:t>Id.</w:t>
            </w:r>
            <w:r>
              <w:rPr>
                <w:rFonts w:ascii="Arial" w:eastAsia="Arial" w:hAnsi="Arial" w:cs="Arial"/>
                <w:color w:val="000000"/>
                <w:sz w:val="20"/>
              </w:rPr>
              <w:t xml:space="preserve"> § 3-301(d)(2). However, neither vaginal intercourse nor any of the other sexual acts require the emission of semen. </w:t>
            </w:r>
            <w:r>
              <w:rPr>
                <w:rFonts w:ascii="Arial" w:eastAsia="Arial" w:hAnsi="Arial" w:cs="Arial"/>
                <w:i/>
                <w:color w:val="000000"/>
                <w:sz w:val="20"/>
              </w:rPr>
              <w:t>Id.</w:t>
            </w:r>
            <w:r>
              <w:rPr>
                <w:rFonts w:ascii="Arial" w:eastAsia="Arial" w:hAnsi="Arial" w:cs="Arial"/>
                <w:color w:val="000000"/>
                <w:sz w:val="20"/>
              </w:rPr>
              <w:t xml:space="preserve"> § 3-301(g)(1), (d)(1). The specific definitions of fellatio, cunnilingus, and analingus all derive from the common law. </w:t>
            </w:r>
            <w:r>
              <w:rPr>
                <w:rFonts w:ascii="Arial" w:eastAsia="Arial" w:hAnsi="Arial" w:cs="Arial"/>
                <w:i/>
                <w:color w:val="000000"/>
                <w:sz w:val="20"/>
              </w:rPr>
              <w:t>See</w:t>
            </w:r>
            <w:r>
              <w:rPr>
                <w:rFonts w:ascii="Arial" w:eastAsia="Arial" w:hAnsi="Arial" w:cs="Arial"/>
                <w:color w:val="000000"/>
                <w:sz w:val="20"/>
              </w:rPr>
              <w:t xml:space="preserve"> Comment to MPJI-Cr 4:29--New (Sexual Offenses--Second Degree Rape). </w:t>
            </w:r>
            <w:r>
              <w:rPr>
                <w:rFonts w:ascii="Arial" w:eastAsia="Arial" w:hAnsi="Arial" w:cs="Arial"/>
                <w:i/>
                <w:color w:val="000000"/>
                <w:sz w:val="20"/>
              </w:rPr>
              <w:t>See also</w:t>
            </w:r>
            <w:r>
              <w:rPr>
                <w:rFonts w:ascii="Arial" w:eastAsia="Arial" w:hAnsi="Arial" w:cs="Arial"/>
                <w:color w:val="000000"/>
                <w:sz w:val="20"/>
              </w:rPr>
              <w:t xml:space="preserve"> RICHARD P. GILBERT &amp; CHARLES E. MOYLAN, JR., MARYLAND CRIMINAL LAW: PRACTICE &amp; PROCEDURE § 6.1, at 83-84 (1983 &amp; Supp. 1990).</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71" style="position:absolute;z-index:25200230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4:29.12, MPJI-Cr 4:29.13.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80" style="position:absolute;left:0;text-align:left;z-index:25201152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7" name="Picture 12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65" w:history="1">
        <w:r>
          <w:rPr>
            <w:rFonts w:ascii="Arial" w:eastAsia="Arial" w:hAnsi="Arial" w:cs="Arial"/>
            <w:b/>
            <w:bCs/>
            <w:i/>
            <w:color w:val="0077CC"/>
            <w:kern w:val="32"/>
            <w:sz w:val="28"/>
            <w:szCs w:val="32"/>
            <w:u w:val="single"/>
          </w:rPr>
          <w:t>MPJI-Cr 4:30</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SODOMY</w:t>
      </w:r>
    </w:p>
    <w:p w:rsidR="004729FB" w:rsidRDefault="004729FB" w:rsidP="004729FB">
      <w:pPr>
        <w:keepNext/>
        <w:spacing w:before="240" w:line="340" w:lineRule="atLeast"/>
      </w:pPr>
      <w:r>
        <w:br/>
      </w:r>
      <w:r>
        <w:rPr>
          <w:rFonts w:ascii="Arial" w:eastAsia="Arial" w:hAnsi="Arial" w:cs="Arial"/>
          <w:b/>
          <w:color w:val="000000"/>
          <w:sz w:val="28"/>
        </w:rPr>
        <w:t>4:30Sodomy</w:t>
      </w:r>
    </w:p>
    <w:p w:rsidR="004729FB" w:rsidRDefault="004729FB" w:rsidP="004729FB">
      <w:pPr>
        <w:spacing w:line="60" w:lineRule="exact"/>
      </w:pPr>
      <w:r>
        <w:pict>
          <v:line id="_x0000_s1361" style="position:absolute;z-index:2519920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sodomy. In order to convict the defendant of sodomy, the State must prove that the defendant [placed his penis into the anus of another person] [permitted another person to place his penis into the anus of the defendant]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crime of sodomy requires the penetration of the penis into the anus. The slightest penetration is sufficient and the emission of semen is not required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4:29.4 (Sexual Offenses--Second Degree Sexual Offense); MPJI-Cr 4:30.1 (Unnatural or Perverted Sexual Practices (Reserved)).</w:t>
            </w:r>
          </w:p>
          <w:p w:rsidR="004729FB" w:rsidRDefault="004729FB" w:rsidP="00713DA5">
            <w:pPr>
              <w:spacing w:before="200" w:line="260" w:lineRule="atLeast"/>
              <w:ind w:left="60" w:right="360"/>
              <w:jc w:val="both"/>
            </w:pPr>
            <w:r>
              <w:rPr>
                <w:rFonts w:ascii="Arial" w:eastAsia="Arial" w:hAnsi="Arial" w:cs="Arial"/>
                <w:color w:val="000000"/>
                <w:sz w:val="20"/>
              </w:rPr>
              <w:t xml:space="preserve">Sodomy is a common law offense with a statutory penalty. </w:t>
            </w:r>
            <w:r>
              <w:rPr>
                <w:rFonts w:ascii="Arial" w:eastAsia="Arial" w:hAnsi="Arial" w:cs="Arial"/>
                <w:i/>
                <w:color w:val="000000"/>
                <w:sz w:val="20"/>
              </w:rPr>
              <w:t>See</w:t>
            </w:r>
            <w:r>
              <w:rPr>
                <w:rFonts w:ascii="Arial" w:eastAsia="Arial" w:hAnsi="Arial" w:cs="Arial"/>
                <w:color w:val="000000"/>
                <w:sz w:val="20"/>
              </w:rPr>
              <w:t xml:space="preserve"> CRIM. LAW I § 3-321. At common law, sodomy covered bestiality and buggery. "Bestiality is carnal copulation with beast by either man or woman. Buggery is copulation per annum by a man either with another man or a woman. If committed by a man with a young boy, it is sometimes called 'pederasty.'" ROLLIN M. PERKINS &amp; RONALD N. BOYCE, CRIMINAL LAW 465 (3d ed. 1982); </w:t>
            </w:r>
            <w:r>
              <w:rPr>
                <w:rFonts w:ascii="Arial" w:eastAsia="Arial" w:hAnsi="Arial" w:cs="Arial"/>
                <w:i/>
                <w:color w:val="000000"/>
                <w:sz w:val="20"/>
              </w:rPr>
              <w:t xml:space="preserve">see </w:t>
            </w:r>
            <w:hyperlink r:id="rId2066" w:history="1">
              <w:r>
                <w:rPr>
                  <w:rFonts w:ascii="Arial" w:eastAsia="Arial" w:hAnsi="Arial" w:cs="Arial"/>
                  <w:i/>
                  <w:color w:val="0077CC"/>
                  <w:sz w:val="20"/>
                  <w:u w:val="single"/>
                </w:rPr>
                <w:t>Daniels v. State, 237 Md. 71, 205 A.2d 295 (1964).</w:t>
              </w:r>
            </w:hyperlink>
            <w:r>
              <w:rPr>
                <w:rFonts w:ascii="Arial" w:eastAsia="Arial" w:hAnsi="Arial" w:cs="Arial"/>
                <w:color w:val="000000"/>
                <w:sz w:val="20"/>
              </w:rPr>
              <w:t xml:space="preserve"> Penetration is required, but it need only be slight. </w:t>
            </w:r>
            <w:hyperlink r:id="rId2067" w:history="1">
              <w:r>
                <w:rPr>
                  <w:rFonts w:ascii="Arial" w:eastAsia="Arial" w:hAnsi="Arial" w:cs="Arial"/>
                  <w:i/>
                  <w:color w:val="0077CC"/>
                  <w:sz w:val="20"/>
                  <w:u w:val="single"/>
                </w:rPr>
                <w:t>Bradbury v. State, 233 Md. 421, 423, 197 A.2d 127, 127 (1964);</w:t>
              </w:r>
            </w:hyperlink>
            <w:r>
              <w:rPr>
                <w:rFonts w:ascii="Arial" w:eastAsia="Arial" w:hAnsi="Arial" w:cs="Arial"/>
                <w:color w:val="000000"/>
                <w:sz w:val="20"/>
              </w:rPr>
              <w:t xml:space="preserve"> </w:t>
            </w:r>
            <w:hyperlink r:id="rId2068" w:history="1">
              <w:r>
                <w:rPr>
                  <w:rFonts w:ascii="Arial" w:eastAsia="Arial" w:hAnsi="Arial" w:cs="Arial"/>
                  <w:i/>
                  <w:color w:val="0077CC"/>
                  <w:sz w:val="20"/>
                  <w:u w:val="single"/>
                </w:rPr>
                <w:t>Canter v. State, 224 Md. 483, 484-85, 168 A.2d 384, 384-85 (1961)</w:t>
              </w:r>
            </w:hyperlink>
            <w:r>
              <w:rPr>
                <w:rFonts w:ascii="Arial" w:eastAsia="Arial" w:hAnsi="Arial" w:cs="Arial"/>
                <w:color w:val="000000"/>
                <w:sz w:val="20"/>
              </w:rPr>
              <w:t xml:space="preserve"> (per curiam); </w:t>
            </w:r>
            <w:hyperlink r:id="rId2069" w:history="1">
              <w:r>
                <w:rPr>
                  <w:rFonts w:ascii="Arial" w:eastAsia="Arial" w:hAnsi="Arial" w:cs="Arial"/>
                  <w:i/>
                  <w:color w:val="0077CC"/>
                  <w:sz w:val="20"/>
                  <w:u w:val="single"/>
                </w:rPr>
                <w:t>Jones v. State, 11 Md. App. 468, 476-77, 275 A.2d 508, 512</w:t>
              </w:r>
            </w:hyperlink>
            <w:r>
              <w:rPr>
                <w:rFonts w:ascii="Arial" w:eastAsia="Arial" w:hAnsi="Arial" w:cs="Arial"/>
                <w:color w:val="000000"/>
                <w:sz w:val="20"/>
              </w:rPr>
              <w:t xml:space="preserve"> (affirming a conviction for sodomy based on circumstantial evidence),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262 Md. 747 (1971).</w:t>
            </w:r>
          </w:p>
          <w:p w:rsidR="004729FB" w:rsidRDefault="004729FB" w:rsidP="00713DA5">
            <w:pPr>
              <w:spacing w:before="200" w:line="260" w:lineRule="atLeast"/>
              <w:ind w:left="60" w:right="360"/>
              <w:jc w:val="both"/>
            </w:pPr>
            <w:r>
              <w:rPr>
                <w:rFonts w:ascii="Arial" w:eastAsia="Arial" w:hAnsi="Arial" w:cs="Arial"/>
                <w:color w:val="000000"/>
                <w:sz w:val="20"/>
              </w:rPr>
              <w:t xml:space="preserve">In </w:t>
            </w:r>
            <w:hyperlink r:id="rId2070" w:history="1">
              <w:r>
                <w:rPr>
                  <w:rFonts w:ascii="Arial" w:eastAsia="Arial" w:hAnsi="Arial" w:cs="Arial"/>
                  <w:i/>
                  <w:color w:val="0077CC"/>
                  <w:sz w:val="20"/>
                  <w:u w:val="single"/>
                </w:rPr>
                <w:t>Lawrence v. Texas, 539 U.S. 558 (2003),</w:t>
              </w:r>
            </w:hyperlink>
            <w:r>
              <w:rPr>
                <w:rFonts w:ascii="Arial" w:eastAsia="Arial" w:hAnsi="Arial" w:cs="Arial"/>
                <w:color w:val="000000"/>
                <w:sz w:val="20"/>
              </w:rPr>
              <w:t xml:space="preserve"> the Supreme Court invalidated the criminal conviction of the defendant, an adult, for consensual sodomy with another man, holding that the conviction denied the defendant his right to due process guaranteed by the Fourteenth Amendment to the United States Constitution. Thirteen years before </w:t>
            </w:r>
            <w:r>
              <w:rPr>
                <w:rFonts w:ascii="Arial" w:eastAsia="Arial" w:hAnsi="Arial" w:cs="Arial"/>
                <w:i/>
                <w:color w:val="000000"/>
                <w:sz w:val="20"/>
              </w:rPr>
              <w:t>Lawrence</w:t>
            </w:r>
            <w:r>
              <w:rPr>
                <w:rFonts w:ascii="Arial" w:eastAsia="Arial" w:hAnsi="Arial" w:cs="Arial"/>
                <w:color w:val="000000"/>
                <w:sz w:val="20"/>
              </w:rPr>
              <w:t xml:space="preserve">, in </w:t>
            </w:r>
            <w:hyperlink r:id="rId2071" w:history="1">
              <w:r>
                <w:rPr>
                  <w:rFonts w:ascii="Arial" w:eastAsia="Arial" w:hAnsi="Arial" w:cs="Arial"/>
                  <w:i/>
                  <w:color w:val="0077CC"/>
                  <w:sz w:val="20"/>
                  <w:u w:val="single"/>
                </w:rPr>
                <w:t>Schochet v. State, 320 Md. 714, 580 A.2d 176 (1990),</w:t>
              </w:r>
            </w:hyperlink>
            <w:r>
              <w:rPr>
                <w:rFonts w:ascii="Arial" w:eastAsia="Arial" w:hAnsi="Arial" w:cs="Arial"/>
                <w:color w:val="000000"/>
                <w:sz w:val="20"/>
              </w:rPr>
              <w:t xml:space="preserve"> the Court of Appeals limited the scope of Maryland's Unnatural or Perverted Practices Act, now CRIM. LAW I § 3-322, by holding that it does not "encompass consensual, noncommercial, heterosexual activity between adults in the privacy of the home." </w:t>
            </w:r>
            <w:hyperlink r:id="rId2072" w:history="1">
              <w:r>
                <w:rPr>
                  <w:rFonts w:ascii="Arial" w:eastAsia="Arial" w:hAnsi="Arial" w:cs="Arial"/>
                  <w:i/>
                  <w:color w:val="0077CC"/>
                  <w:sz w:val="20"/>
                  <w:u w:val="single"/>
                </w:rPr>
                <w:t>Id. at 731, 580 A.2d at 184.</w:t>
              </w:r>
            </w:hyperlink>
            <w:r>
              <w:rPr>
                <w:rFonts w:ascii="Arial" w:eastAsia="Arial" w:hAnsi="Arial" w:cs="Arial"/>
                <w:color w:val="000000"/>
                <w:sz w:val="20"/>
              </w:rPr>
              <w:t xml:space="preserve"> </w:t>
            </w:r>
            <w:r>
              <w:rPr>
                <w:rFonts w:ascii="Arial" w:eastAsia="Arial" w:hAnsi="Arial" w:cs="Arial"/>
                <w:i/>
                <w:color w:val="000000"/>
                <w:sz w:val="20"/>
              </w:rPr>
              <w:t>Lawrence</w:t>
            </w:r>
            <w:r>
              <w:rPr>
                <w:rFonts w:ascii="Arial" w:eastAsia="Arial" w:hAnsi="Arial" w:cs="Arial"/>
                <w:color w:val="000000"/>
                <w:sz w:val="20"/>
              </w:rPr>
              <w:t xml:space="preserve"> extends that exemption to consensual, noncommercial, homosexual activity, including sodomy, between adults in the privacy of the home. </w:t>
            </w:r>
            <w:r>
              <w:rPr>
                <w:rFonts w:ascii="Arial" w:eastAsia="Arial" w:hAnsi="Arial" w:cs="Arial"/>
                <w:i/>
                <w:color w:val="000000"/>
                <w:sz w:val="20"/>
              </w:rPr>
              <w:t>See</w:t>
            </w:r>
            <w:r>
              <w:rPr>
                <w:rFonts w:ascii="Arial" w:eastAsia="Arial" w:hAnsi="Arial" w:cs="Arial"/>
                <w:color w:val="000000"/>
                <w:sz w:val="20"/>
              </w:rPr>
              <w:t xml:space="preserve"> Comment to MPJI-Cr 4:30.1.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2" style="position:absolute;left:0;text-align:left;z-index:2520033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6" name="Picture 12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79" w:history="1">
        <w:r>
          <w:rPr>
            <w:rFonts w:ascii="Arial" w:eastAsia="Arial" w:hAnsi="Arial" w:cs="Arial"/>
            <w:b/>
            <w:bCs/>
            <w:i/>
            <w:color w:val="0077CC"/>
            <w:kern w:val="32"/>
            <w:sz w:val="28"/>
            <w:szCs w:val="32"/>
            <w:u w:val="single"/>
          </w:rPr>
          <w:t>MPJI-Cr 4:30.1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UNNATURAL OR PERVERTED SEXUAL PRACTICES</w:t>
      </w:r>
    </w:p>
    <w:p w:rsidR="004729FB" w:rsidRDefault="004729FB" w:rsidP="004729FB">
      <w:pPr>
        <w:keepNext/>
        <w:spacing w:before="240" w:line="340" w:lineRule="atLeast"/>
      </w:pPr>
      <w:r>
        <w:br/>
      </w:r>
      <w:r>
        <w:rPr>
          <w:rFonts w:ascii="Arial" w:eastAsia="Arial" w:hAnsi="Arial" w:cs="Arial"/>
          <w:b/>
          <w:color w:val="000000"/>
          <w:sz w:val="28"/>
        </w:rPr>
        <w:t>4:30.1Unnatural or Perverted Sexual Practices</w:t>
      </w:r>
    </w:p>
    <w:p w:rsidR="004729FB" w:rsidRDefault="004729FB" w:rsidP="004729FB">
      <w:pPr>
        <w:spacing w:line="60" w:lineRule="exact"/>
      </w:pPr>
      <w:r>
        <w:pict>
          <v:line id="_x0000_s1362" style="position:absolute;z-index:2519930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unnatural or perverted sexual practices. In order to convict the defendant of unnatural or perverted sexual practices,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took into [his] [her] mouth the sexual organ of [another person] [animal]</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placed [his] [her] sexual organ in the mouth of [another person] [animal]; or</w:t>
      </w:r>
    </w:p>
    <w:p w:rsidR="004729FB" w:rsidRDefault="004729FB" w:rsidP="004729FB">
      <w:pPr>
        <w:spacing w:before="200" w:line="260" w:lineRule="atLeast"/>
        <w:ind w:left="400"/>
        <w:jc w:val="both"/>
      </w:pPr>
      <w:r>
        <w:rPr>
          <w:rFonts w:ascii="Arial" w:eastAsia="Arial" w:hAnsi="Arial" w:cs="Arial"/>
          <w:b/>
          <w:color w:val="000000"/>
          <w:sz w:val="20"/>
        </w:rPr>
        <w:t>(3) that the defendant (</w:t>
      </w:r>
      <w:r>
        <w:rPr>
          <w:rFonts w:ascii="Arial" w:eastAsia="Arial" w:hAnsi="Arial" w:cs="Arial"/>
          <w:b/>
          <w:color w:val="000000"/>
          <w:sz w:val="20"/>
          <w:u w:val="single"/>
        </w:rPr>
        <w:t>insert prohibited conduct under MD. CODE ANN., CRIMINAL LAW I § 3-322(a) (2012 &amp; Supp. 2018))</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4:30 (Sodomy); MPJI-Cr 4:29.4 (Sexual Offenses--Second Degree Sexual Offense); MPJI-Cr 4:29.5 (Sexual Offenses--First Degree Sexual Offense).</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3-322(a) provides that "[a] person may not (1) take the sexual organ of another or of an animal in the person's mouth; (2) place the person's sexual organ in the mouth of another or of an animal; or (3) commit another unnatural or perverted sexual practice with another or with an animal." The first two prohibitions include fellatio and cunnilingus, which are prohibited under § 3-322 as unnatural or perverted sexual practices, under § 3-321 as common law sodomy, and under §§ 3-305, 3- 306, and 3-308 as sexual offenses. </w:t>
            </w:r>
            <w:r>
              <w:rPr>
                <w:rFonts w:ascii="Arial" w:eastAsia="Arial" w:hAnsi="Arial" w:cs="Arial"/>
                <w:i/>
                <w:color w:val="000000"/>
                <w:sz w:val="20"/>
              </w:rPr>
              <w:t xml:space="preserve">See </w:t>
            </w:r>
            <w:hyperlink r:id="rId2080" w:history="1">
              <w:r>
                <w:rPr>
                  <w:rFonts w:ascii="Arial" w:eastAsia="Arial" w:hAnsi="Arial" w:cs="Arial"/>
                  <w:i/>
                  <w:color w:val="0077CC"/>
                  <w:sz w:val="20"/>
                  <w:u w:val="single"/>
                </w:rPr>
                <w:t>DiBartolomeo v. State, 61 Md. App. 302, 307-10, 486 A.2d 256, 258-60 (1985);</w:t>
              </w:r>
            </w:hyperlink>
            <w:r>
              <w:rPr>
                <w:rFonts w:ascii="Arial" w:eastAsia="Arial" w:hAnsi="Arial" w:cs="Arial"/>
                <w:color w:val="000000"/>
                <w:sz w:val="20"/>
              </w:rPr>
              <w:t xml:space="preserve"> RICHARD P. GILBERT &amp; CHARLES E. MOYLAN, JR., MARYLAND CRIMINAL LAW: PRACTICE &amp; PROCEDURE §§ 6.0-6.4, at 83-86 (1983 &amp; Supp. 1990).</w:t>
            </w:r>
          </w:p>
          <w:p w:rsidR="004729FB" w:rsidRDefault="004729FB" w:rsidP="00713DA5">
            <w:pPr>
              <w:spacing w:before="200" w:line="260" w:lineRule="atLeast"/>
              <w:ind w:left="60" w:right="360"/>
              <w:jc w:val="both"/>
            </w:pPr>
            <w:r>
              <w:rPr>
                <w:rFonts w:ascii="Arial" w:eastAsia="Arial" w:hAnsi="Arial" w:cs="Arial"/>
                <w:color w:val="000000"/>
                <w:sz w:val="20"/>
              </w:rPr>
              <w:t xml:space="preserve">Fellatio has its common law meaning. All that is required is some contact between the mouth and the male sexual organ. There is no requirement that the sexual organ penetrate the mouth. </w:t>
            </w:r>
            <w:hyperlink r:id="rId2081" w:history="1">
              <w:r>
                <w:rPr>
                  <w:rFonts w:ascii="Arial" w:eastAsia="Arial" w:hAnsi="Arial" w:cs="Arial"/>
                  <w:i/>
                  <w:color w:val="0077CC"/>
                  <w:sz w:val="20"/>
                  <w:u w:val="single"/>
                </w:rPr>
                <w:t>Thomas v. State, 301 Md. 294, 320-22, 483 A.2d 6, 19-20 (1984),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470 U.S. 1088 (1985).</w:t>
            </w:r>
            <w:r>
              <w:rPr>
                <w:rFonts w:ascii="Arial" w:eastAsia="Arial" w:hAnsi="Arial" w:cs="Arial"/>
                <w:color w:val="000000"/>
                <w:sz w:val="20"/>
              </w:rPr>
              <w:t xml:space="preserve"> Cunnilingus requires only some oral contact between the mouth and the female genitals. There is no requirement of penetration. </w:t>
            </w:r>
            <w:hyperlink r:id="rId2082" w:history="1">
              <w:r>
                <w:rPr>
                  <w:rFonts w:ascii="Arial" w:eastAsia="Arial" w:hAnsi="Arial" w:cs="Arial"/>
                  <w:i/>
                  <w:color w:val="0077CC"/>
                  <w:sz w:val="20"/>
                  <w:u w:val="single"/>
                </w:rPr>
                <w:t>Partain v. State, 63 Md. App. 260, 265-67, 492 A.2d 669, 672,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299, 498 A.2d 1185 (1985).</w:t>
            </w:r>
            <w:r>
              <w:rPr>
                <w:rFonts w:ascii="Arial" w:eastAsia="Arial" w:hAnsi="Arial" w:cs="Arial"/>
                <w:color w:val="000000"/>
                <w:sz w:val="20"/>
              </w:rPr>
              <w:t xml:space="preserve"> The first two prohibitions also include bestiality. </w:t>
            </w:r>
            <w:r>
              <w:rPr>
                <w:rFonts w:ascii="Arial" w:eastAsia="Arial" w:hAnsi="Arial" w:cs="Arial"/>
                <w:i/>
                <w:color w:val="000000"/>
                <w:sz w:val="20"/>
              </w:rPr>
              <w:t>See</w:t>
            </w:r>
            <w:r>
              <w:rPr>
                <w:rFonts w:ascii="Arial" w:eastAsia="Arial" w:hAnsi="Arial" w:cs="Arial"/>
                <w:color w:val="000000"/>
                <w:sz w:val="20"/>
              </w:rPr>
              <w:t xml:space="preserve"> GILBERT &amp; MOYLAN, </w:t>
            </w:r>
            <w:r>
              <w:rPr>
                <w:rFonts w:ascii="Arial" w:eastAsia="Arial" w:hAnsi="Arial" w:cs="Arial"/>
                <w:i/>
                <w:color w:val="000000"/>
                <w:sz w:val="20"/>
              </w:rPr>
              <w:t>supra</w:t>
            </w:r>
            <w:r>
              <w:rPr>
                <w:rFonts w:ascii="Arial" w:eastAsia="Arial" w:hAnsi="Arial" w:cs="Arial"/>
                <w:color w:val="000000"/>
                <w:sz w:val="20"/>
              </w:rPr>
              <w:t>, at 84 n.7, 86.</w:t>
            </w:r>
          </w:p>
          <w:p w:rsidR="004729FB" w:rsidRDefault="004729FB" w:rsidP="00713DA5">
            <w:pPr>
              <w:spacing w:before="200" w:line="260" w:lineRule="atLeast"/>
              <w:ind w:left="60" w:right="360"/>
              <w:jc w:val="both"/>
            </w:pPr>
            <w:r>
              <w:rPr>
                <w:rFonts w:ascii="Arial" w:eastAsia="Arial" w:hAnsi="Arial" w:cs="Arial"/>
                <w:color w:val="000000"/>
                <w:sz w:val="20"/>
              </w:rPr>
              <w:t xml:space="preserve">The prohibition against any other unnatural or perverted sexual practices has been held "to cover the whole field of unnatural and perverted sexual practices." </w:t>
            </w:r>
            <w:hyperlink r:id="rId2083" w:history="1">
              <w:r>
                <w:rPr>
                  <w:rFonts w:ascii="Arial" w:eastAsia="Arial" w:hAnsi="Arial" w:cs="Arial"/>
                  <w:i/>
                  <w:color w:val="0077CC"/>
                  <w:sz w:val="20"/>
                  <w:u w:val="single"/>
                </w:rPr>
                <w:t>Blake v. State, 210 Md. 459, 462, 124 A.2d 273, 274 (1956)</w:t>
              </w:r>
            </w:hyperlink>
            <w:r>
              <w:rPr>
                <w:rFonts w:ascii="Arial" w:eastAsia="Arial" w:hAnsi="Arial" w:cs="Arial"/>
                <w:color w:val="000000"/>
                <w:sz w:val="20"/>
              </w:rPr>
              <w:t xml:space="preserve"> (sodomy); </w:t>
            </w:r>
            <w:hyperlink r:id="rId2084" w:history="1">
              <w:r>
                <w:rPr>
                  <w:rFonts w:ascii="Arial" w:eastAsia="Arial" w:hAnsi="Arial" w:cs="Arial"/>
                  <w:i/>
                  <w:color w:val="0077CC"/>
                  <w:sz w:val="20"/>
                  <w:u w:val="single"/>
                </w:rPr>
                <w:t>Edmonds v. State, 18 Md. App. 55, 305 A.2d 205</w:t>
              </w:r>
            </w:hyperlink>
            <w:r>
              <w:rPr>
                <w:rFonts w:ascii="Arial" w:eastAsia="Arial" w:hAnsi="Arial" w:cs="Arial"/>
                <w:color w:val="000000"/>
                <w:sz w:val="20"/>
              </w:rPr>
              <w:t xml:space="preserve"> (broom handle placed in the rectum), </w:t>
            </w:r>
            <w:r>
              <w:rPr>
                <w:rFonts w:ascii="Arial" w:eastAsia="Arial" w:hAnsi="Arial" w:cs="Arial"/>
                <w:i/>
                <w:color w:val="000000"/>
                <w:sz w:val="20"/>
              </w:rPr>
              <w:lastRenderedPageBreak/>
              <w:t>cert. denied</w:t>
            </w:r>
            <w:r>
              <w:rPr>
                <w:rFonts w:ascii="Arial" w:eastAsia="Arial" w:hAnsi="Arial" w:cs="Arial"/>
                <w:color w:val="000000"/>
                <w:sz w:val="20"/>
              </w:rPr>
              <w:t xml:space="preserve">, </w:t>
            </w:r>
            <w:r>
              <w:rPr>
                <w:rFonts w:ascii="Arial" w:eastAsia="Arial" w:hAnsi="Arial" w:cs="Arial"/>
                <w:i/>
                <w:color w:val="000000"/>
                <w:sz w:val="20"/>
              </w:rPr>
              <w:t>269 Md. 758 (1973).</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2085" w:history="1">
              <w:r>
                <w:rPr>
                  <w:rFonts w:ascii="Arial" w:eastAsia="Arial" w:hAnsi="Arial" w:cs="Arial"/>
                  <w:i/>
                  <w:color w:val="0077CC"/>
                  <w:sz w:val="20"/>
                  <w:u w:val="single"/>
                </w:rPr>
                <w:t>Schochet v. State, 320 Md. 714, 580 A.2d 176 (1990),</w:t>
              </w:r>
            </w:hyperlink>
            <w:r>
              <w:rPr>
                <w:rFonts w:ascii="Arial" w:eastAsia="Arial" w:hAnsi="Arial" w:cs="Arial"/>
                <w:color w:val="000000"/>
                <w:sz w:val="20"/>
              </w:rPr>
              <w:t xml:space="preserve"> the Court of Appeals addressed the scope of Section 554 (re-codified as CRIM. LAW I § 3-322) in the context of a constitutional challenge based on the substantive due process right of privacy. The court held as follows:</w:t>
            </w:r>
          </w:p>
          <w:p w:rsidR="004729FB" w:rsidRDefault="004729FB" w:rsidP="00713DA5">
            <w:pPr>
              <w:spacing w:before="60" w:line="260" w:lineRule="atLeast"/>
              <w:ind w:left="460" w:right="360"/>
              <w:jc w:val="both"/>
            </w:pPr>
            <w:r>
              <w:rPr>
                <w:rFonts w:ascii="Arial" w:eastAsia="Arial" w:hAnsi="Arial" w:cs="Arial"/>
                <w:color w:val="000000"/>
                <w:sz w:val="20"/>
              </w:rPr>
              <w:t>[T]he very broad and sweeping nature of § [3-322's] language, with no specifics except a description of some of the "unnatural or perverted" sexual acts encompassed, renders the statute reasonably susceptible to different constructions…</w:t>
            </w:r>
          </w:p>
          <w:p w:rsidR="004729FB" w:rsidRDefault="004729FB" w:rsidP="00713DA5">
            <w:pPr>
              <w:spacing w:before="60" w:line="260" w:lineRule="atLeast"/>
              <w:ind w:left="460" w:right="360"/>
              <w:jc w:val="both"/>
            </w:pPr>
            <w:r>
              <w:rPr>
                <w:rFonts w:ascii="Arial" w:eastAsia="Arial" w:hAnsi="Arial" w:cs="Arial"/>
                <w:color w:val="000000"/>
                <w:sz w:val="20"/>
              </w:rPr>
              <w:t>General statutes like § [3-322] which, if given their broadest and most encompassing meaning, give rise to constitutional questions, have regularly been the subject of narrowing constructions so as to avoid the constitutional issues. … .</w:t>
            </w:r>
          </w:p>
          <w:p w:rsidR="004729FB" w:rsidRDefault="004729FB" w:rsidP="00713DA5">
            <w:pPr>
              <w:spacing w:before="60" w:line="260" w:lineRule="atLeast"/>
              <w:ind w:left="460" w:right="360"/>
              <w:jc w:val="both"/>
            </w:pPr>
            <w:r>
              <w:rPr>
                <w:rFonts w:ascii="Arial" w:eastAsia="Arial" w:hAnsi="Arial" w:cs="Arial"/>
                <w:color w:val="000000"/>
                <w:sz w:val="20"/>
              </w:rPr>
              <w:t>Under that principle, § [3-322] does not encompass consensual, non-commercial, heterosexual activity between adults in the privacy of the home.</w:t>
            </w:r>
          </w:p>
          <w:p w:rsidR="004729FB" w:rsidRDefault="004729FB" w:rsidP="00713DA5">
            <w:pPr>
              <w:spacing w:before="240" w:line="260" w:lineRule="atLeast"/>
              <w:ind w:left="60" w:right="360"/>
              <w:jc w:val="both"/>
            </w:pPr>
            <w:hyperlink r:id="rId2086" w:history="1">
              <w:r>
                <w:rPr>
                  <w:rFonts w:ascii="Arial" w:eastAsia="Arial" w:hAnsi="Arial" w:cs="Arial"/>
                  <w:i/>
                  <w:color w:val="0077CC"/>
                  <w:sz w:val="20"/>
                  <w:u w:val="single"/>
                </w:rPr>
                <w:t>Id. at 728-31, 580 A.2d at 183-84.</w:t>
              </w:r>
            </w:hyperlink>
          </w:p>
          <w:p w:rsidR="004729FB" w:rsidRDefault="004729FB" w:rsidP="00713DA5">
            <w:pPr>
              <w:spacing w:before="240" w:line="260" w:lineRule="atLeast"/>
              <w:ind w:left="60" w:right="360"/>
              <w:jc w:val="both"/>
            </w:pPr>
            <w:r>
              <w:rPr>
                <w:rFonts w:ascii="Arial" w:eastAsia="Arial" w:hAnsi="Arial" w:cs="Arial"/>
                <w:color w:val="000000"/>
                <w:sz w:val="20"/>
              </w:rPr>
              <w:t>The court's reliance on the pre-</w:t>
            </w:r>
            <w:r>
              <w:rPr>
                <w:rFonts w:ascii="Arial" w:eastAsia="Arial" w:hAnsi="Arial" w:cs="Arial"/>
                <w:i/>
                <w:color w:val="000000"/>
                <w:sz w:val="20"/>
              </w:rPr>
              <w:t>Schochet</w:t>
            </w:r>
            <w:r>
              <w:rPr>
                <w:rFonts w:ascii="Arial" w:eastAsia="Arial" w:hAnsi="Arial" w:cs="Arial"/>
                <w:color w:val="000000"/>
                <w:sz w:val="20"/>
              </w:rPr>
              <w:t xml:space="preserve"> judicial gloss on §§ 3-321 and 3-322 to assist its statutory construction indicates that, when addressing conduct that is nonconsensual, and/or commercial, and/or not performed in the privacy of the home, the pre-</w:t>
            </w:r>
            <w:r>
              <w:rPr>
                <w:rFonts w:ascii="Arial" w:eastAsia="Arial" w:hAnsi="Arial" w:cs="Arial"/>
                <w:i/>
                <w:color w:val="000000"/>
                <w:sz w:val="20"/>
              </w:rPr>
              <w:t>Schochet</w:t>
            </w:r>
            <w:r>
              <w:rPr>
                <w:rFonts w:ascii="Arial" w:eastAsia="Arial" w:hAnsi="Arial" w:cs="Arial"/>
                <w:color w:val="000000"/>
                <w:sz w:val="20"/>
              </w:rPr>
              <w:t xml:space="preserve"> case law controls. </w:t>
            </w:r>
            <w:r>
              <w:rPr>
                <w:rFonts w:ascii="Arial" w:eastAsia="Arial" w:hAnsi="Arial" w:cs="Arial"/>
                <w:i/>
                <w:color w:val="000000"/>
                <w:sz w:val="20"/>
              </w:rPr>
              <w:t xml:space="preserve">See </w:t>
            </w:r>
            <w:hyperlink r:id="rId2087" w:history="1">
              <w:r>
                <w:rPr>
                  <w:rFonts w:ascii="Arial" w:eastAsia="Arial" w:hAnsi="Arial" w:cs="Arial"/>
                  <w:i/>
                  <w:color w:val="0077CC"/>
                  <w:sz w:val="20"/>
                  <w:u w:val="single"/>
                </w:rPr>
                <w:t>Gooch v. State, 34 Md. App. 331, 338, 367 A.2d 90, 94 (1976),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280 Md. 735 (1977);</w:t>
            </w:r>
            <w:r>
              <w:rPr>
                <w:rFonts w:ascii="Arial" w:eastAsia="Arial" w:hAnsi="Arial" w:cs="Arial"/>
                <w:color w:val="000000"/>
                <w:sz w:val="20"/>
              </w:rPr>
              <w:t xml:space="preserve"> </w:t>
            </w:r>
            <w:hyperlink r:id="rId2088" w:history="1">
              <w:r>
                <w:rPr>
                  <w:rFonts w:ascii="Arial" w:eastAsia="Arial" w:hAnsi="Arial" w:cs="Arial"/>
                  <w:i/>
                  <w:color w:val="0077CC"/>
                  <w:sz w:val="20"/>
                  <w:u w:val="single"/>
                </w:rPr>
                <w:t>Hughes v. State, 14 Md. App. 497, 287 A.2d 299,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409 U.S. 1025 (1972).</w:t>
            </w:r>
            <w:r>
              <w:rPr>
                <w:rFonts w:ascii="Arial" w:eastAsia="Arial" w:hAnsi="Arial" w:cs="Arial"/>
                <w:color w:val="000000"/>
                <w:sz w:val="20"/>
              </w:rPr>
              <w:t xml:space="preserve"> Such acts are prohibited when not performed under conditions of privacy. </w:t>
            </w:r>
            <w:hyperlink r:id="rId2089" w:history="1">
              <w:r>
                <w:rPr>
                  <w:rFonts w:ascii="Arial" w:eastAsia="Arial" w:hAnsi="Arial" w:cs="Arial"/>
                  <w:i/>
                  <w:color w:val="0077CC"/>
                  <w:sz w:val="20"/>
                  <w:u w:val="single"/>
                </w:rPr>
                <w:t>Neville v. State, 290 Md. 364, 380-82, 430 A.2d 570, 578-79 (1981).</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Thirteen years after </w:t>
            </w:r>
            <w:r>
              <w:rPr>
                <w:rFonts w:ascii="Arial" w:eastAsia="Arial" w:hAnsi="Arial" w:cs="Arial"/>
                <w:i/>
                <w:color w:val="000000"/>
                <w:sz w:val="20"/>
              </w:rPr>
              <w:t>Schochet</w:t>
            </w:r>
            <w:r>
              <w:rPr>
                <w:rFonts w:ascii="Arial" w:eastAsia="Arial" w:hAnsi="Arial" w:cs="Arial"/>
                <w:color w:val="000000"/>
                <w:sz w:val="20"/>
              </w:rPr>
              <w:t xml:space="preserve"> was decided, the Supreme Court invalidated Texas' homosexual sodomy law as violative of the Fourteenth Amendment's Due Process Clause. </w:t>
            </w:r>
            <w:hyperlink r:id="rId2090" w:history="1">
              <w:r>
                <w:rPr>
                  <w:rFonts w:ascii="Arial" w:eastAsia="Arial" w:hAnsi="Arial" w:cs="Arial"/>
                  <w:i/>
                  <w:color w:val="0077CC"/>
                  <w:sz w:val="20"/>
                  <w:u w:val="single"/>
                </w:rPr>
                <w:t>Lawrence v. Texas, 539 U.S. 558 (2003).</w:t>
              </w:r>
            </w:hyperlink>
            <w:r>
              <w:rPr>
                <w:rFonts w:ascii="Arial" w:eastAsia="Arial" w:hAnsi="Arial" w:cs="Arial"/>
                <w:color w:val="000000"/>
                <w:sz w:val="20"/>
              </w:rPr>
              <w:t xml:space="preserve"> Thus, §§ 3-321 and 3-322, despite </w:t>
            </w:r>
            <w:r>
              <w:rPr>
                <w:rFonts w:ascii="Arial" w:eastAsia="Arial" w:hAnsi="Arial" w:cs="Arial"/>
                <w:i/>
                <w:color w:val="000000"/>
                <w:sz w:val="20"/>
              </w:rPr>
              <w:t>Schochet</w:t>
            </w:r>
            <w:r>
              <w:rPr>
                <w:rFonts w:ascii="Arial" w:eastAsia="Arial" w:hAnsi="Arial" w:cs="Arial"/>
                <w:color w:val="000000"/>
                <w:sz w:val="20"/>
              </w:rPr>
              <w:t>, do not apply to consensual, private conduct between homosexual adults.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3" style="position:absolute;left:0;text-align:left;z-index:2520043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5" name="Picture 12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097" w:history="1">
        <w:r>
          <w:rPr>
            <w:rFonts w:ascii="Arial" w:eastAsia="Arial" w:hAnsi="Arial" w:cs="Arial"/>
            <w:b/>
            <w:bCs/>
            <w:i/>
            <w:color w:val="0077CC"/>
            <w:kern w:val="32"/>
            <w:sz w:val="28"/>
            <w:szCs w:val="32"/>
            <w:u w:val="single"/>
          </w:rPr>
          <w:t>MPJI-Cr 4:31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SOLICITATION</w:t>
      </w:r>
    </w:p>
    <w:p w:rsidR="004729FB" w:rsidRDefault="004729FB" w:rsidP="004729FB">
      <w:pPr>
        <w:keepNext/>
        <w:spacing w:before="240" w:line="340" w:lineRule="atLeast"/>
      </w:pPr>
      <w:r>
        <w:br/>
      </w:r>
      <w:r>
        <w:rPr>
          <w:rFonts w:ascii="Arial" w:eastAsia="Arial" w:hAnsi="Arial" w:cs="Arial"/>
          <w:b/>
          <w:color w:val="000000"/>
          <w:sz w:val="28"/>
        </w:rPr>
        <w:t>4:31Solicitation</w:t>
      </w:r>
    </w:p>
    <w:p w:rsidR="004729FB" w:rsidRDefault="004729FB" w:rsidP="004729FB">
      <w:pPr>
        <w:spacing w:line="60" w:lineRule="exact"/>
      </w:pPr>
      <w:r>
        <w:pict>
          <v:line id="_x0000_s1363" style="position:absolute;z-index:2519941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solicitation to commit (</w:t>
      </w:r>
      <w:r>
        <w:rPr>
          <w:rFonts w:ascii="Arial" w:eastAsia="Arial" w:hAnsi="Arial" w:cs="Arial"/>
          <w:b/>
          <w:color w:val="000000"/>
          <w:sz w:val="20"/>
          <w:u w:val="single"/>
        </w:rPr>
        <w:t>felony or breach of the peace misdemeanor</w:t>
      </w:r>
      <w:r>
        <w:rPr>
          <w:rFonts w:ascii="Arial" w:eastAsia="Arial" w:hAnsi="Arial" w:cs="Arial"/>
          <w:b/>
          <w:color w:val="000000"/>
          <w:sz w:val="20"/>
        </w:rPr>
        <w:t>). A criminal solicitation is an effort to persuade another person to commit a crime. In order to convict the defendant of solicitation,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urged, advised, induced, encouraged, requested, or commanded another person to commit (</w:t>
      </w:r>
      <w:r>
        <w:rPr>
          <w:rFonts w:ascii="Arial" w:eastAsia="Arial" w:hAnsi="Arial" w:cs="Arial"/>
          <w:b/>
          <w:color w:val="000000"/>
          <w:sz w:val="20"/>
          <w:u w:val="single"/>
        </w:rPr>
        <w:t>felony or breach of the peace misdemeanor</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at the time the defendant made the oral or written efforts to persuade another person to commit (</w:t>
      </w:r>
      <w:r>
        <w:rPr>
          <w:rFonts w:ascii="Arial" w:eastAsia="Arial" w:hAnsi="Arial" w:cs="Arial"/>
          <w:b/>
          <w:color w:val="000000"/>
          <w:sz w:val="20"/>
          <w:u w:val="single"/>
        </w:rPr>
        <w:t>felony or breach of the peace misdemeanor</w:t>
      </w:r>
      <w:r>
        <w:rPr>
          <w:rFonts w:ascii="Arial" w:eastAsia="Arial" w:hAnsi="Arial" w:cs="Arial"/>
          <w:b/>
          <w:color w:val="000000"/>
          <w:sz w:val="20"/>
        </w:rPr>
        <w:t>), the defendant intended that the (</w:t>
      </w:r>
      <w:r>
        <w:rPr>
          <w:rFonts w:ascii="Arial" w:eastAsia="Arial" w:hAnsi="Arial" w:cs="Arial"/>
          <w:b/>
          <w:color w:val="000000"/>
          <w:sz w:val="20"/>
          <w:u w:val="single"/>
        </w:rPr>
        <w:t>felony or breach of the peace misdemeanor</w:t>
      </w:r>
      <w:r>
        <w:rPr>
          <w:rFonts w:ascii="Arial" w:eastAsia="Arial" w:hAnsi="Arial" w:cs="Arial"/>
          <w:b/>
          <w:color w:val="000000"/>
          <w:sz w:val="20"/>
        </w:rPr>
        <w:t>) be committed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crime of solicitation is in the asking. It is not necessary that the (</w:t>
      </w:r>
      <w:r>
        <w:rPr>
          <w:rFonts w:ascii="Arial" w:eastAsia="Arial" w:hAnsi="Arial" w:cs="Arial"/>
          <w:b/>
          <w:color w:val="000000"/>
          <w:sz w:val="20"/>
          <w:u w:val="single"/>
        </w:rPr>
        <w:t>felony or breach of the peace misdemeanor</w:t>
      </w:r>
      <w:r>
        <w:rPr>
          <w:rFonts w:ascii="Arial" w:eastAsia="Arial" w:hAnsi="Arial" w:cs="Arial"/>
          <w:b/>
          <w:color w:val="000000"/>
          <w:sz w:val="20"/>
        </w:rPr>
        <w:t>) actually be committed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Solicitation is a common law misdemeanor. It consists of asking another to commit a crime with the intent that the crime solicited actually be committed. </w:t>
            </w:r>
            <w:hyperlink r:id="rId2098" w:history="1">
              <w:r>
                <w:rPr>
                  <w:rFonts w:ascii="Arial" w:eastAsia="Arial" w:hAnsi="Arial" w:cs="Arial"/>
                  <w:i/>
                  <w:color w:val="0077CC"/>
                  <w:sz w:val="20"/>
                  <w:u w:val="single"/>
                </w:rPr>
                <w:t>Gardner v. State, 41 Md. App. 187, 201, 396 A.2d 303, 311,</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099" w:history="1">
              <w:r>
                <w:rPr>
                  <w:rFonts w:ascii="Arial" w:eastAsia="Arial" w:hAnsi="Arial" w:cs="Arial"/>
                  <w:i/>
                  <w:color w:val="0077CC"/>
                  <w:sz w:val="20"/>
                  <w:u w:val="single"/>
                </w:rPr>
                <w:t>286 Md. 520, 408 A.2d 1317 (1979);</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100" w:history="1">
              <w:r>
                <w:rPr>
                  <w:rFonts w:ascii="Arial" w:eastAsia="Arial" w:hAnsi="Arial" w:cs="Arial"/>
                  <w:i/>
                  <w:color w:val="0077CC"/>
                  <w:sz w:val="20"/>
                  <w:u w:val="single"/>
                </w:rPr>
                <w:t>Allen v. State, 91 Md. App. 705, 726, 605 A.2d 960, 970,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2101" w:history="1">
              <w:r>
                <w:rPr>
                  <w:rFonts w:ascii="Arial" w:eastAsia="Arial" w:hAnsi="Arial" w:cs="Arial"/>
                  <w:i/>
                  <w:color w:val="0077CC"/>
                  <w:sz w:val="20"/>
                  <w:u w:val="single"/>
                </w:rPr>
                <w:t>327 Md. 625, 612 A.2d 256 (1992),</w:t>
              </w:r>
            </w:hyperlink>
            <w:r>
              <w:rPr>
                <w:rFonts w:ascii="Arial" w:eastAsia="Arial" w:hAnsi="Arial" w:cs="Arial"/>
                <w:color w:val="000000"/>
                <w:sz w:val="20"/>
              </w:rPr>
              <w:t xml:space="preserve"> </w:t>
            </w:r>
            <w:r>
              <w:rPr>
                <w:rFonts w:ascii="Arial" w:eastAsia="Arial" w:hAnsi="Arial" w:cs="Arial"/>
                <w:i/>
                <w:color w:val="000000"/>
                <w:sz w:val="20"/>
              </w:rPr>
              <w:t xml:space="preserve">disapproved of on other grounds by </w:t>
            </w:r>
            <w:hyperlink r:id="rId2102" w:history="1">
              <w:r>
                <w:rPr>
                  <w:rFonts w:ascii="Arial" w:eastAsia="Arial" w:hAnsi="Arial" w:cs="Arial"/>
                  <w:i/>
                  <w:color w:val="0077CC"/>
                  <w:sz w:val="20"/>
                  <w:u w:val="single"/>
                </w:rPr>
                <w:t>Dickey v. State, 404 Md. 187, 946 A.2d 444 (2008);</w:t>
              </w:r>
            </w:hyperlink>
            <w:r>
              <w:rPr>
                <w:rFonts w:ascii="Arial" w:eastAsia="Arial" w:hAnsi="Arial" w:cs="Arial"/>
                <w:color w:val="000000"/>
                <w:sz w:val="20"/>
              </w:rPr>
              <w:t xml:space="preserve"> </w:t>
            </w:r>
            <w:hyperlink r:id="rId2103" w:history="1">
              <w:r>
                <w:rPr>
                  <w:rFonts w:ascii="Arial" w:eastAsia="Arial" w:hAnsi="Arial" w:cs="Arial"/>
                  <w:i/>
                  <w:color w:val="0077CC"/>
                  <w:sz w:val="20"/>
                  <w:u w:val="single"/>
                </w:rPr>
                <w:t>Cherry v. State, 18 Md. App. 252, 258, 306 A.2d 634, 637 (1973).</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WAYNE R. LAFAVE, CRIMINAL LAW § 11.1, at 601-12 (5th ed. 2010); ROLLIN M. PERKINS &amp; RONALD N. BOYCE, CRIMINAL LAW 647-54 (3d ed. 1982).</w:t>
            </w:r>
          </w:p>
          <w:p w:rsidR="004729FB" w:rsidRDefault="004729FB" w:rsidP="00713DA5">
            <w:pPr>
              <w:spacing w:before="200" w:line="260" w:lineRule="atLeast"/>
              <w:ind w:left="60" w:right="360"/>
              <w:jc w:val="both"/>
            </w:pPr>
            <w:r>
              <w:rPr>
                <w:rFonts w:ascii="Arial" w:eastAsia="Arial" w:hAnsi="Arial" w:cs="Arial"/>
                <w:color w:val="000000"/>
                <w:sz w:val="20"/>
              </w:rPr>
              <w:t xml:space="preserve">To constitute a solicitation, the proposal must be sufficiently clear to permit a reasonable solicitee to understand what is being asked and that the achievement of that objective will likely involve the commission of a criminal offense. </w:t>
            </w:r>
            <w:hyperlink r:id="rId2104" w:history="1">
              <w:r>
                <w:rPr>
                  <w:rFonts w:ascii="Arial" w:eastAsia="Arial" w:hAnsi="Arial" w:cs="Arial"/>
                  <w:i/>
                  <w:color w:val="0077CC"/>
                  <w:sz w:val="20"/>
                  <w:u w:val="single"/>
                </w:rPr>
                <w:t>Frye v. State, 62 Md. App. 310, 316, 489 A.2d 71, 74,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303 Md. 618, 495 A.2d 837 (1985).</w:t>
            </w:r>
            <w:r>
              <w:rPr>
                <w:rFonts w:ascii="Arial" w:eastAsia="Arial" w:hAnsi="Arial" w:cs="Arial"/>
                <w:color w:val="000000"/>
                <w:sz w:val="20"/>
              </w:rPr>
              <w:t xml:space="preserve"> However, neither a final direction to proceed nor fulfillment of any condition precedent, such as the payment of money, is required to make the offense complete. </w:t>
            </w:r>
            <w:hyperlink r:id="rId2105" w:history="1">
              <w:r>
                <w:rPr>
                  <w:rFonts w:ascii="Arial" w:eastAsia="Arial" w:hAnsi="Arial" w:cs="Arial"/>
                  <w:i/>
                  <w:color w:val="0077CC"/>
                  <w:sz w:val="20"/>
                  <w:u w:val="single"/>
                </w:rPr>
                <w:t>Gardner v. State, 286 Md. 520, 529, 408 A.2d 1317, 1322 (1979).</w:t>
              </w:r>
            </w:hyperlink>
            <w:r>
              <w:rPr>
                <w:rFonts w:ascii="Arial" w:eastAsia="Arial" w:hAnsi="Arial" w:cs="Arial"/>
                <w:color w:val="000000"/>
                <w:sz w:val="20"/>
              </w:rPr>
              <w:t xml:space="preserve"> The solicitation is complete when the incitement is made, regardless of the response to it, or even if there is no response. </w:t>
            </w:r>
            <w:hyperlink r:id="rId2106" w:history="1">
              <w:r>
                <w:rPr>
                  <w:rFonts w:ascii="Arial" w:eastAsia="Arial" w:hAnsi="Arial" w:cs="Arial"/>
                  <w:i/>
                  <w:color w:val="0077CC"/>
                  <w:sz w:val="20"/>
                  <w:u w:val="single"/>
                </w:rPr>
                <w:t>Frye, 62 Md. App. at 316, 489 A.2d at 74.</w:t>
              </w:r>
            </w:hyperlink>
            <w:r>
              <w:rPr>
                <w:rFonts w:ascii="Arial" w:eastAsia="Arial" w:hAnsi="Arial" w:cs="Arial"/>
                <w:color w:val="000000"/>
                <w:sz w:val="20"/>
              </w:rPr>
              <w:t xml:space="preserve"> It is immaterial to the solicitation charge whether the crime solicited is actually committed. If, however, the person solicited commits the offense solicited, the solicitor can be convicted of the substantive offense. Similarly, if the solicitee attempts the crime, the solicitor can be convicted of attempt. PERKINS &amp; BOYCE, </w:t>
            </w:r>
            <w:r>
              <w:rPr>
                <w:rFonts w:ascii="Arial" w:eastAsia="Arial" w:hAnsi="Arial" w:cs="Arial"/>
                <w:i/>
                <w:color w:val="000000"/>
                <w:sz w:val="20"/>
              </w:rPr>
              <w:t>supra</w:t>
            </w:r>
            <w:r>
              <w:rPr>
                <w:rFonts w:ascii="Arial" w:eastAsia="Arial" w:hAnsi="Arial" w:cs="Arial"/>
                <w:color w:val="000000"/>
                <w:sz w:val="20"/>
              </w:rPr>
              <w:t>, at 649-</w:t>
            </w:r>
            <w:r>
              <w:rPr>
                <w:rFonts w:ascii="Arial" w:eastAsia="Arial" w:hAnsi="Arial" w:cs="Arial"/>
                <w:color w:val="000000"/>
                <w:sz w:val="20"/>
              </w:rPr>
              <w:lastRenderedPageBreak/>
              <w:t>50.</w:t>
            </w:r>
          </w:p>
          <w:p w:rsidR="004729FB" w:rsidRDefault="004729FB" w:rsidP="00713DA5">
            <w:pPr>
              <w:spacing w:before="200" w:line="260" w:lineRule="atLeast"/>
              <w:ind w:left="60" w:right="360"/>
              <w:jc w:val="both"/>
            </w:pPr>
            <w:r>
              <w:rPr>
                <w:rFonts w:ascii="Arial" w:eastAsia="Arial" w:hAnsi="Arial" w:cs="Arial"/>
                <w:color w:val="000000"/>
                <w:sz w:val="20"/>
              </w:rPr>
              <w:t xml:space="preserve">If the solicitee rejects the first proposal and is induced again, the second inducement is not merely a continuation of the first solicitation, but is a new one. </w:t>
            </w:r>
            <w:hyperlink r:id="rId2107" w:history="1">
              <w:r>
                <w:rPr>
                  <w:rFonts w:ascii="Arial" w:eastAsia="Arial" w:hAnsi="Arial" w:cs="Arial"/>
                  <w:i/>
                  <w:color w:val="0077CC"/>
                  <w:sz w:val="20"/>
                  <w:u w:val="single"/>
                </w:rPr>
                <w:t>Frye, 62 Md. App. at 317, 489 A.2d at 74</w:t>
              </w:r>
            </w:hyperlink>
            <w:r>
              <w:rPr>
                <w:rFonts w:ascii="Arial" w:eastAsia="Arial" w:hAnsi="Arial" w:cs="Arial"/>
                <w:color w:val="000000"/>
                <w:sz w:val="20"/>
              </w:rPr>
              <w:t xml:space="preserve"> (citing </w:t>
            </w:r>
            <w:hyperlink r:id="rId2108" w:history="1">
              <w:r>
                <w:rPr>
                  <w:rFonts w:ascii="Arial" w:eastAsia="Arial" w:hAnsi="Arial" w:cs="Arial"/>
                  <w:i/>
                  <w:color w:val="0077CC"/>
                  <w:sz w:val="20"/>
                  <w:u w:val="single"/>
                </w:rPr>
                <w:t>State v. Furr, 235 S.E.2d 193</w:t>
              </w:r>
            </w:hyperlink>
            <w:r>
              <w:rPr>
                <w:rFonts w:ascii="Arial" w:eastAsia="Arial" w:hAnsi="Arial" w:cs="Arial"/>
                <w:color w:val="000000"/>
                <w:sz w:val="20"/>
              </w:rPr>
              <w:t xml:space="preserve"> (N.C.),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434 U.S. 924 (1977)).</w:t>
            </w:r>
            <w:r>
              <w:rPr>
                <w:rFonts w:ascii="Arial" w:eastAsia="Arial" w:hAnsi="Arial" w:cs="Arial"/>
                <w:color w:val="000000"/>
                <w:sz w:val="20"/>
              </w:rPr>
              <w:t xml:space="preserve"> Moreover, there can be more than one solicitation, even though there is but one solicitor, one solicitee, and one conversation. </w:t>
            </w:r>
            <w:r>
              <w:rPr>
                <w:rFonts w:ascii="Arial" w:eastAsia="Arial" w:hAnsi="Arial" w:cs="Arial"/>
                <w:i/>
                <w:color w:val="000000"/>
                <w:sz w:val="20"/>
              </w:rPr>
              <w:t xml:space="preserve">See </w:t>
            </w:r>
            <w:hyperlink r:id="rId2109" w:history="1">
              <w:r>
                <w:rPr>
                  <w:rFonts w:ascii="Arial" w:eastAsia="Arial" w:hAnsi="Arial" w:cs="Arial"/>
                  <w:i/>
                  <w:color w:val="0077CC"/>
                  <w:sz w:val="20"/>
                  <w:u w:val="single"/>
                </w:rPr>
                <w:t>Meyer v. State, 47 Md. App. 679, 689, 425 A.2d 664, 669-70,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454 U.S. 865 (1981).</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4" style="position:absolute;left:0;text-align:left;z-index:25200537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4" name="Picture 12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116" w:history="1">
        <w:r>
          <w:rPr>
            <w:rFonts w:ascii="Arial" w:eastAsia="Arial" w:hAnsi="Arial" w:cs="Arial"/>
            <w:b/>
            <w:bCs/>
            <w:i/>
            <w:color w:val="0077CC"/>
            <w:kern w:val="32"/>
            <w:sz w:val="28"/>
            <w:szCs w:val="32"/>
            <w:u w:val="single"/>
          </w:rPr>
          <w:t>MPJI-Cr 4:31.1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STALKING</w:t>
      </w:r>
    </w:p>
    <w:p w:rsidR="004729FB" w:rsidRDefault="004729FB" w:rsidP="004729FB">
      <w:pPr>
        <w:keepNext/>
        <w:spacing w:before="240" w:line="340" w:lineRule="atLeast"/>
      </w:pPr>
      <w:r>
        <w:br/>
      </w:r>
      <w:r>
        <w:rPr>
          <w:rFonts w:ascii="Arial" w:eastAsia="Arial" w:hAnsi="Arial" w:cs="Arial"/>
          <w:b/>
          <w:color w:val="000000"/>
          <w:sz w:val="28"/>
        </w:rPr>
        <w:t>4:31.1Stalking</w:t>
      </w:r>
    </w:p>
    <w:p w:rsidR="004729FB" w:rsidRDefault="004729FB" w:rsidP="004729FB">
      <w:pPr>
        <w:spacing w:line="60" w:lineRule="exact"/>
      </w:pPr>
      <w:r>
        <w:pict>
          <v:line id="_x0000_s1364" style="position:absolute;z-index:2519951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FEAR OF HARM</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stalking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of stalking,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a malicious course of conduct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[intended the course of conduct to] [knew or reasonably should have known that the course of conduct would] place (</w:t>
      </w:r>
      <w:r>
        <w:rPr>
          <w:rFonts w:ascii="Arial" w:eastAsia="Arial" w:hAnsi="Arial" w:cs="Arial"/>
          <w:b/>
          <w:color w:val="000000"/>
          <w:sz w:val="20"/>
          <w:u w:val="single"/>
        </w:rPr>
        <w:t>name</w:t>
      </w:r>
      <w:r>
        <w:rPr>
          <w:rFonts w:ascii="Arial" w:eastAsia="Arial" w:hAnsi="Arial" w:cs="Arial"/>
          <w:b/>
          <w:color w:val="000000"/>
          <w:sz w:val="20"/>
        </w:rPr>
        <w:t>) in reasonable fear that (name of victim or name of another) would be [seriously injured] [assaulted] [raped] [sexually assaulted] [falsely imprisoned] [killed]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course of conduct means a persistent pattern, composed of a series of acts over time that shows a continuity of purpose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Stalking does not include conduct that is [performed to ensure compliance with a court order] [performed to carry out a specific lawful commercial purpose] [authorized, required, or protected by local, State, or federal law]</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SERIOUS EMOTIONAL DISTRESS</w:t>
      </w:r>
    </w:p>
    <w:p w:rsidR="004729FB" w:rsidRDefault="004729FB" w:rsidP="004729FB">
      <w:pPr>
        <w:spacing w:before="200" w:line="260" w:lineRule="atLeast"/>
        <w:jc w:val="both"/>
      </w:pPr>
      <w:r>
        <w:rPr>
          <w:rFonts w:ascii="Arial" w:eastAsia="Arial" w:hAnsi="Arial" w:cs="Arial"/>
          <w:b/>
          <w:color w:val="000000"/>
          <w:sz w:val="20"/>
        </w:rPr>
        <w:t>The defendant is charged with the crime of stalking</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of stalking,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engaged in a malicious course of conduct</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[intended the course of conduct to] [knew or reasonably should have known that the course of conduct would] cause serious emotional distress to (</w:t>
      </w:r>
      <w:r>
        <w:rPr>
          <w:rFonts w:ascii="Arial" w:eastAsia="Arial" w:hAnsi="Arial" w:cs="Arial"/>
          <w:b/>
          <w:color w:val="000000"/>
          <w:sz w:val="20"/>
          <w:u w:val="single"/>
        </w:rPr>
        <w:t>name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course of conduct means a persistent pattern, composed of a series of acts over time that shows a continuity of purpose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Stalking does not include conduct that is [performed to ensure compliance with a court order] [performed to carry out a specific lawful commercial purpose] [authorized, required, or protected by local, State, or federal law]</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This is a new instruction as of June 2018.</w:t>
            </w:r>
          </w:p>
          <w:p w:rsidR="004729FB" w:rsidRDefault="004729FB" w:rsidP="00713DA5">
            <w:pPr>
              <w:spacing w:before="240" w:line="260" w:lineRule="atLeast"/>
              <w:ind w:left="60" w:right="360"/>
              <w:jc w:val="both"/>
            </w:pPr>
            <w:r>
              <w:rPr>
                <w:rFonts w:ascii="Arial" w:eastAsia="Arial" w:hAnsi="Arial" w:cs="Arial"/>
                <w:color w:val="000000"/>
                <w:sz w:val="20"/>
              </w:rPr>
              <w:t xml:space="preserve">Maryland enacted its first anti-stalking law in 1993. In </w:t>
            </w:r>
            <w:r>
              <w:rPr>
                <w:rFonts w:ascii="Arial" w:eastAsia="Arial" w:hAnsi="Arial" w:cs="Arial"/>
                <w:i/>
                <w:color w:val="000000"/>
                <w:sz w:val="20"/>
              </w:rPr>
              <w:t>Hackley v. State</w:t>
            </w:r>
            <w:r>
              <w:rPr>
                <w:rFonts w:ascii="Arial" w:eastAsia="Arial" w:hAnsi="Arial" w:cs="Arial"/>
                <w:color w:val="000000"/>
                <w:sz w:val="20"/>
              </w:rPr>
              <w:t xml:space="preserve">, the Court of Appeals reviewed the statute's legislative history when it concluded that stalking does not require that the defendant "approach" or "pursue" the victim. </w:t>
            </w:r>
            <w:r>
              <w:rPr>
                <w:rFonts w:ascii="Arial" w:eastAsia="Arial" w:hAnsi="Arial" w:cs="Arial"/>
                <w:i/>
                <w:color w:val="000000"/>
                <w:sz w:val="20"/>
              </w:rPr>
              <w:t xml:space="preserve">See </w:t>
            </w:r>
            <w:hyperlink r:id="rId2117" w:history="1">
              <w:r>
                <w:rPr>
                  <w:rFonts w:ascii="Arial" w:eastAsia="Arial" w:hAnsi="Arial" w:cs="Arial"/>
                  <w:i/>
                  <w:color w:val="0077CC"/>
                  <w:sz w:val="20"/>
                  <w:u w:val="single"/>
                </w:rPr>
                <w:t>Hackley, 389 Md. 387, 393-97, 885 A.2d 816 (2005)</w:t>
              </w:r>
            </w:hyperlink>
            <w:r>
              <w:rPr>
                <w:rFonts w:ascii="Arial" w:eastAsia="Arial" w:hAnsi="Arial" w:cs="Arial"/>
                <w:color w:val="000000"/>
                <w:sz w:val="20"/>
              </w:rPr>
              <w:t xml:space="preserve"> (affirming conviction and holding that "that any malicious course of conduct intended to place another person in reasonable fear of serious bodily injury or death or that a third person likely will suffer such harm constitutes stalking."); </w:t>
            </w:r>
            <w:r>
              <w:rPr>
                <w:rFonts w:ascii="Arial" w:eastAsia="Arial" w:hAnsi="Arial" w:cs="Arial"/>
                <w:i/>
                <w:color w:val="000000"/>
                <w:sz w:val="20"/>
              </w:rPr>
              <w:t>see also</w:t>
            </w:r>
            <w:r>
              <w:rPr>
                <w:rFonts w:ascii="Arial" w:eastAsia="Arial" w:hAnsi="Arial" w:cs="Arial"/>
                <w:color w:val="000000"/>
                <w:sz w:val="20"/>
              </w:rPr>
              <w:t xml:space="preserve"> Kate E. Stewart, </w:t>
            </w:r>
            <w:r>
              <w:rPr>
                <w:rFonts w:ascii="Arial" w:eastAsia="Arial" w:hAnsi="Arial" w:cs="Arial"/>
                <w:i/>
                <w:color w:val="000000"/>
                <w:sz w:val="20"/>
              </w:rPr>
              <w:t>Hackley v. State: The Crime of Stalking in Maryland Includes, but Does Not Require as an Essential Element, "Approaching or Pursuing" the Victim</w:t>
            </w:r>
            <w:r>
              <w:rPr>
                <w:rFonts w:ascii="Arial" w:eastAsia="Arial" w:hAnsi="Arial" w:cs="Arial"/>
                <w:color w:val="000000"/>
                <w:sz w:val="20"/>
              </w:rPr>
              <w:t xml:space="preserve">, </w:t>
            </w:r>
            <w:hyperlink r:id="rId2118" w:history="1">
              <w:r>
                <w:rPr>
                  <w:rFonts w:ascii="Arial" w:eastAsia="Arial" w:hAnsi="Arial" w:cs="Arial"/>
                  <w:i/>
                  <w:color w:val="0077CC"/>
                  <w:sz w:val="20"/>
                  <w:u w:val="single"/>
                </w:rPr>
                <w:t>36 U. BALT. L.F. 177 (2006).</w:t>
              </w:r>
            </w:hyperlink>
          </w:p>
          <w:p w:rsidR="004729FB" w:rsidRDefault="004729FB" w:rsidP="00713DA5">
            <w:pPr>
              <w:spacing w:before="200" w:line="260" w:lineRule="atLeast"/>
              <w:ind w:left="60" w:right="360"/>
              <w:jc w:val="both"/>
            </w:pPr>
            <w:r>
              <w:rPr>
                <w:rFonts w:ascii="Arial" w:eastAsia="Arial" w:hAnsi="Arial" w:cs="Arial"/>
                <w:color w:val="000000"/>
                <w:sz w:val="20"/>
              </w:rPr>
              <w:t>The definition of "course of conduct" within the instruction comes directly from CRIM. LAW I § 3-801 of the stalking statute. Similarly, the admonition that stalking does not include conduct to comply with court orders, lawful commercial purposes, or authorized by law comes directly from § 3-802(b).</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5" style="position:absolute;left:0;text-align:left;z-index:2520064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23" name="Picture 12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125" w:history="1">
        <w:r>
          <w:rPr>
            <w:rFonts w:ascii="Arial" w:eastAsia="Arial" w:hAnsi="Arial" w:cs="Arial"/>
            <w:b/>
            <w:bCs/>
            <w:i/>
            <w:color w:val="0077CC"/>
            <w:kern w:val="32"/>
            <w:sz w:val="28"/>
            <w:szCs w:val="32"/>
            <w:u w:val="single"/>
          </w:rPr>
          <w:t>MPJI-Cr 4:32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7-104(A): THEFT--UNAUTHORIZED CONTROL</w:t>
      </w:r>
    </w:p>
    <w:p w:rsidR="004729FB" w:rsidRDefault="004729FB" w:rsidP="004729FB">
      <w:pPr>
        <w:keepNext/>
        <w:spacing w:before="240" w:line="340" w:lineRule="atLeast"/>
      </w:pPr>
      <w:r>
        <w:br/>
      </w:r>
      <w:r>
        <w:rPr>
          <w:rFonts w:ascii="Arial" w:eastAsia="Arial" w:hAnsi="Arial" w:cs="Arial"/>
          <w:b/>
          <w:color w:val="000000"/>
          <w:sz w:val="28"/>
        </w:rPr>
        <w:t>4:32§ 7-104(A): Theft--Unauthorized Control</w:t>
      </w:r>
    </w:p>
    <w:p w:rsidR="004729FB" w:rsidRDefault="004729FB" w:rsidP="004729FB">
      <w:pPr>
        <w:spacing w:line="60" w:lineRule="exact"/>
      </w:pPr>
      <w:r>
        <w:pict>
          <v:line id="_x0000_s1365" style="position:absolute;z-index:2519961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theft. In order to convict the defendant of theft,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willfully or knowingly obtained or exerted unauthorized control over property of the owner; and</w:t>
      </w:r>
    </w:p>
    <w:p w:rsidR="004729FB" w:rsidRDefault="004729FB" w:rsidP="004729FB">
      <w:pPr>
        <w:spacing w:before="200" w:line="260" w:lineRule="atLeast"/>
        <w:ind w:left="400"/>
        <w:jc w:val="both"/>
      </w:pPr>
      <w:r>
        <w:rPr>
          <w:rFonts w:ascii="Arial" w:eastAsia="Arial" w:hAnsi="Arial" w:cs="Arial"/>
          <w:b/>
          <w:color w:val="000000"/>
          <w:sz w:val="20"/>
        </w:rPr>
        <w:t>(2) [that the defendant had the purpose of depriving the owner of the property] [that the defendant willfully or knowingly abandoned, used, or concealed the property in such a manner as to deprive the owner of the property or knew that the abandonment, use, or concealment probably would deprive the owner of the property]; [and]</w:t>
      </w:r>
    </w:p>
    <w:p w:rsidR="004729FB" w:rsidRDefault="004729FB" w:rsidP="004729FB">
      <w:pPr>
        <w:spacing w:before="200" w:line="260" w:lineRule="atLeast"/>
        <w:ind w:left="400"/>
        <w:jc w:val="both"/>
      </w:pPr>
      <w:r>
        <w:rPr>
          <w:rFonts w:ascii="Arial" w:eastAsia="Arial" w:hAnsi="Arial" w:cs="Arial"/>
          <w:b/>
          <w:color w:val="000000"/>
          <w:sz w:val="20"/>
        </w:rPr>
        <w:t>[(3) the value of the property was [over $ 1,000] [over $ 10,000] [over $ 100,000]]</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["Property" means anything of value.]</w:t>
      </w:r>
    </w:p>
    <w:p w:rsidR="004729FB" w:rsidRDefault="004729FB" w:rsidP="004729FB">
      <w:pPr>
        <w:spacing w:before="200" w:line="260" w:lineRule="atLeast"/>
        <w:jc w:val="both"/>
      </w:pPr>
      <w:r>
        <w:rPr>
          <w:rFonts w:ascii="Arial" w:eastAsia="Arial" w:hAnsi="Arial" w:cs="Arial"/>
          <w:b/>
          <w:color w:val="000000"/>
          <w:sz w:val="20"/>
        </w:rPr>
        <w:t>["Owner" means a person, other than the defendant, who has possession of, or any other interest in, the property and, without whose consent, the defendant has no authority to exert control over the property.]</w:t>
      </w:r>
    </w:p>
    <w:p w:rsidR="004729FB" w:rsidRDefault="004729FB" w:rsidP="004729FB">
      <w:pPr>
        <w:spacing w:before="200" w:line="260" w:lineRule="atLeast"/>
        <w:jc w:val="both"/>
      </w:pPr>
      <w:r>
        <w:rPr>
          <w:rFonts w:ascii="Arial" w:eastAsia="Arial" w:hAnsi="Arial" w:cs="Arial"/>
          <w:b/>
          <w:color w:val="000000"/>
          <w:sz w:val="20"/>
        </w:rPr>
        <w:t>["Deprive" means to withhold property of another permanently, for such a period as to appropriate a portion of its value, with the purpose of restoring it only upon payment of a reward or other compensation, or to dispose of the property and use or deal with the property so as to make it unlikely that the owner will recover it.]</w:t>
      </w:r>
    </w:p>
    <w:p w:rsidR="004729FB" w:rsidRDefault="004729FB" w:rsidP="004729FB">
      <w:pPr>
        <w:spacing w:before="200" w:line="260" w:lineRule="atLeast"/>
        <w:jc w:val="both"/>
      </w:pPr>
      <w:r>
        <w:rPr>
          <w:rFonts w:ascii="Arial" w:eastAsia="Arial" w:hAnsi="Arial" w:cs="Arial"/>
          <w:b/>
          <w:color w:val="000000"/>
          <w:sz w:val="20"/>
        </w:rPr>
        <w:t>["Exert control" means to take, carry away, or appropriate to a person's own use or to sell, convey, or transfer title to an interest in or possession of property.]</w:t>
      </w:r>
    </w:p>
    <w:p w:rsidR="004729FB" w:rsidRDefault="004729FB" w:rsidP="004729FB">
      <w:pPr>
        <w:spacing w:before="200" w:line="260" w:lineRule="atLeast"/>
        <w:jc w:val="both"/>
      </w:pPr>
      <w:r>
        <w:rPr>
          <w:rFonts w:ascii="Arial" w:eastAsia="Arial" w:hAnsi="Arial" w:cs="Arial"/>
          <w:b/>
          <w:color w:val="000000"/>
          <w:sz w:val="20"/>
        </w:rPr>
        <w:t>["Value" means the market value of the property or service at the time and place of the crime, or, if the market value cannot be satisfactorily ascertained, the cost of the replacement of the property or service within a reasonable time after the crime.]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The theft offense statutes consolidate previously existing theft-related offenses under the offense of "theft." CRIM. LAW I §§ 7-101-7-110.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19.1, at 204 (1983 &amp; Supp. 1990). Almost all </w:t>
            </w:r>
            <w:r>
              <w:rPr>
                <w:rFonts w:ascii="Arial" w:eastAsia="Arial" w:hAnsi="Arial" w:cs="Arial"/>
                <w:color w:val="000000"/>
                <w:sz w:val="20"/>
              </w:rPr>
              <w:lastRenderedPageBreak/>
              <w:t xml:space="preserve">thefts come within § 7-104(a) (theft by unauthorized control), § 7-104(b) (obtaining control by deception), or § 7-104(c) (possession of stolen personal property). Consequently, the Committee did not include an instruction for § 7-104(d) (obtaining control of lost, mislaid, or mistakenly delivered property), or § 7-104(e) (obtaining services by deception or with knowledge that the services are provided without the consent of the person providing them). These instructions do not employ all of the statutory definitions provided in § 7-101 because to do so would make the instructions difficult to understand. If an issue arises that depends upon a particular statutory definition, a separate instruction should be drafted or one of the instructions provided should be modified. </w:t>
            </w:r>
            <w:r>
              <w:rPr>
                <w:rFonts w:ascii="Arial" w:eastAsia="Arial" w:hAnsi="Arial" w:cs="Arial"/>
                <w:i/>
                <w:color w:val="000000"/>
                <w:sz w:val="20"/>
              </w:rPr>
              <w:t xml:space="preserve">See </w:t>
            </w:r>
            <w:hyperlink r:id="rId2126" w:history="1">
              <w:r>
                <w:rPr>
                  <w:rFonts w:ascii="Arial" w:eastAsia="Arial" w:hAnsi="Arial" w:cs="Arial"/>
                  <w:i/>
                  <w:color w:val="0077CC"/>
                  <w:sz w:val="20"/>
                  <w:u w:val="single"/>
                </w:rPr>
                <w:t>Goines v. State, 89 Md. App. 104, 108-12, 597 A.2d 987, 989-91 (1991)</w:t>
              </w:r>
            </w:hyperlink>
            <w:r>
              <w:rPr>
                <w:rFonts w:ascii="Arial" w:eastAsia="Arial" w:hAnsi="Arial" w:cs="Arial"/>
                <w:color w:val="000000"/>
                <w:sz w:val="20"/>
              </w:rPr>
              <w:t xml:space="preserve"> (stating that the terms "obtains" and "exerts" in § 342(a), the predecessor to CRIM. LAW I § 7-104, are disjunctive "indistinguishable means of accomplishing the proscribed conduct of unauthorized control"),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325 Md. 396, 601 A.2d 129 (1992).</w:t>
            </w:r>
          </w:p>
          <w:p w:rsidR="004729FB" w:rsidRDefault="004729FB" w:rsidP="00713DA5">
            <w:pPr>
              <w:spacing w:before="240" w:line="260" w:lineRule="atLeast"/>
              <w:ind w:left="60" w:right="360"/>
              <w:jc w:val="both"/>
            </w:pPr>
            <w:r>
              <w:rPr>
                <w:rFonts w:ascii="Arial" w:eastAsia="Arial" w:hAnsi="Arial" w:cs="Arial"/>
                <w:color w:val="000000"/>
                <w:sz w:val="20"/>
              </w:rPr>
              <w:t xml:space="preserve">Theft is a single offense. </w:t>
            </w:r>
            <w:r>
              <w:rPr>
                <w:rFonts w:ascii="Arial" w:eastAsia="Arial" w:hAnsi="Arial" w:cs="Arial"/>
                <w:i/>
                <w:color w:val="000000"/>
                <w:sz w:val="20"/>
              </w:rPr>
              <w:t xml:space="preserve">See </w:t>
            </w:r>
            <w:hyperlink r:id="rId2127" w:history="1">
              <w:r>
                <w:rPr>
                  <w:rFonts w:ascii="Arial" w:eastAsia="Arial" w:hAnsi="Arial" w:cs="Arial"/>
                  <w:i/>
                  <w:color w:val="0077CC"/>
                  <w:sz w:val="20"/>
                  <w:u w:val="single"/>
                </w:rPr>
                <w:t>Rice v. State, 311 Md. 116, 124, 532 A.2d 1357, 1361 (1987).</w:t>
              </w:r>
            </w:hyperlink>
            <w:r>
              <w:rPr>
                <w:rFonts w:ascii="Arial" w:eastAsia="Arial" w:hAnsi="Arial" w:cs="Arial"/>
                <w:color w:val="000000"/>
                <w:sz w:val="20"/>
              </w:rPr>
              <w:t xml:space="preserve"> Theft also is a continuing crime. </w:t>
            </w:r>
            <w:hyperlink r:id="rId2128" w:history="1">
              <w:r>
                <w:rPr>
                  <w:rFonts w:ascii="Arial" w:eastAsia="Arial" w:hAnsi="Arial" w:cs="Arial"/>
                  <w:i/>
                  <w:color w:val="0077CC"/>
                  <w:sz w:val="20"/>
                  <w:u w:val="single"/>
                </w:rPr>
                <w:t>Acquah v. State, 113 Md. App. 29, 53, 686 A.2d 690, 702 (1996).</w:t>
              </w:r>
            </w:hyperlink>
            <w:r>
              <w:rPr>
                <w:rFonts w:ascii="Arial" w:eastAsia="Arial" w:hAnsi="Arial" w:cs="Arial"/>
                <w:color w:val="000000"/>
                <w:sz w:val="20"/>
              </w:rPr>
              <w:t xml:space="preserve"> The first five subsections of § 7-104 set forth alternative methods through which the offense of theft can be proven. There is no constitutional requirement that the means by which the offense was committed be set forth in the charging document. </w:t>
            </w:r>
            <w:r>
              <w:rPr>
                <w:rFonts w:ascii="Arial" w:eastAsia="Arial" w:hAnsi="Arial" w:cs="Arial"/>
                <w:i/>
                <w:color w:val="000000"/>
                <w:sz w:val="20"/>
              </w:rPr>
              <w:t>See</w:t>
            </w:r>
            <w:r>
              <w:rPr>
                <w:rFonts w:ascii="Arial" w:eastAsia="Arial" w:hAnsi="Arial" w:cs="Arial"/>
                <w:color w:val="000000"/>
                <w:sz w:val="20"/>
              </w:rPr>
              <w:t xml:space="preserve"> CRIM. LAW I § 7-108(a). However, if a bill of particulars is requested by the defendant, such bill of particulars will likely eliminate one or more of the methods of theft and hence eliminate one or more subsections under which the State is entitled to an instruction. </w:t>
            </w:r>
            <w:r>
              <w:rPr>
                <w:rFonts w:ascii="Arial" w:eastAsia="Arial" w:hAnsi="Arial" w:cs="Arial"/>
                <w:i/>
                <w:color w:val="000000"/>
                <w:sz w:val="20"/>
              </w:rPr>
              <w:t xml:space="preserve">See </w:t>
            </w:r>
            <w:hyperlink r:id="rId2129" w:history="1">
              <w:r>
                <w:rPr>
                  <w:rFonts w:ascii="Arial" w:eastAsia="Arial" w:hAnsi="Arial" w:cs="Arial"/>
                  <w:i/>
                  <w:color w:val="0077CC"/>
                  <w:sz w:val="20"/>
                  <w:u w:val="single"/>
                </w:rPr>
                <w:t>Rice, 311 Md. 116, 532 A.2d 1357;</w:t>
              </w:r>
            </w:hyperlink>
            <w:r>
              <w:rPr>
                <w:rFonts w:ascii="Arial" w:eastAsia="Arial" w:hAnsi="Arial" w:cs="Arial"/>
                <w:color w:val="000000"/>
                <w:sz w:val="20"/>
              </w:rPr>
              <w:t xml:space="preserve"> </w:t>
            </w:r>
            <w:hyperlink r:id="rId2130" w:history="1">
              <w:r>
                <w:rPr>
                  <w:rFonts w:ascii="Arial" w:eastAsia="Arial" w:hAnsi="Arial" w:cs="Arial"/>
                  <w:i/>
                  <w:color w:val="0077CC"/>
                  <w:sz w:val="20"/>
                  <w:u w:val="single"/>
                </w:rPr>
                <w:t>Jones v. State, 303 Md. 323, 338-39, 493 A.2d 1062, 1069-70 (1985);</w:t>
              </w:r>
            </w:hyperlink>
            <w:r>
              <w:rPr>
                <w:rFonts w:ascii="Arial" w:eastAsia="Arial" w:hAnsi="Arial" w:cs="Arial"/>
                <w:color w:val="000000"/>
                <w:sz w:val="20"/>
              </w:rPr>
              <w:t xml:space="preserve"> </w:t>
            </w:r>
            <w:hyperlink r:id="rId2131" w:history="1">
              <w:r>
                <w:rPr>
                  <w:rFonts w:ascii="Arial" w:eastAsia="Arial" w:hAnsi="Arial" w:cs="Arial"/>
                  <w:i/>
                  <w:color w:val="0077CC"/>
                  <w:sz w:val="20"/>
                  <w:u w:val="single"/>
                </w:rPr>
                <w:t>Gamble v. State, 78 Md. App. 112, 118-19, 552 A.2d 928, 931,</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132" w:history="1">
              <w:r>
                <w:rPr>
                  <w:rFonts w:ascii="Arial" w:eastAsia="Arial" w:hAnsi="Arial" w:cs="Arial"/>
                  <w:i/>
                  <w:color w:val="0077CC"/>
                  <w:sz w:val="20"/>
                  <w:u w:val="single"/>
                </w:rPr>
                <w:t>318 Md. 120, 567 A.2d 95 (1989);</w:t>
              </w:r>
            </w:hyperlink>
            <w:r>
              <w:rPr>
                <w:rFonts w:ascii="Arial" w:eastAsia="Arial" w:hAnsi="Arial" w:cs="Arial"/>
                <w:color w:val="000000"/>
                <w:sz w:val="20"/>
              </w:rPr>
              <w:t xml:space="preserve"> </w:t>
            </w:r>
            <w:hyperlink r:id="rId2133" w:history="1">
              <w:r>
                <w:rPr>
                  <w:rFonts w:ascii="Arial" w:eastAsia="Arial" w:hAnsi="Arial" w:cs="Arial"/>
                  <w:i/>
                  <w:color w:val="0077CC"/>
                  <w:sz w:val="20"/>
                  <w:u w:val="single"/>
                </w:rPr>
                <w:t>Craddock v. State, 64 Md. App. 269, 494 A.2d 971,</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297, 498 A.2d 1184 (1985);</w:t>
            </w:r>
            <w:r>
              <w:rPr>
                <w:rFonts w:ascii="Arial" w:eastAsia="Arial" w:hAnsi="Arial" w:cs="Arial"/>
                <w:color w:val="000000"/>
                <w:sz w:val="20"/>
              </w:rPr>
              <w:t xml:space="preserve"> </w:t>
            </w:r>
            <w:hyperlink r:id="rId2134" w:history="1">
              <w:r>
                <w:rPr>
                  <w:rFonts w:ascii="Arial" w:eastAsia="Arial" w:hAnsi="Arial" w:cs="Arial"/>
                  <w:i/>
                  <w:color w:val="0077CC"/>
                  <w:sz w:val="20"/>
                  <w:u w:val="single"/>
                </w:rPr>
                <w:t>Lee v. State, 59 Md. App. 28, 474 A.2d 537 (1984);</w:t>
              </w:r>
            </w:hyperlink>
            <w:r>
              <w:rPr>
                <w:rFonts w:ascii="Arial" w:eastAsia="Arial" w:hAnsi="Arial" w:cs="Arial"/>
                <w:color w:val="000000"/>
                <w:sz w:val="20"/>
              </w:rPr>
              <w:t xml:space="preserve"> </w:t>
            </w:r>
            <w:hyperlink r:id="rId2135" w:history="1">
              <w:r>
                <w:rPr>
                  <w:rFonts w:ascii="Arial" w:eastAsia="Arial" w:hAnsi="Arial" w:cs="Arial"/>
                  <w:i/>
                  <w:color w:val="0077CC"/>
                  <w:sz w:val="20"/>
                  <w:u w:val="single"/>
                </w:rPr>
                <w:t>Borgen v. State, 58 Md. App. 61, 472 A.2d 114,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300 Md. 483, 479 A.2d 372 (1984);</w:t>
            </w:r>
            <w:r>
              <w:rPr>
                <w:rFonts w:ascii="Arial" w:eastAsia="Arial" w:hAnsi="Arial" w:cs="Arial"/>
                <w:color w:val="000000"/>
                <w:sz w:val="20"/>
              </w:rPr>
              <w:t xml:space="preserve"> </w:t>
            </w:r>
            <w:hyperlink r:id="rId2136" w:history="1">
              <w:r>
                <w:rPr>
                  <w:rFonts w:ascii="Arial" w:eastAsia="Arial" w:hAnsi="Arial" w:cs="Arial"/>
                  <w:i/>
                  <w:color w:val="0077CC"/>
                  <w:sz w:val="20"/>
                  <w:u w:val="single"/>
                </w:rPr>
                <w:t>Whitehead v. State, 54 Md. App. 428, 441-46, 458 A.2d 905, 912-14,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2137" w:history="1">
              <w:r>
                <w:rPr>
                  <w:rFonts w:ascii="Arial" w:eastAsia="Arial" w:hAnsi="Arial" w:cs="Arial"/>
                  <w:i/>
                  <w:color w:val="0077CC"/>
                  <w:sz w:val="20"/>
                  <w:u w:val="single"/>
                </w:rPr>
                <w:t>296 Md. 655 (1983).</w:t>
              </w:r>
            </w:hyperlink>
            <w:r>
              <w:rPr>
                <w:rFonts w:ascii="Arial" w:eastAsia="Arial" w:hAnsi="Arial" w:cs="Arial"/>
                <w:color w:val="000000"/>
                <w:sz w:val="20"/>
              </w:rPr>
              <w:t xml:space="preserve"> Regardless of a bill of particulars, no instruction should be given under any subsection unless the evidence establishes a prima facie case under that subsection.</w:t>
            </w:r>
          </w:p>
          <w:p w:rsidR="004729FB" w:rsidRDefault="004729FB" w:rsidP="00713DA5">
            <w:pPr>
              <w:spacing w:before="240" w:line="260" w:lineRule="atLeast"/>
              <w:ind w:left="60" w:right="360"/>
              <w:jc w:val="both"/>
            </w:pPr>
            <w:r>
              <w:rPr>
                <w:rFonts w:ascii="Arial" w:eastAsia="Arial" w:hAnsi="Arial" w:cs="Arial"/>
                <w:color w:val="000000"/>
                <w:sz w:val="20"/>
              </w:rPr>
              <w:t xml:space="preserve">Section 7-103(f) permits the State to aggregate the value of all property stolen pursuant to one scheme or continuing course of conduct to determine whether the conduct may be considered as one crime and whether the theft is a misdemeanor or a felony. </w:t>
            </w:r>
            <w:hyperlink r:id="rId2138" w:history="1">
              <w:r>
                <w:rPr>
                  <w:rFonts w:ascii="Arial" w:eastAsia="Arial" w:hAnsi="Arial" w:cs="Arial"/>
                  <w:i/>
                  <w:color w:val="0077CC"/>
                  <w:sz w:val="20"/>
                  <w:u w:val="single"/>
                </w:rPr>
                <w:t>State v. Hunt, 49 Md. App. 355, 360, 432 A.2d 479, 482 (1981);</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139" w:history="1">
              <w:r>
                <w:rPr>
                  <w:rFonts w:ascii="Arial" w:eastAsia="Arial" w:hAnsi="Arial" w:cs="Arial"/>
                  <w:i/>
                  <w:color w:val="0077CC"/>
                  <w:sz w:val="20"/>
                  <w:u w:val="single"/>
                </w:rPr>
                <w:t>Dyson v. State, 163 Md. App. 363, 375-82, 878 A.2d 711, 718-22</w:t>
              </w:r>
            </w:hyperlink>
            <w:r>
              <w:rPr>
                <w:rFonts w:ascii="Arial" w:eastAsia="Arial" w:hAnsi="Arial" w:cs="Arial"/>
                <w:color w:val="000000"/>
                <w:sz w:val="20"/>
              </w:rPr>
              <w:t xml:space="preserve"> (explaining that thefts committed in rapid succession usually constitute a single theft under the single larceny doctrine),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389 Md. 399, 885 A.2d 824 (2005);</w:t>
            </w:r>
            <w:r>
              <w:rPr>
                <w:rFonts w:ascii="Arial" w:eastAsia="Arial" w:hAnsi="Arial" w:cs="Arial"/>
                <w:color w:val="000000"/>
                <w:sz w:val="20"/>
              </w:rPr>
              <w:t xml:space="preserve"> </w:t>
            </w:r>
            <w:hyperlink r:id="rId2140" w:history="1">
              <w:r>
                <w:rPr>
                  <w:rFonts w:ascii="Arial" w:eastAsia="Arial" w:hAnsi="Arial" w:cs="Arial"/>
                  <w:i/>
                  <w:color w:val="0077CC"/>
                  <w:sz w:val="20"/>
                  <w:u w:val="single"/>
                </w:rPr>
                <w:t>Mattingly v. State, 89 Md. App. 187, 194-98, 597 A.2d 1027, 1031-32 (1991)</w:t>
              </w:r>
            </w:hyperlink>
            <w:r>
              <w:rPr>
                <w:rFonts w:ascii="Arial" w:eastAsia="Arial" w:hAnsi="Arial" w:cs="Arial"/>
                <w:color w:val="000000"/>
                <w:sz w:val="20"/>
              </w:rPr>
              <w:t xml:space="preserve"> (holding that monies received in two checks, issued pursuant to two vouchers on the same date, for three contracts, constituted one act of theft),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326 Md. 177, 604 A.2d 444,</w:t>
            </w:r>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2141" w:history="1">
              <w:r>
                <w:rPr>
                  <w:rFonts w:ascii="Arial" w:eastAsia="Arial" w:hAnsi="Arial" w:cs="Arial"/>
                  <w:i/>
                  <w:color w:val="0077CC"/>
                  <w:sz w:val="20"/>
                  <w:u w:val="single"/>
                </w:rPr>
                <w:t>506 U.S. 874 (1992);</w:t>
              </w:r>
            </w:hyperlink>
            <w:r>
              <w:rPr>
                <w:rFonts w:ascii="Arial" w:eastAsia="Arial" w:hAnsi="Arial" w:cs="Arial"/>
                <w:color w:val="000000"/>
                <w:sz w:val="20"/>
              </w:rPr>
              <w:t xml:space="preserve"> </w:t>
            </w:r>
            <w:r>
              <w:rPr>
                <w:rFonts w:ascii="Arial" w:eastAsia="Arial" w:hAnsi="Arial" w:cs="Arial"/>
                <w:i/>
                <w:color w:val="000000"/>
                <w:sz w:val="20"/>
              </w:rPr>
              <w:t xml:space="preserve">cf. </w:t>
            </w:r>
            <w:hyperlink r:id="rId2142" w:history="1">
              <w:r>
                <w:rPr>
                  <w:rFonts w:ascii="Arial" w:eastAsia="Arial" w:hAnsi="Arial" w:cs="Arial"/>
                  <w:i/>
                  <w:color w:val="0077CC"/>
                  <w:sz w:val="20"/>
                  <w:u w:val="single"/>
                </w:rPr>
                <w:t>Kelley v. State, 402 Md. 745, 939 A.2d 149 (2008)</w:t>
              </w:r>
            </w:hyperlink>
            <w:r>
              <w:rPr>
                <w:rFonts w:ascii="Arial" w:eastAsia="Arial" w:hAnsi="Arial" w:cs="Arial"/>
                <w:color w:val="000000"/>
                <w:sz w:val="20"/>
              </w:rPr>
              <w:t xml:space="preserve"> (holding that the State may aggregate the value of property stolen over three different occasions to reach the required value for felony theft, and also may charge three separate felony thefts when the thefts did not take place in unbroken succession). Valuation is an element to be set forth in the charging document. Valuation of at least $ 1,000 must be alleged and proven beyond a reasonable doubt in order for the defendant to be sentenced as a felon. </w:t>
            </w:r>
            <w:r>
              <w:rPr>
                <w:rFonts w:ascii="Arial" w:eastAsia="Arial" w:hAnsi="Arial" w:cs="Arial"/>
                <w:i/>
                <w:color w:val="000000"/>
                <w:sz w:val="20"/>
              </w:rPr>
              <w:t>See</w:t>
            </w:r>
            <w:r>
              <w:rPr>
                <w:rFonts w:ascii="Arial" w:eastAsia="Arial" w:hAnsi="Arial" w:cs="Arial"/>
                <w:color w:val="000000"/>
                <w:sz w:val="20"/>
              </w:rPr>
              <w:t xml:space="preserve"> CRIM. LAW I § 7-104(g)(1); </w:t>
            </w:r>
            <w:hyperlink r:id="rId2143" w:history="1">
              <w:r>
                <w:rPr>
                  <w:rFonts w:ascii="Arial" w:eastAsia="Arial" w:hAnsi="Arial" w:cs="Arial"/>
                  <w:i/>
                  <w:color w:val="0077CC"/>
                  <w:sz w:val="20"/>
                  <w:u w:val="single"/>
                </w:rPr>
                <w:t>Hagans v. State, 316 Md. 429, 441-43, 559 A.2d 792, 798 (1989).</w:t>
              </w:r>
            </w:hyperlink>
            <w:r>
              <w:rPr>
                <w:rFonts w:ascii="Arial" w:eastAsia="Arial" w:hAnsi="Arial" w:cs="Arial"/>
                <w:color w:val="000000"/>
                <w:sz w:val="20"/>
              </w:rPr>
              <w:t xml:space="preserve"> Otherwise, the offense is a misdemeanor. </w:t>
            </w:r>
            <w:r>
              <w:rPr>
                <w:rFonts w:ascii="Arial" w:eastAsia="Arial" w:hAnsi="Arial" w:cs="Arial"/>
                <w:i/>
                <w:color w:val="000000"/>
                <w:sz w:val="20"/>
              </w:rPr>
              <w:t>See</w:t>
            </w:r>
            <w:r>
              <w:rPr>
                <w:rFonts w:ascii="Arial" w:eastAsia="Arial" w:hAnsi="Arial" w:cs="Arial"/>
                <w:color w:val="000000"/>
                <w:sz w:val="20"/>
              </w:rPr>
              <w:t xml:space="preserve"> CRIM. LAW I § 7-104(g)(2); </w:t>
            </w:r>
            <w:hyperlink r:id="rId2144" w:history="1">
              <w:r>
                <w:rPr>
                  <w:rFonts w:ascii="Arial" w:eastAsia="Arial" w:hAnsi="Arial" w:cs="Arial"/>
                  <w:i/>
                  <w:color w:val="0077CC"/>
                  <w:sz w:val="20"/>
                  <w:u w:val="single"/>
                </w:rPr>
                <w:t>Proctor v. State, 49 Md. App. 696, 704, 435 A.2d 484, 488 (1981).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Section 7-110(c) provides a defense to theft if (1) the defendant acted under a good faith claim of right, (2) the defendant acted in the honest belief of the right to obtain or exert control, (3) the property was that of the defendant's spouse with whom the defendant resided at the time of the incident, or (4) the defendant rightfully knew the trade secret that is the subject of an alleged theft. CRIM. LAW I § 7-110(c). Although this list of defenses applies to the crime of theft and not to the separate statutory offense of unauthorized use, the concept of scienter, or guilty knowledge, is common to both crimes, and the absence of scienter is a defense to unauthorized use as well as theft. </w:t>
            </w:r>
            <w:hyperlink r:id="rId2145" w:history="1">
              <w:r>
                <w:rPr>
                  <w:rFonts w:ascii="Arial" w:eastAsia="Arial" w:hAnsi="Arial" w:cs="Arial"/>
                  <w:i/>
                  <w:color w:val="0077CC"/>
                  <w:sz w:val="20"/>
                  <w:u w:val="single"/>
                </w:rPr>
                <w:t>Davis v. State, 104 Md. App. 290, 293, 656 A.2d 326, 328 (1995).</w:t>
              </w:r>
            </w:hyperlink>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In </w:t>
            </w:r>
            <w:hyperlink r:id="rId2146" w:history="1">
              <w:r>
                <w:rPr>
                  <w:rFonts w:ascii="Arial" w:eastAsia="Arial" w:hAnsi="Arial" w:cs="Arial"/>
                  <w:i/>
                  <w:color w:val="0077CC"/>
                  <w:sz w:val="20"/>
                  <w:u w:val="single"/>
                </w:rPr>
                <w:t>Sibert v. State, 301 Md. 141, 482 A.2d 483 (1984),</w:t>
              </w:r>
            </w:hyperlink>
            <w:r>
              <w:rPr>
                <w:rFonts w:ascii="Arial" w:eastAsia="Arial" w:hAnsi="Arial" w:cs="Arial"/>
                <w:color w:val="000000"/>
                <w:sz w:val="20"/>
              </w:rPr>
              <w:t xml:space="preserve"> the Court of Appeals analyzed both the good faith claim of right defense and the honest belief defense. The legislative history indicates that both of these defenses are claim of right defenses patterned after the Model Penal Code. </w:t>
            </w:r>
            <w:hyperlink r:id="rId2147" w:history="1">
              <w:r>
                <w:rPr>
                  <w:rFonts w:ascii="Arial" w:eastAsia="Arial" w:hAnsi="Arial" w:cs="Arial"/>
                  <w:i/>
                  <w:color w:val="0077CC"/>
                  <w:sz w:val="20"/>
                  <w:u w:val="single"/>
                </w:rPr>
                <w:t>Id. at 147 n.4, 482 A.2d at 486 n.4</w:t>
              </w:r>
            </w:hyperlink>
            <w:r>
              <w:rPr>
                <w:rFonts w:ascii="Arial" w:eastAsia="Arial" w:hAnsi="Arial" w:cs="Arial"/>
                <w:color w:val="000000"/>
                <w:sz w:val="20"/>
              </w:rPr>
              <w:t xml:space="preserve"> (citing JOINT SUBCOMM. ON THEFT RELATED OFFENSES, REVISION OF MARYLAND THEFT LAWS &amp; BAD CHECK LAWS 56 (1978)). Moreover, because larceny and theft require a specific intent, an honest belief of a claim of right is not actually a defense but is evidence on the "</w:t>
            </w:r>
            <w:r>
              <w:rPr>
                <w:rFonts w:ascii="Arial" w:eastAsia="Arial" w:hAnsi="Arial" w:cs="Arial"/>
                <w:i/>
                <w:color w:val="000000"/>
                <w:sz w:val="20"/>
              </w:rPr>
              <w:t xml:space="preserve">issue of whether the defendant possessed the requisite mens rea to commit the offense of theft." </w:t>
            </w:r>
            <w:hyperlink r:id="rId2148" w:history="1">
              <w:r>
                <w:rPr>
                  <w:rFonts w:ascii="Arial" w:eastAsia="Arial" w:hAnsi="Arial" w:cs="Arial"/>
                  <w:i/>
                  <w:color w:val="0077CC"/>
                  <w:sz w:val="20"/>
                  <w:u w:val="single"/>
                </w:rPr>
                <w:t>Id. at 147, 482 A.2d at 486</w:t>
              </w:r>
            </w:hyperlink>
            <w:r>
              <w:rPr>
                <w:rFonts w:ascii="Arial" w:eastAsia="Arial" w:hAnsi="Arial" w:cs="Arial"/>
                <w:color w:val="000000"/>
                <w:sz w:val="20"/>
              </w:rPr>
              <w:t xml:space="preserve"> (emphasis in original) (quoting JOINT SUBCOMM., </w:t>
            </w:r>
            <w:r>
              <w:rPr>
                <w:rFonts w:ascii="Arial" w:eastAsia="Arial" w:hAnsi="Arial" w:cs="Arial"/>
                <w:i/>
                <w:color w:val="000000"/>
                <w:sz w:val="20"/>
              </w:rPr>
              <w:t>supra</w:t>
            </w:r>
            <w:r>
              <w:rPr>
                <w:rFonts w:ascii="Arial" w:eastAsia="Arial" w:hAnsi="Arial" w:cs="Arial"/>
                <w:color w:val="000000"/>
                <w:sz w:val="20"/>
              </w:rPr>
              <w:t xml:space="preserve">, at 53-54); </w:t>
            </w:r>
            <w:r>
              <w:rPr>
                <w:rFonts w:ascii="Arial" w:eastAsia="Arial" w:hAnsi="Arial" w:cs="Arial"/>
                <w:i/>
                <w:color w:val="000000"/>
                <w:sz w:val="20"/>
              </w:rPr>
              <w:t xml:space="preserve">see </w:t>
            </w:r>
            <w:hyperlink r:id="rId2149" w:history="1">
              <w:r>
                <w:rPr>
                  <w:rFonts w:ascii="Arial" w:eastAsia="Arial" w:hAnsi="Arial" w:cs="Arial"/>
                  <w:i/>
                  <w:color w:val="0077CC"/>
                  <w:sz w:val="20"/>
                  <w:u w:val="single"/>
                </w:rPr>
                <w:t>Allen v. State, 157 Md. App. 177, 184-87, 850 A.2d 365, 369-70 (2004)</w:t>
              </w:r>
            </w:hyperlink>
            <w:r>
              <w:rPr>
                <w:rFonts w:ascii="Arial" w:eastAsia="Arial" w:hAnsi="Arial" w:cs="Arial"/>
                <w:color w:val="000000"/>
                <w:sz w:val="20"/>
              </w:rPr>
              <w:t xml:space="preserve"> (holding that, if evidence generates the "honest belief" defense and the defendant requests such an instruction, the court is obligated to give it).</w:t>
            </w:r>
          </w:p>
          <w:p w:rsidR="004729FB" w:rsidRDefault="004729FB" w:rsidP="00713DA5">
            <w:pPr>
              <w:spacing w:before="200" w:line="260" w:lineRule="atLeast"/>
              <w:ind w:left="60" w:right="360"/>
              <w:jc w:val="both"/>
            </w:pPr>
            <w:r>
              <w:rPr>
                <w:rFonts w:ascii="Arial" w:eastAsia="Arial" w:hAnsi="Arial" w:cs="Arial"/>
                <w:color w:val="000000"/>
                <w:sz w:val="20"/>
              </w:rPr>
              <w:t xml:space="preserve">The claim of right defense "usually arises when a person asserts a right to the property on demand in satisfaction of a claim." </w:t>
            </w:r>
            <w:hyperlink r:id="rId2150" w:history="1">
              <w:r>
                <w:rPr>
                  <w:rFonts w:ascii="Arial" w:eastAsia="Arial" w:hAnsi="Arial" w:cs="Arial"/>
                  <w:i/>
                  <w:color w:val="0077CC"/>
                  <w:sz w:val="20"/>
                  <w:u w:val="single"/>
                </w:rPr>
                <w:t>Sibert, 301 Md. at 148, 482 A.2d at 487.</w:t>
              </w:r>
            </w:hyperlink>
            <w:r>
              <w:rPr>
                <w:rFonts w:ascii="Arial" w:eastAsia="Arial" w:hAnsi="Arial" w:cs="Arial"/>
                <w:color w:val="000000"/>
                <w:sz w:val="20"/>
              </w:rPr>
              <w:t xml:space="preserve"> The honest belief defense arises when the defendant "acted in the honest belief that he had the right to obtain or exert control over the property as he did." </w:t>
            </w:r>
            <w:hyperlink r:id="rId2151" w:history="1">
              <w:r>
                <w:rPr>
                  <w:rFonts w:ascii="Arial" w:eastAsia="Arial" w:hAnsi="Arial" w:cs="Arial"/>
                  <w:i/>
                  <w:color w:val="0077CC"/>
                  <w:sz w:val="20"/>
                  <w:u w:val="single"/>
                </w:rPr>
                <w:t>Id. at 148-49, 482 A.2d at 487.</w:t>
              </w:r>
            </w:hyperlink>
            <w:r>
              <w:rPr>
                <w:rFonts w:ascii="Arial" w:eastAsia="Arial" w:hAnsi="Arial" w:cs="Arial"/>
                <w:color w:val="000000"/>
                <w:sz w:val="20"/>
              </w:rPr>
              <w:t xml:space="preserve"> These defenses apply to all forms of theft. </w:t>
            </w:r>
            <w:r>
              <w:rPr>
                <w:rFonts w:ascii="Arial" w:eastAsia="Arial" w:hAnsi="Arial" w:cs="Arial"/>
                <w:i/>
                <w:color w:val="000000"/>
                <w:sz w:val="20"/>
              </w:rPr>
              <w:t>See id.</w:t>
            </w:r>
            <w:r>
              <w:rPr>
                <w:rFonts w:ascii="Arial" w:eastAsia="Arial" w:hAnsi="Arial" w:cs="Arial"/>
                <w:color w:val="000000"/>
                <w:sz w:val="20"/>
              </w:rPr>
              <w:t xml:space="preserve"> (theft by possession).</w:t>
            </w:r>
          </w:p>
          <w:p w:rsidR="004729FB" w:rsidRDefault="004729FB" w:rsidP="00713DA5">
            <w:pPr>
              <w:spacing w:before="240" w:line="260" w:lineRule="atLeast"/>
              <w:ind w:left="60" w:right="360"/>
              <w:jc w:val="both"/>
            </w:pPr>
            <w:r>
              <w:rPr>
                <w:rFonts w:ascii="Arial" w:eastAsia="Arial" w:hAnsi="Arial" w:cs="Arial"/>
                <w:color w:val="000000"/>
                <w:sz w:val="20"/>
              </w:rPr>
              <w:t xml:space="preserve">The "claim of right" defenses, like aspects of the mens rea, are designed to preclude recklessness and negligence from satisfying the mens rea requirement. </w:t>
            </w:r>
            <w:r>
              <w:rPr>
                <w:rFonts w:ascii="Arial" w:eastAsia="Arial" w:hAnsi="Arial" w:cs="Arial"/>
                <w:i/>
                <w:color w:val="000000"/>
                <w:sz w:val="20"/>
              </w:rPr>
              <w:t>Id.</w:t>
            </w:r>
            <w:r>
              <w:rPr>
                <w:rFonts w:ascii="Arial" w:eastAsia="Arial" w:hAnsi="Arial" w:cs="Arial"/>
                <w:color w:val="000000"/>
                <w:sz w:val="20"/>
              </w:rPr>
              <w:t xml:space="preserve"> If the evidence generates any of the statutory defenses, and if the defendant so requests, the court's instruction must explain the mens rea in terms of both (1) the specific intent to deprive, and (2) the appropriate defense. Even a correct and complete instruction on the specific intent requirement does not fairly cover the issue without an accompanying defense instruction, if requested. </w:t>
            </w:r>
            <w:r>
              <w:rPr>
                <w:rFonts w:ascii="Arial" w:eastAsia="Arial" w:hAnsi="Arial" w:cs="Arial"/>
                <w:i/>
                <w:color w:val="000000"/>
                <w:sz w:val="20"/>
              </w:rPr>
              <w:t xml:space="preserve">See </w:t>
            </w:r>
            <w:hyperlink r:id="rId2152" w:history="1">
              <w:r>
                <w:rPr>
                  <w:rFonts w:ascii="Arial" w:eastAsia="Arial" w:hAnsi="Arial" w:cs="Arial"/>
                  <w:i/>
                  <w:color w:val="0077CC"/>
                  <w:sz w:val="20"/>
                  <w:u w:val="single"/>
                </w:rPr>
                <w:t>Binnie v. State, 321 Md. 572, 583 A.2d 1037 (1991)</w:t>
              </w:r>
            </w:hyperlink>
            <w:r>
              <w:rPr>
                <w:rFonts w:ascii="Arial" w:eastAsia="Arial" w:hAnsi="Arial" w:cs="Arial"/>
                <w:color w:val="000000"/>
                <w:sz w:val="20"/>
              </w:rPr>
              <w:t xml:space="preserve"> (finding that the uncorroborated statements of the defendant established an honest belief defense).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76" style="position:absolute;left:0;text-align:left;z-index:25200742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gutter="0"/>
          <w:cols w:space="720"/>
          <w:titlePg/>
        </w:sectPr>
      </w:pPr>
    </w:p>
    <w:p w:rsidR="004729FB" w:rsidRDefault="004729FB" w:rsidP="004729FB">
      <w:bookmarkStart w:id="10" w:name="Bookmark_11"/>
      <w:bookmarkEnd w:id="10"/>
    </w:p>
    <w:p w:rsidR="004729FB" w:rsidRDefault="004729FB" w:rsidP="004729FB">
      <w:r>
        <w:rPr>
          <w:noProof/>
        </w:rPr>
        <w:drawing>
          <wp:inline distT="0" distB="0" distL="0" distR="0">
            <wp:extent cx="1876425" cy="381000"/>
            <wp:effectExtent l="0" t="0" r="0" b="0"/>
            <wp:docPr id="122" name="Picture 12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159" w:history="1">
        <w:r>
          <w:rPr>
            <w:rFonts w:ascii="Arial" w:eastAsia="Arial" w:hAnsi="Arial" w:cs="Arial"/>
            <w:b/>
            <w:bCs/>
            <w:i/>
            <w:color w:val="0077CC"/>
            <w:kern w:val="32"/>
            <w:sz w:val="28"/>
            <w:szCs w:val="32"/>
            <w:u w:val="single"/>
          </w:rPr>
          <w:t>MPJI-Cr 4:32.1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7-104(B): THEFT--OBTAINING CONTROL BY DECEPTION</w:t>
      </w:r>
    </w:p>
    <w:p w:rsidR="004729FB" w:rsidRDefault="004729FB" w:rsidP="004729FB">
      <w:pPr>
        <w:keepNext/>
        <w:spacing w:before="240" w:line="340" w:lineRule="atLeast"/>
      </w:pPr>
      <w:r>
        <w:br/>
      </w:r>
      <w:r>
        <w:rPr>
          <w:rFonts w:ascii="Arial" w:eastAsia="Arial" w:hAnsi="Arial" w:cs="Arial"/>
          <w:b/>
          <w:color w:val="000000"/>
          <w:sz w:val="28"/>
        </w:rPr>
        <w:t>4:32.1§ 7-104(b): Theft--Obtaining Control by Deception</w:t>
      </w:r>
    </w:p>
    <w:p w:rsidR="004729FB" w:rsidRDefault="004729FB" w:rsidP="004729FB">
      <w:pPr>
        <w:spacing w:line="60" w:lineRule="exact"/>
      </w:pPr>
      <w:r>
        <w:pict>
          <v:line id="_x0000_s1366" style="position:absolute;z-index:2519971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theft. In order to convict the defendant of theft,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willfully or knowingly obtained control over someone else's property;</w:t>
      </w:r>
    </w:p>
    <w:p w:rsidR="004729FB" w:rsidRDefault="004729FB" w:rsidP="004729FB">
      <w:pPr>
        <w:spacing w:before="200" w:line="260" w:lineRule="atLeast"/>
        <w:ind w:left="400"/>
        <w:jc w:val="both"/>
      </w:pPr>
      <w:r>
        <w:rPr>
          <w:rFonts w:ascii="Arial" w:eastAsia="Arial" w:hAnsi="Arial" w:cs="Arial"/>
          <w:b/>
          <w:color w:val="000000"/>
          <w:sz w:val="20"/>
        </w:rPr>
        <w:t>(2) that the defendant willfully or knowingly used deception; [and]</w:t>
      </w:r>
    </w:p>
    <w:p w:rsidR="004729FB" w:rsidRDefault="004729FB" w:rsidP="004729FB">
      <w:pPr>
        <w:spacing w:before="200" w:line="260" w:lineRule="atLeast"/>
        <w:ind w:left="400"/>
        <w:jc w:val="both"/>
      </w:pPr>
      <w:r>
        <w:rPr>
          <w:rFonts w:ascii="Arial" w:eastAsia="Arial" w:hAnsi="Arial" w:cs="Arial"/>
          <w:b/>
          <w:color w:val="000000"/>
          <w:sz w:val="20"/>
        </w:rPr>
        <w:t>(3) that [the defendant had the purpose of depriving the owner of the property] [the defendant willfully or knowingly abandoned, used or concealed the property in such a manner as to deprive the owner of the property or knew that the abandonment, use, or concealment probably would deprive the owner of the property] [; and] [.]</w:t>
      </w:r>
    </w:p>
    <w:p w:rsidR="004729FB" w:rsidRDefault="004729FB" w:rsidP="004729FB">
      <w:pPr>
        <w:spacing w:before="200" w:line="260" w:lineRule="atLeast"/>
        <w:ind w:left="400"/>
        <w:jc w:val="both"/>
      </w:pPr>
      <w:r>
        <w:rPr>
          <w:rFonts w:ascii="Arial" w:eastAsia="Arial" w:hAnsi="Arial" w:cs="Arial"/>
          <w:b/>
          <w:color w:val="000000"/>
          <w:sz w:val="20"/>
        </w:rPr>
        <w:t>[[(4) that the value of the property was [over $ 1,000] [over $ 10,000] [over $ 100,000].]]</w:t>
      </w:r>
    </w:p>
    <w:p w:rsidR="004729FB" w:rsidRDefault="004729FB" w:rsidP="004729FB">
      <w:pPr>
        <w:spacing w:before="200" w:line="260" w:lineRule="atLeast"/>
        <w:jc w:val="both"/>
      </w:pPr>
      <w:r>
        <w:rPr>
          <w:rFonts w:ascii="Arial" w:eastAsia="Arial" w:hAnsi="Arial" w:cs="Arial"/>
          <w:b/>
          <w:color w:val="000000"/>
          <w:sz w:val="20"/>
        </w:rPr>
        <w:t>A person uses deception when [he] [she] knows or is practically certain that [he] [she] is creating or confirming a false impression without believing it to be true, or fails to correct such an impression once created or confirmed, or prevents the correct information from being acquired. Deception does not include puffing, immaterial statements, and exaggerations unlikely to deceive ordinary persons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["Property" means anything of value.]</w:t>
      </w:r>
    </w:p>
    <w:p w:rsidR="004729FB" w:rsidRDefault="004729FB" w:rsidP="004729FB">
      <w:pPr>
        <w:spacing w:before="200" w:line="260" w:lineRule="atLeast"/>
        <w:jc w:val="both"/>
      </w:pPr>
      <w:r>
        <w:rPr>
          <w:rFonts w:ascii="Arial" w:eastAsia="Arial" w:hAnsi="Arial" w:cs="Arial"/>
          <w:b/>
          <w:color w:val="000000"/>
          <w:sz w:val="20"/>
        </w:rPr>
        <w:t>["Owner" means a person, other than the defendant, who has possession of, or any other interest in, the property and without whose consent, the defendant has no authority to exert control over the property.]</w:t>
      </w:r>
    </w:p>
    <w:p w:rsidR="004729FB" w:rsidRDefault="004729FB" w:rsidP="004729FB">
      <w:pPr>
        <w:spacing w:before="200" w:line="260" w:lineRule="atLeast"/>
        <w:jc w:val="both"/>
      </w:pPr>
      <w:r>
        <w:rPr>
          <w:rFonts w:ascii="Arial" w:eastAsia="Arial" w:hAnsi="Arial" w:cs="Arial"/>
          <w:b/>
          <w:color w:val="000000"/>
          <w:sz w:val="20"/>
        </w:rPr>
        <w:t>["Deprive" means to withhold property of another permanently, for such a period as to appropriate a portion of its value, with the purpose of restoring it only upon payment of a reward or other compensation, or to dispose of the property and use or deal with the property so as to make it unlikely that the owner will recover it.]</w:t>
      </w:r>
    </w:p>
    <w:p w:rsidR="004729FB" w:rsidRDefault="004729FB" w:rsidP="004729FB">
      <w:pPr>
        <w:spacing w:before="200" w:line="260" w:lineRule="atLeast"/>
        <w:jc w:val="both"/>
      </w:pPr>
      <w:r>
        <w:rPr>
          <w:rFonts w:ascii="Arial" w:eastAsia="Arial" w:hAnsi="Arial" w:cs="Arial"/>
          <w:b/>
          <w:color w:val="000000"/>
          <w:sz w:val="20"/>
        </w:rPr>
        <w:t>["Exerted control" means to take, carry away, or appropriate to a person's own use or to sell, convey, or transfer title to an interest in or possession of property.]</w:t>
      </w:r>
    </w:p>
    <w:p w:rsidR="004729FB" w:rsidRDefault="004729FB" w:rsidP="004729FB">
      <w:pPr>
        <w:spacing w:before="200" w:line="260" w:lineRule="atLeast"/>
        <w:jc w:val="both"/>
      </w:pPr>
      <w:r>
        <w:rPr>
          <w:rFonts w:ascii="Arial" w:eastAsia="Arial" w:hAnsi="Arial" w:cs="Arial"/>
          <w:b/>
          <w:color w:val="000000"/>
          <w:sz w:val="20"/>
        </w:rPr>
        <w:t>["Value" means the market value of the property or service at the time and place of the crime, or, if the market value cannot be satisfactorily ascertained, the cost of the replacement of the property or service within a reasonable time after the crime.]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lastRenderedPageBreak/>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4:32 (Theft--Obtaining or Exerting Unauthorized Control).</w:t>
            </w:r>
          </w:p>
          <w:p w:rsidR="004729FB" w:rsidRDefault="004729FB" w:rsidP="00713DA5">
            <w:pPr>
              <w:spacing w:before="200" w:line="260" w:lineRule="atLeast"/>
              <w:ind w:left="60" w:right="360"/>
              <w:jc w:val="both"/>
            </w:pPr>
            <w:r>
              <w:rPr>
                <w:rFonts w:ascii="Arial" w:eastAsia="Arial" w:hAnsi="Arial" w:cs="Arial"/>
                <w:color w:val="000000"/>
                <w:sz w:val="20"/>
              </w:rPr>
              <w:t xml:space="preserve">Theft by deception requires proof that the defendant intended to mislead. </w:t>
            </w:r>
            <w:r>
              <w:rPr>
                <w:rFonts w:ascii="Arial" w:eastAsia="Arial" w:hAnsi="Arial" w:cs="Arial"/>
                <w:i/>
                <w:color w:val="000000"/>
                <w:sz w:val="20"/>
              </w:rPr>
              <w:t xml:space="preserve">See </w:t>
            </w:r>
            <w:hyperlink r:id="rId2160" w:history="1">
              <w:r>
                <w:rPr>
                  <w:rFonts w:ascii="Arial" w:eastAsia="Arial" w:hAnsi="Arial" w:cs="Arial"/>
                  <w:i/>
                  <w:color w:val="0077CC"/>
                  <w:sz w:val="20"/>
                  <w:u w:val="single"/>
                </w:rPr>
                <w:t>Fraidin v. State, 85 Md. App. 231, 254-66, 583 A.2d 1065, 1077-82,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322 Md. 614, 589 A.2d 57 (1991);</w:t>
            </w:r>
            <w:r>
              <w:rPr>
                <w:rFonts w:ascii="Arial" w:eastAsia="Arial" w:hAnsi="Arial" w:cs="Arial"/>
                <w:color w:val="000000"/>
                <w:sz w:val="20"/>
              </w:rPr>
              <w:t xml:space="preserve"> </w:t>
            </w:r>
            <w:hyperlink r:id="rId2161" w:history="1">
              <w:r>
                <w:rPr>
                  <w:rFonts w:ascii="Arial" w:eastAsia="Arial" w:hAnsi="Arial" w:cs="Arial"/>
                  <w:i/>
                  <w:color w:val="0077CC"/>
                  <w:sz w:val="20"/>
                  <w:u w:val="single"/>
                </w:rPr>
                <w:t>Lane v. State, 60 Md. App. 412, 483 A.2d 369 (1984),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302 Md. 570, 489 A.2d 1129 (1985);</w:t>
            </w:r>
            <w:r>
              <w:rPr>
                <w:rFonts w:ascii="Arial" w:eastAsia="Arial" w:hAnsi="Arial" w:cs="Arial"/>
                <w:color w:val="000000"/>
                <w:sz w:val="20"/>
              </w:rPr>
              <w:t xml:space="preserve"> </w:t>
            </w:r>
            <w:r>
              <w:rPr>
                <w:rFonts w:ascii="Arial" w:eastAsia="Arial" w:hAnsi="Arial" w:cs="Arial"/>
                <w:i/>
                <w:color w:val="000000"/>
                <w:sz w:val="20"/>
              </w:rPr>
              <w:t xml:space="preserve">see also </w:t>
            </w:r>
            <w:hyperlink r:id="rId2162" w:history="1">
              <w:r>
                <w:rPr>
                  <w:rFonts w:ascii="Arial" w:eastAsia="Arial" w:hAnsi="Arial" w:cs="Arial"/>
                  <w:i/>
                  <w:color w:val="0077CC"/>
                  <w:sz w:val="20"/>
                  <w:u w:val="single"/>
                </w:rPr>
                <w:t>Franklin v. State, 60 Md. App. 277, 482 A.2d 168 (1984)</w:t>
              </w:r>
            </w:hyperlink>
            <w:r>
              <w:rPr>
                <w:rFonts w:ascii="Arial" w:eastAsia="Arial" w:hAnsi="Arial" w:cs="Arial"/>
                <w:color w:val="000000"/>
                <w:sz w:val="20"/>
              </w:rPr>
              <w:t xml:space="preserve"> (distinguishing common law false pretenses from statutory obtaining control by deception),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302 Md. 288, 487 A.2d 292 (1985).</w:t>
            </w:r>
            <w:r>
              <w:rPr>
                <w:rFonts w:ascii="Arial" w:eastAsia="Arial" w:hAnsi="Arial" w:cs="Arial"/>
                <w:color w:val="000000"/>
                <w:sz w:val="20"/>
              </w:rPr>
              <w:t xml:space="preserve"> However, there is no need to prove detrimental reliance or that anyone was actually misled. </w:t>
            </w:r>
            <w:hyperlink r:id="rId2163" w:history="1">
              <w:r>
                <w:rPr>
                  <w:rFonts w:ascii="Arial" w:eastAsia="Arial" w:hAnsi="Arial" w:cs="Arial"/>
                  <w:i/>
                  <w:color w:val="0077CC"/>
                  <w:sz w:val="20"/>
                  <w:u w:val="single"/>
                </w:rPr>
                <w:t>Cardin v. State, 73 Md. App. 200, 222-24, 533 A.2d 928, 939-40 (1987),</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312 Md. 126, 538 A.2d 777,</w:t>
            </w:r>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488 U.S. 827,</w:t>
            </w:r>
            <w:r>
              <w:rPr>
                <w:rFonts w:ascii="Arial" w:eastAsia="Arial" w:hAnsi="Arial" w:cs="Arial"/>
                <w:color w:val="000000"/>
                <w:sz w:val="20"/>
              </w:rPr>
              <w:t xml:space="preserve"> </w:t>
            </w:r>
            <w:r>
              <w:rPr>
                <w:rFonts w:ascii="Arial" w:eastAsia="Arial" w:hAnsi="Arial" w:cs="Arial"/>
                <w:i/>
                <w:color w:val="000000"/>
                <w:sz w:val="20"/>
              </w:rPr>
              <w:t>reh'g denied</w:t>
            </w:r>
            <w:r>
              <w:rPr>
                <w:rFonts w:ascii="Arial" w:eastAsia="Arial" w:hAnsi="Arial" w:cs="Arial"/>
                <w:color w:val="000000"/>
                <w:sz w:val="20"/>
              </w:rPr>
              <w:t xml:space="preserve">, </w:t>
            </w:r>
            <w:r>
              <w:rPr>
                <w:rFonts w:ascii="Arial" w:eastAsia="Arial" w:hAnsi="Arial" w:cs="Arial"/>
                <w:i/>
                <w:color w:val="000000"/>
                <w:sz w:val="20"/>
              </w:rPr>
              <w:t>488 U.S. 935 (1988).</w:t>
            </w:r>
          </w:p>
          <w:p w:rsidR="004729FB" w:rsidRDefault="004729FB" w:rsidP="00713DA5">
            <w:pPr>
              <w:spacing w:before="200" w:line="260" w:lineRule="atLeast"/>
              <w:ind w:left="60" w:right="360"/>
              <w:jc w:val="both"/>
            </w:pPr>
            <w:r>
              <w:rPr>
                <w:rFonts w:ascii="Arial" w:eastAsia="Arial" w:hAnsi="Arial" w:cs="Arial"/>
                <w:color w:val="000000"/>
                <w:sz w:val="20"/>
              </w:rPr>
              <w:t>If the instrumentality used to obtain control by deception is a negotiable instrument, the provisions of CRIM. LAW I § 7-107 may apply, which state that:</w:t>
            </w:r>
          </w:p>
          <w:p w:rsidR="004729FB" w:rsidRDefault="004729FB" w:rsidP="00713DA5">
            <w:pPr>
              <w:spacing w:before="60" w:line="260" w:lineRule="atLeast"/>
              <w:ind w:left="460" w:right="360"/>
              <w:jc w:val="both"/>
            </w:pPr>
            <w:r>
              <w:rPr>
                <w:rFonts w:ascii="Arial" w:eastAsia="Arial" w:hAnsi="Arial" w:cs="Arial"/>
                <w:color w:val="000000"/>
                <w:sz w:val="20"/>
              </w:rPr>
              <w:t>(a) A person who obtains property or a service by a bad check under the circumstances described in Title 8, Subtitle 1 of this article may not be prosecuted for theft under this part unless that person:</w:t>
            </w:r>
          </w:p>
          <w:p w:rsidR="004729FB" w:rsidRDefault="004729FB" w:rsidP="00713DA5">
            <w:pPr>
              <w:spacing w:before="60" w:line="260" w:lineRule="atLeast"/>
              <w:ind w:left="460" w:right="360"/>
              <w:jc w:val="both"/>
            </w:pPr>
            <w:r>
              <w:rPr>
                <w:rFonts w:ascii="Arial" w:eastAsia="Arial" w:hAnsi="Arial" w:cs="Arial"/>
                <w:color w:val="000000"/>
                <w:sz w:val="20"/>
              </w:rPr>
              <w:t>(1) makes a false representation that there are sufficient funds in the drawee bank to cover the check; and</w:t>
            </w:r>
          </w:p>
          <w:p w:rsidR="004729FB" w:rsidRDefault="004729FB" w:rsidP="00713DA5">
            <w:pPr>
              <w:spacing w:before="60" w:line="260" w:lineRule="atLeast"/>
              <w:ind w:left="460" w:right="360"/>
              <w:jc w:val="both"/>
            </w:pPr>
            <w:r>
              <w:rPr>
                <w:rFonts w:ascii="Arial" w:eastAsia="Arial" w:hAnsi="Arial" w:cs="Arial"/>
                <w:color w:val="000000"/>
                <w:sz w:val="20"/>
              </w:rPr>
              <w:t>(2) commits deception as provided under § 7-104(b) or (e) of this part.</w:t>
            </w:r>
          </w:p>
          <w:p w:rsidR="004729FB" w:rsidRDefault="004729FB" w:rsidP="00713DA5">
            <w:pPr>
              <w:spacing w:before="60" w:line="260" w:lineRule="atLeast"/>
              <w:ind w:left="460" w:right="360"/>
              <w:jc w:val="both"/>
            </w:pPr>
            <w:r>
              <w:rPr>
                <w:rFonts w:ascii="Arial" w:eastAsia="Arial" w:hAnsi="Arial" w:cs="Arial"/>
                <w:color w:val="000000"/>
                <w:sz w:val="20"/>
              </w:rPr>
              <w:t>(b) If a person is prosecuted for theft under this section, the presumptions of § 8-104 of this article apply to the same extent as if the person were prosecuted under § 7-104 of this part.</w:t>
            </w:r>
          </w:p>
          <w:p w:rsidR="004729FB" w:rsidRDefault="004729FB" w:rsidP="00713DA5">
            <w:pPr>
              <w:spacing w:before="200" w:line="260" w:lineRule="atLeast"/>
              <w:ind w:left="60" w:right="360"/>
              <w:jc w:val="both"/>
            </w:pPr>
            <w:r>
              <w:rPr>
                <w:rFonts w:ascii="Arial" w:eastAsia="Arial" w:hAnsi="Arial" w:cs="Arial"/>
                <w:color w:val="000000"/>
                <w:sz w:val="20"/>
              </w:rPr>
              <w:t xml:space="preserve">However, because these provisions are read in pari materia, a prosecution under § 7-104 must comply with the § 8-105 prohibition that if the check is made good within ten days of dishonor, the defendant may not be prosecuted unless there is a false representation other than sufficient funds. </w:t>
            </w:r>
            <w:r>
              <w:rPr>
                <w:rFonts w:ascii="Arial" w:eastAsia="Arial" w:hAnsi="Arial" w:cs="Arial"/>
                <w:i/>
                <w:color w:val="000000"/>
                <w:sz w:val="20"/>
              </w:rPr>
              <w:t xml:space="preserve">See </w:t>
            </w:r>
            <w:hyperlink r:id="rId2164" w:history="1">
              <w:r>
                <w:rPr>
                  <w:rFonts w:ascii="Arial" w:eastAsia="Arial" w:hAnsi="Arial" w:cs="Arial"/>
                  <w:i/>
                  <w:color w:val="0077CC"/>
                  <w:sz w:val="20"/>
                  <w:u w:val="single"/>
                </w:rPr>
                <w:t>Murphy v. State, 100 Md. App. 131, 640 A.2d 230 (1994)</w:t>
              </w:r>
            </w:hyperlink>
            <w:r>
              <w:rPr>
                <w:rFonts w:ascii="Arial" w:eastAsia="Arial" w:hAnsi="Arial" w:cs="Arial"/>
                <w:color w:val="000000"/>
                <w:sz w:val="20"/>
              </w:rPr>
              <w:t xml:space="preserve"> (discussing predecessor statutes). This limitation is applicable even if there are multiple checks, giving rise to a common scheme argument. </w:t>
            </w:r>
            <w:r>
              <w:rPr>
                <w:rFonts w:ascii="Arial" w:eastAsia="Arial" w:hAnsi="Arial" w:cs="Arial"/>
                <w:i/>
                <w:color w:val="000000"/>
                <w:sz w:val="20"/>
              </w:rPr>
              <w:t>Id.</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377" style="position:absolute;left:0;text-align:left;z-index:252008448;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10:54:00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77923736</w:t>
      </w:r>
    </w:p>
    <w:p w:rsidR="004729FB" w:rsidRDefault="004729FB" w:rsidP="004729FB">
      <w:pPr>
        <w:spacing w:before="360" w:line="360" w:lineRule="atLeast"/>
        <w:jc w:val="both"/>
      </w:pPr>
      <w:r>
        <w:rPr>
          <w:rFonts w:ascii="Arial" w:eastAsia="Arial" w:hAnsi="Arial" w:cs="Arial"/>
          <w:b/>
          <w:color w:val="000000"/>
        </w:rPr>
        <w:t>Documents (10)</w:t>
      </w:r>
    </w:p>
    <w:p w:rsidR="004729FB" w:rsidRDefault="004729FB" w:rsidP="004729FB">
      <w:pPr>
        <w:spacing w:before="200" w:line="300" w:lineRule="atLeast"/>
        <w:ind w:left="440" w:hanging="290"/>
      </w:pPr>
      <w:r>
        <w:rPr>
          <w:rFonts w:ascii="Arial" w:eastAsia="Arial" w:hAnsi="Arial" w:cs="Arial"/>
          <w:sz w:val="20"/>
        </w:rPr>
        <w:t>1.</w:t>
      </w:r>
      <w:hyperlink r:id="rId2165" w:history="1">
        <w:r>
          <w:rPr>
            <w:rFonts w:ascii="Arial" w:eastAsia="Arial" w:hAnsi="Arial" w:cs="Arial"/>
            <w:color w:val="000000"/>
            <w:sz w:val="20"/>
            <w:u w:val="single"/>
          </w:rPr>
          <w:t xml:space="preserve"> </w:t>
        </w:r>
      </w:hyperlink>
      <w:hyperlink r:id="rId2166" w:history="1">
        <w:r>
          <w:rPr>
            <w:rFonts w:ascii="Arial" w:eastAsia="Arial" w:hAnsi="Arial" w:cs="Arial"/>
            <w:i/>
            <w:color w:val="0077CC"/>
            <w:sz w:val="20"/>
            <w:u w:val="single"/>
          </w:rPr>
          <w:t>§ 7-104(c): Theft--Possession of Stolen Property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2167" w:history="1">
        <w:r>
          <w:rPr>
            <w:rFonts w:ascii="Arial" w:eastAsia="Arial" w:hAnsi="Arial" w:cs="Arial"/>
            <w:color w:val="000000"/>
            <w:sz w:val="20"/>
            <w:u w:val="single"/>
          </w:rPr>
          <w:t xml:space="preserve"> </w:t>
        </w:r>
      </w:hyperlink>
      <w:hyperlink r:id="rId2168" w:history="1">
        <w:r>
          <w:rPr>
            <w:rFonts w:ascii="Arial" w:eastAsia="Arial" w:hAnsi="Arial" w:cs="Arial"/>
            <w:i/>
            <w:color w:val="0077CC"/>
            <w:sz w:val="20"/>
            <w:u w:val="single"/>
          </w:rPr>
          <w:t>Theft--Inference from Exclusive Unexplained Possession of Recently Stolen Goods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2169" w:history="1">
        <w:r>
          <w:rPr>
            <w:rFonts w:ascii="Arial" w:eastAsia="Arial" w:hAnsi="Arial" w:cs="Arial"/>
            <w:color w:val="000000"/>
            <w:sz w:val="20"/>
            <w:u w:val="single"/>
          </w:rPr>
          <w:t xml:space="preserve"> </w:t>
        </w:r>
      </w:hyperlink>
      <w:hyperlink r:id="rId2170" w:history="1">
        <w:r>
          <w:rPr>
            <w:rFonts w:ascii="Arial" w:eastAsia="Arial" w:hAnsi="Arial" w:cs="Arial"/>
            <w:i/>
            <w:color w:val="0077CC"/>
            <w:sz w:val="20"/>
            <w:u w:val="single"/>
          </w:rPr>
          <w:t>Theft of a Motor Vehicle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2171" w:history="1">
        <w:r>
          <w:rPr>
            <w:rFonts w:ascii="Arial" w:eastAsia="Arial" w:hAnsi="Arial" w:cs="Arial"/>
            <w:color w:val="000000"/>
            <w:sz w:val="20"/>
            <w:u w:val="single"/>
          </w:rPr>
          <w:t xml:space="preserve"> </w:t>
        </w:r>
      </w:hyperlink>
      <w:hyperlink r:id="rId2172" w:history="1">
        <w:r>
          <w:rPr>
            <w:rFonts w:ascii="Arial" w:eastAsia="Arial" w:hAnsi="Arial" w:cs="Arial"/>
            <w:i/>
            <w:color w:val="0077CC"/>
            <w:sz w:val="20"/>
            <w:u w:val="single"/>
          </w:rPr>
          <w:t>Credit Card Theft</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2173" w:history="1">
        <w:r>
          <w:rPr>
            <w:rFonts w:ascii="Arial" w:eastAsia="Arial" w:hAnsi="Arial" w:cs="Arial"/>
            <w:color w:val="000000"/>
            <w:sz w:val="20"/>
            <w:u w:val="single"/>
          </w:rPr>
          <w:t xml:space="preserve"> </w:t>
        </w:r>
      </w:hyperlink>
      <w:hyperlink r:id="rId2174" w:history="1">
        <w:r>
          <w:rPr>
            <w:rFonts w:ascii="Arial" w:eastAsia="Arial" w:hAnsi="Arial" w:cs="Arial"/>
            <w:i/>
            <w:color w:val="0077CC"/>
            <w:sz w:val="20"/>
            <w:u w:val="single"/>
          </w:rPr>
          <w:t>Trespass--Posted Property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2175" w:history="1">
        <w:r>
          <w:rPr>
            <w:rFonts w:ascii="Arial" w:eastAsia="Arial" w:hAnsi="Arial" w:cs="Arial"/>
            <w:color w:val="000000"/>
            <w:sz w:val="20"/>
            <w:u w:val="single"/>
          </w:rPr>
          <w:t xml:space="preserve"> </w:t>
        </w:r>
      </w:hyperlink>
      <w:hyperlink r:id="rId2176" w:history="1">
        <w:r>
          <w:rPr>
            <w:rFonts w:ascii="Arial" w:eastAsia="Arial" w:hAnsi="Arial" w:cs="Arial"/>
            <w:i/>
            <w:color w:val="0077CC"/>
            <w:sz w:val="20"/>
            <w:u w:val="single"/>
          </w:rPr>
          <w:t>Trespass--Public Property After Business Hours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2177" w:history="1">
        <w:r>
          <w:rPr>
            <w:rFonts w:ascii="Arial" w:eastAsia="Arial" w:hAnsi="Arial" w:cs="Arial"/>
            <w:color w:val="000000"/>
            <w:sz w:val="20"/>
            <w:u w:val="single"/>
          </w:rPr>
          <w:t xml:space="preserve"> </w:t>
        </w:r>
      </w:hyperlink>
      <w:hyperlink r:id="rId2178" w:history="1">
        <w:r>
          <w:rPr>
            <w:rFonts w:ascii="Arial" w:eastAsia="Arial" w:hAnsi="Arial" w:cs="Arial"/>
            <w:i/>
            <w:color w:val="0077CC"/>
            <w:sz w:val="20"/>
            <w:u w:val="single"/>
          </w:rPr>
          <w:t>Trespass--Public Property During Business Hours</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8.</w:t>
      </w:r>
      <w:hyperlink r:id="rId2179" w:history="1">
        <w:r>
          <w:rPr>
            <w:rFonts w:ascii="Arial" w:eastAsia="Arial" w:hAnsi="Arial" w:cs="Arial"/>
            <w:color w:val="000000"/>
            <w:sz w:val="20"/>
            <w:u w:val="single"/>
          </w:rPr>
          <w:t xml:space="preserve"> </w:t>
        </w:r>
      </w:hyperlink>
      <w:hyperlink r:id="rId2180" w:history="1">
        <w:r>
          <w:rPr>
            <w:rFonts w:ascii="Arial" w:eastAsia="Arial" w:hAnsi="Arial" w:cs="Arial"/>
            <w:i/>
            <w:color w:val="0077CC"/>
            <w:sz w:val="20"/>
            <w:u w:val="single"/>
          </w:rPr>
          <w:t>Unauthorized Removal of Property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9.</w:t>
      </w:r>
      <w:hyperlink r:id="rId2181" w:history="1">
        <w:r>
          <w:rPr>
            <w:rFonts w:ascii="Arial" w:eastAsia="Arial" w:hAnsi="Arial" w:cs="Arial"/>
            <w:color w:val="000000"/>
            <w:sz w:val="20"/>
            <w:u w:val="single"/>
          </w:rPr>
          <w:t xml:space="preserve"> </w:t>
        </w:r>
      </w:hyperlink>
      <w:hyperlink r:id="rId2182" w:history="1">
        <w:r>
          <w:rPr>
            <w:rFonts w:ascii="Arial" w:eastAsia="Arial" w:hAnsi="Arial" w:cs="Arial"/>
            <w:i/>
            <w:color w:val="0077CC"/>
            <w:sz w:val="20"/>
            <w:u w:val="single"/>
          </w:rPr>
          <w:t>Trespass--Private Property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10.</w:t>
      </w:r>
      <w:hyperlink r:id="rId2183" w:history="1">
        <w:r>
          <w:rPr>
            <w:rFonts w:ascii="Arial" w:eastAsia="Arial" w:hAnsi="Arial" w:cs="Arial"/>
            <w:color w:val="000000"/>
            <w:sz w:val="20"/>
            <w:u w:val="single"/>
          </w:rPr>
          <w:t xml:space="preserve"> </w:t>
        </w:r>
      </w:hyperlink>
      <w:hyperlink r:id="rId2184" w:history="1">
        <w:r>
          <w:rPr>
            <w:rFonts w:ascii="Arial" w:eastAsia="Arial" w:hAnsi="Arial" w:cs="Arial"/>
            <w:i/>
            <w:color w:val="0077CC"/>
            <w:sz w:val="20"/>
            <w:u w:val="single"/>
          </w:rPr>
          <w:t>Weapons--Carrying a Dangerous Weapon Openly With Intent to Injure</w:t>
        </w:r>
      </w:hyperlink>
    </w:p>
    <w:p w:rsidR="004729FB" w:rsidRDefault="004729FB" w:rsidP="004729FB">
      <w:pPr>
        <w:spacing w:before="80" w:line="240" w:lineRule="atLeast"/>
        <w:ind w:left="290"/>
        <w:sectPr w:rsidR="004729FB" w:rsidSect="004729FB">
          <w:headerReference w:type="even" r:id="rId2185"/>
          <w:headerReference w:type="default" r:id="rId2186"/>
          <w:footerReference w:type="even" r:id="rId2187"/>
          <w:footerReference w:type="default" r:id="rId2188"/>
          <w:headerReference w:type="first" r:id="rId2189"/>
          <w:footerReference w:type="first" r:id="rId2190"/>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3" name="Picture 14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197" w:history="1">
        <w:r>
          <w:rPr>
            <w:rFonts w:ascii="Arial" w:eastAsia="Arial" w:hAnsi="Arial" w:cs="Arial"/>
            <w:b/>
            <w:bCs/>
            <w:i/>
            <w:color w:val="0077CC"/>
            <w:kern w:val="32"/>
            <w:sz w:val="28"/>
            <w:szCs w:val="32"/>
            <w:u w:val="single"/>
          </w:rPr>
          <w:t>MPJI-Cr 4:32.2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 7-104(c): THEFT--POSSESSION OF STOLEN PROPERTY</w:t>
      </w:r>
    </w:p>
    <w:p w:rsidR="004729FB" w:rsidRDefault="004729FB" w:rsidP="004729FB">
      <w:pPr>
        <w:keepNext/>
        <w:spacing w:before="240" w:line="340" w:lineRule="atLeast"/>
      </w:pPr>
      <w:r>
        <w:br/>
      </w:r>
      <w:r>
        <w:rPr>
          <w:rFonts w:ascii="Arial" w:eastAsia="Arial" w:hAnsi="Arial" w:cs="Arial"/>
          <w:b/>
          <w:color w:val="000000"/>
          <w:sz w:val="28"/>
        </w:rPr>
        <w:t>4:32.2§ 7-104(c): Theft--Possession of Stolen Property</w:t>
      </w:r>
    </w:p>
    <w:p w:rsidR="004729FB" w:rsidRDefault="004729FB" w:rsidP="004729FB">
      <w:pPr>
        <w:spacing w:line="60" w:lineRule="exact"/>
      </w:pPr>
      <w:r>
        <w:pict>
          <v:line id="_x0000_s1381" style="position:absolute;z-index:2520135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theft. In order to convict the defendant of theft,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possessed stolen property;</w:t>
      </w:r>
    </w:p>
    <w:p w:rsidR="004729FB" w:rsidRDefault="004729FB" w:rsidP="004729FB">
      <w:pPr>
        <w:spacing w:before="200" w:line="260" w:lineRule="atLeast"/>
        <w:ind w:left="400"/>
        <w:jc w:val="both"/>
      </w:pPr>
      <w:r>
        <w:rPr>
          <w:rFonts w:ascii="Arial" w:eastAsia="Arial" w:hAnsi="Arial" w:cs="Arial"/>
          <w:b/>
          <w:color w:val="000000"/>
          <w:sz w:val="20"/>
        </w:rPr>
        <w:t>(2) that the defendant knew that the property was stolen or believed that it probably was stolen; [and]</w:t>
      </w:r>
    </w:p>
    <w:p w:rsidR="004729FB" w:rsidRDefault="004729FB" w:rsidP="004729FB">
      <w:pPr>
        <w:spacing w:before="200" w:line="260" w:lineRule="atLeast"/>
        <w:ind w:left="400"/>
        <w:jc w:val="both"/>
      </w:pPr>
      <w:r>
        <w:rPr>
          <w:rFonts w:ascii="Arial" w:eastAsia="Arial" w:hAnsi="Arial" w:cs="Arial"/>
          <w:b/>
          <w:color w:val="000000"/>
          <w:sz w:val="20"/>
        </w:rPr>
        <w:t>(3) that the defendant [had the purpose of depriving the owner of the property] [willfully or knowingly abandoned, used, or concealed the property in such a manner as to deprive the owner of the property or knew that the abandonment, use, or concealment probably would deprive the owner of the property] [; and] [.]</w:t>
      </w:r>
    </w:p>
    <w:p w:rsidR="004729FB" w:rsidRDefault="004729FB" w:rsidP="004729FB">
      <w:pPr>
        <w:spacing w:before="200" w:line="260" w:lineRule="atLeast"/>
        <w:ind w:left="400"/>
        <w:jc w:val="both"/>
      </w:pPr>
      <w:r>
        <w:rPr>
          <w:rFonts w:ascii="Arial" w:eastAsia="Arial" w:hAnsi="Arial" w:cs="Arial"/>
          <w:b/>
          <w:color w:val="000000"/>
          <w:sz w:val="20"/>
        </w:rPr>
        <w:t>[[(4) the value of the property was [over $ 1,000] [over $ 10,000] [over $ 100,000] [; and] [.]]]</w:t>
      </w:r>
    </w:p>
    <w:p w:rsidR="004729FB" w:rsidRDefault="004729FB" w:rsidP="004729FB">
      <w:pPr>
        <w:spacing w:before="200" w:line="260" w:lineRule="atLeast"/>
        <w:ind w:left="400"/>
        <w:jc w:val="both"/>
      </w:pPr>
      <w:r>
        <w:rPr>
          <w:rFonts w:ascii="Arial" w:eastAsia="Arial" w:hAnsi="Arial" w:cs="Arial"/>
          <w:b/>
          <w:color w:val="000000"/>
          <w:sz w:val="20"/>
        </w:rPr>
        <w:t>[(5) the defendant did not act under a good faith claim of right to the property or with an honest belief that the defendant had a right to obtain or exert control over the property.]</w:t>
      </w:r>
    </w:p>
    <w:p w:rsidR="004729FB" w:rsidRDefault="004729FB" w:rsidP="004729FB">
      <w:pPr>
        <w:spacing w:before="200" w:line="260" w:lineRule="atLeast"/>
        <w:jc w:val="both"/>
      </w:pPr>
      <w:r>
        <w:rPr>
          <w:rFonts w:ascii="Arial" w:eastAsia="Arial" w:hAnsi="Arial" w:cs="Arial"/>
          <w:b/>
          <w:color w:val="000000"/>
          <w:sz w:val="20"/>
        </w:rPr>
        <w:t>["Property" means anything of value.]</w:t>
      </w:r>
    </w:p>
    <w:p w:rsidR="004729FB" w:rsidRDefault="004729FB" w:rsidP="004729FB">
      <w:pPr>
        <w:spacing w:before="200" w:line="260" w:lineRule="atLeast"/>
        <w:jc w:val="both"/>
      </w:pPr>
      <w:r>
        <w:rPr>
          <w:rFonts w:ascii="Arial" w:eastAsia="Arial" w:hAnsi="Arial" w:cs="Arial"/>
          <w:b/>
          <w:color w:val="000000"/>
          <w:sz w:val="20"/>
        </w:rPr>
        <w:t>["Owner" means a person, other than the defendant, who has possession of, or any other interest in, the property and, without whose consent, the defendant has no authority to exert control over the property.]</w:t>
      </w:r>
    </w:p>
    <w:p w:rsidR="004729FB" w:rsidRDefault="004729FB" w:rsidP="004729FB">
      <w:pPr>
        <w:spacing w:before="200" w:line="260" w:lineRule="atLeast"/>
        <w:jc w:val="both"/>
      </w:pPr>
      <w:r>
        <w:rPr>
          <w:rFonts w:ascii="Arial" w:eastAsia="Arial" w:hAnsi="Arial" w:cs="Arial"/>
          <w:b/>
          <w:color w:val="000000"/>
          <w:sz w:val="20"/>
        </w:rPr>
        <w:t>["Deprive" means to withhold property of another permanently, for such a period as to appropriate a portion of its value, with the purpose of restoring it only upon payment of a reward or other compensation, or to dispose of the property and use or deal with the property so as to make it unlikely that the owner will recover it.]</w:t>
      </w:r>
    </w:p>
    <w:p w:rsidR="004729FB" w:rsidRDefault="004729FB" w:rsidP="004729FB">
      <w:pPr>
        <w:spacing w:before="200" w:line="260" w:lineRule="atLeast"/>
        <w:jc w:val="both"/>
      </w:pPr>
      <w:r>
        <w:rPr>
          <w:rFonts w:ascii="Arial" w:eastAsia="Arial" w:hAnsi="Arial" w:cs="Arial"/>
          <w:b/>
          <w:color w:val="000000"/>
          <w:sz w:val="20"/>
        </w:rPr>
        <w:t>["Exert control" means to take, carry away, or appropriate to a person's own use or to sell, convey, or transfer title to an interest in or possession of property.]</w:t>
      </w:r>
    </w:p>
    <w:p w:rsidR="004729FB" w:rsidRDefault="004729FB" w:rsidP="004729FB">
      <w:pPr>
        <w:spacing w:before="200" w:line="260" w:lineRule="atLeast"/>
        <w:jc w:val="both"/>
      </w:pPr>
      <w:r>
        <w:rPr>
          <w:rFonts w:ascii="Arial" w:eastAsia="Arial" w:hAnsi="Arial" w:cs="Arial"/>
          <w:b/>
          <w:color w:val="000000"/>
          <w:sz w:val="20"/>
        </w:rPr>
        <w:t>["Value" means the market value of the property or service at the time and place of the crime, or, if the market value cannot be satisfactorily ascertained, the cost of the replacement of the property or service within a reasonable time after the crime.]</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lastRenderedPageBreak/>
              <w:t>See</w:t>
            </w:r>
            <w:r>
              <w:rPr>
                <w:rFonts w:ascii="Arial" w:eastAsia="Arial" w:hAnsi="Arial" w:cs="Arial"/>
                <w:color w:val="000000"/>
                <w:sz w:val="20"/>
              </w:rPr>
              <w:t xml:space="preserve"> Comment to MPJI-Cr 4:32 (Theft--Obtaining or Exerting Unauthorized Control).</w:t>
            </w:r>
          </w:p>
          <w:p w:rsidR="004729FB" w:rsidRDefault="004729FB" w:rsidP="00713DA5">
            <w:pPr>
              <w:spacing w:before="200" w:line="260" w:lineRule="atLeast"/>
              <w:ind w:left="60" w:right="360"/>
              <w:jc w:val="both"/>
            </w:pPr>
            <w:r>
              <w:rPr>
                <w:rFonts w:ascii="Arial" w:eastAsia="Arial" w:hAnsi="Arial" w:cs="Arial"/>
                <w:i/>
                <w:color w:val="000000"/>
                <w:sz w:val="20"/>
              </w:rPr>
              <w:t xml:space="preserve">See </w:t>
            </w:r>
            <w:hyperlink r:id="rId2198" w:history="1">
              <w:r>
                <w:rPr>
                  <w:rFonts w:ascii="Arial" w:eastAsia="Arial" w:hAnsi="Arial" w:cs="Arial"/>
                  <w:i/>
                  <w:color w:val="0077CC"/>
                  <w:sz w:val="20"/>
                  <w:u w:val="single"/>
                </w:rPr>
                <w:t>Fraidin v. State, 85 Md. App. 231, 254-66, 583 A.2d 1065, 1077- 82,</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322 Md. 614, 589 A.2d 57 (1991);</w:t>
            </w:r>
            <w:r>
              <w:rPr>
                <w:rFonts w:ascii="Arial" w:eastAsia="Arial" w:hAnsi="Arial" w:cs="Arial"/>
                <w:color w:val="000000"/>
                <w:sz w:val="20"/>
              </w:rPr>
              <w:t xml:space="preserve"> </w:t>
            </w:r>
            <w:hyperlink r:id="rId2199" w:history="1">
              <w:r>
                <w:rPr>
                  <w:rFonts w:ascii="Arial" w:eastAsia="Arial" w:hAnsi="Arial" w:cs="Arial"/>
                  <w:i/>
                  <w:color w:val="0077CC"/>
                  <w:sz w:val="20"/>
                  <w:u w:val="single"/>
                </w:rPr>
                <w:t>Lane v. State, 60 Md. App. 412, 483 A.2d 369 (1984),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302 Md. 570, 489 A.2d 1129 (1985);</w:t>
            </w:r>
            <w:r>
              <w:rPr>
                <w:rFonts w:ascii="Arial" w:eastAsia="Arial" w:hAnsi="Arial" w:cs="Arial"/>
                <w:color w:val="000000"/>
                <w:sz w:val="20"/>
              </w:rPr>
              <w:t xml:space="preserve"> </w:t>
            </w:r>
            <w:hyperlink r:id="rId2200" w:history="1">
              <w:r>
                <w:rPr>
                  <w:rFonts w:ascii="Arial" w:eastAsia="Arial" w:hAnsi="Arial" w:cs="Arial"/>
                  <w:i/>
                  <w:color w:val="0077CC"/>
                  <w:sz w:val="20"/>
                  <w:u w:val="single"/>
                </w:rPr>
                <w:t>Franklin v. State, 60 Md. App. 277, 482 A.2d 168 (1984),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302 Md. 288, 487 A.2d 292 (1985).</w:t>
            </w:r>
          </w:p>
          <w:p w:rsidR="004729FB" w:rsidRDefault="004729FB" w:rsidP="00713DA5">
            <w:pPr>
              <w:spacing w:before="200" w:line="260" w:lineRule="atLeast"/>
              <w:ind w:left="60" w:right="360"/>
              <w:jc w:val="both"/>
            </w:pPr>
            <w:r>
              <w:rPr>
                <w:rFonts w:ascii="Arial" w:eastAsia="Arial" w:hAnsi="Arial" w:cs="Arial"/>
                <w:color w:val="000000"/>
                <w:sz w:val="20"/>
              </w:rPr>
              <w:t>CRIMINAL LAW I § 7-110(c)(1), under "Allowed defenses," provides that "[i]t is a defense to the crime of theft that: (1) the defendant acted under a good faith claim of right to the property involved; [or] (2) the defendant acted in the honest belief that the defendant had the right to obtain or exert control over the property as the defendant did." The committee in 2013 conformed MPJI-Cr 4:32.2 to these statutory mandates by revising MPJI-Cr 4:32.2 to provide for this defense if it is generated by the evidence.</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1" style="position:absolute;left:0;text-align:left;z-index:2520238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2" name="Picture 14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207" w:history="1">
        <w:r>
          <w:rPr>
            <w:rFonts w:ascii="Arial" w:eastAsia="Arial" w:hAnsi="Arial" w:cs="Arial"/>
            <w:b/>
            <w:bCs/>
            <w:i/>
            <w:color w:val="0077CC"/>
            <w:kern w:val="32"/>
            <w:sz w:val="28"/>
            <w:szCs w:val="32"/>
            <w:u w:val="single"/>
          </w:rPr>
          <w:t>MPJI-Cr 4:32.3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THEFT--INFERENCE FROM EXCLUSIVE UNEXPLAINED POSSESSION OF RECENTLY STOLEN GOODS</w:t>
      </w:r>
    </w:p>
    <w:p w:rsidR="004729FB" w:rsidRDefault="004729FB" w:rsidP="004729FB">
      <w:pPr>
        <w:keepNext/>
        <w:spacing w:before="240" w:line="340" w:lineRule="atLeast"/>
      </w:pPr>
      <w:r>
        <w:br/>
      </w:r>
      <w:r>
        <w:rPr>
          <w:rFonts w:ascii="Arial" w:eastAsia="Arial" w:hAnsi="Arial" w:cs="Arial"/>
          <w:b/>
          <w:color w:val="000000"/>
          <w:sz w:val="28"/>
        </w:rPr>
        <w:t>4:32.3Theft--Inference from Exclusive Unexplained Possession of Recently Stolen Goods</w:t>
      </w:r>
    </w:p>
    <w:p w:rsidR="004729FB" w:rsidRDefault="004729FB" w:rsidP="004729FB">
      <w:pPr>
        <w:spacing w:line="60" w:lineRule="exact"/>
      </w:pPr>
      <w:r>
        <w:pict>
          <v:line id="_x0000_s1382" style="position:absolute;z-index:25201459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Exclusive possession [either alone or with others] of recently stolen property, unless reasonably explained, may be evidence of theft. If you find that the defendant was in possession of the property shortly after it was stolen, and the defendant's possession is not otherwise explained by the evidence, you may, but are not required to, find the defendant guilty of theft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Possession means knowingly having the property on one's person or knowingly having the property within one's control or at one's disposal. In deciding whether the defendant's possession was sufficiently close in time to the theft to be evidence of participation in the theft, you should consider all the surrounding circumstances, including such factors as the type of property stolen, how the defendant may have come into possession, and the amount of time between the theft and the defendant's possession</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At common law, possession of recently stolen goods permitted an inference of guilt of either larceny or receiving stolen goods, but not both. </w:t>
            </w:r>
            <w:hyperlink r:id="rId2208" w:history="1">
              <w:r>
                <w:rPr>
                  <w:rFonts w:ascii="Arial" w:eastAsia="Arial" w:hAnsi="Arial" w:cs="Arial"/>
                  <w:i/>
                  <w:color w:val="0077CC"/>
                  <w:sz w:val="20"/>
                  <w:u w:val="single"/>
                </w:rPr>
                <w:t>West v. State, 312 Md. 197, 211, 539 A.2d 231, 235-38 (1988);</w:t>
              </w:r>
            </w:hyperlink>
            <w:r>
              <w:rPr>
                <w:rFonts w:ascii="Arial" w:eastAsia="Arial" w:hAnsi="Arial" w:cs="Arial"/>
                <w:color w:val="000000"/>
                <w:sz w:val="20"/>
              </w:rPr>
              <w:t xml:space="preserve"> </w:t>
            </w:r>
            <w:hyperlink r:id="rId2209" w:history="1">
              <w:r>
                <w:rPr>
                  <w:rFonts w:ascii="Arial" w:eastAsia="Arial" w:hAnsi="Arial" w:cs="Arial"/>
                  <w:i/>
                  <w:color w:val="0077CC"/>
                  <w:sz w:val="20"/>
                  <w:u w:val="single"/>
                </w:rPr>
                <w:t>Jordan v. State, 219 Md. 36, 47, 148 A.2d 292, 298-99,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361 U.S. 849 (1959);</w:t>
            </w:r>
            <w:r>
              <w:rPr>
                <w:rFonts w:ascii="Arial" w:eastAsia="Arial" w:hAnsi="Arial" w:cs="Arial"/>
                <w:color w:val="000000"/>
                <w:sz w:val="20"/>
              </w:rPr>
              <w:t xml:space="preserve"> </w:t>
            </w:r>
            <w:r>
              <w:rPr>
                <w:rFonts w:ascii="Arial" w:eastAsia="Arial" w:hAnsi="Arial" w:cs="Arial"/>
                <w:i/>
                <w:color w:val="000000"/>
                <w:sz w:val="20"/>
              </w:rPr>
              <w:t xml:space="preserve">see </w:t>
            </w:r>
            <w:hyperlink r:id="rId2210" w:history="1">
              <w:r>
                <w:rPr>
                  <w:rFonts w:ascii="Arial" w:eastAsia="Arial" w:hAnsi="Arial" w:cs="Arial"/>
                  <w:i/>
                  <w:color w:val="0077CC"/>
                  <w:sz w:val="20"/>
                  <w:u w:val="single"/>
                </w:rPr>
                <w:t>Offutt v. State, 55 Md. App. 261, 264, 463 A.2d 876, 879,</w:t>
              </w:r>
            </w:hyperlink>
            <w:r>
              <w:rPr>
                <w:rFonts w:ascii="Arial" w:eastAsia="Arial" w:hAnsi="Arial" w:cs="Arial"/>
                <w:color w:val="000000"/>
                <w:sz w:val="20"/>
              </w:rPr>
              <w:t xml:space="preserve"> </w:t>
            </w:r>
            <w:r>
              <w:rPr>
                <w:rFonts w:ascii="Arial" w:eastAsia="Arial" w:hAnsi="Arial" w:cs="Arial"/>
                <w:i/>
                <w:color w:val="000000"/>
                <w:sz w:val="20"/>
              </w:rPr>
              <w:t>vacated on other grounds</w:t>
            </w:r>
            <w:r>
              <w:rPr>
                <w:rFonts w:ascii="Arial" w:eastAsia="Arial" w:hAnsi="Arial" w:cs="Arial"/>
                <w:color w:val="000000"/>
                <w:sz w:val="20"/>
              </w:rPr>
              <w:t xml:space="preserve">, </w:t>
            </w:r>
            <w:hyperlink r:id="rId2211" w:history="1">
              <w:r>
                <w:rPr>
                  <w:rFonts w:ascii="Arial" w:eastAsia="Arial" w:hAnsi="Arial" w:cs="Arial"/>
                  <w:i/>
                  <w:color w:val="0077CC"/>
                  <w:sz w:val="20"/>
                  <w:u w:val="single"/>
                </w:rPr>
                <w:t>297 Md. 520, 467 A.2d 181 (1983).</w:t>
              </w:r>
            </w:hyperlink>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19.5-8 (1983 &amp; Supp. 1990); JOINT SUBCOMM. ON THEFT RELATED OFFENSES, REVISION OF MARYLAND THEFT LAWS &amp; BAD CHECK LAWS 35 (1978).</w:t>
            </w:r>
          </w:p>
          <w:p w:rsidR="004729FB" w:rsidRDefault="004729FB" w:rsidP="00713DA5">
            <w:pPr>
              <w:spacing w:before="240" w:line="260" w:lineRule="atLeast"/>
              <w:ind w:left="60" w:right="360"/>
              <w:jc w:val="both"/>
            </w:pPr>
            <w:r>
              <w:rPr>
                <w:rFonts w:ascii="Arial" w:eastAsia="Arial" w:hAnsi="Arial" w:cs="Arial"/>
                <w:color w:val="000000"/>
                <w:sz w:val="20"/>
              </w:rPr>
              <w:t xml:space="preserve">Even though larceny and receiving stolen goods are now merely alternative ways of violating the consolidated theft offense statute, the statute preserves the common law rule that "[a] person cannot be both the receiver of stolen goods and the one who stole them; that is, a person cannot steal and then receive from himself." </w:t>
            </w:r>
            <w:hyperlink r:id="rId2212" w:history="1">
              <w:r>
                <w:rPr>
                  <w:rFonts w:ascii="Arial" w:eastAsia="Arial" w:hAnsi="Arial" w:cs="Arial"/>
                  <w:i/>
                  <w:color w:val="0077CC"/>
                  <w:sz w:val="20"/>
                  <w:u w:val="single"/>
                </w:rPr>
                <w:t>Grant v. State, 318 Md. 672, 678, 569 A.2d 1237, 1240 (1990)</w:t>
              </w:r>
            </w:hyperlink>
            <w:r>
              <w:rPr>
                <w:rFonts w:ascii="Arial" w:eastAsia="Arial" w:hAnsi="Arial" w:cs="Arial"/>
                <w:color w:val="000000"/>
                <w:sz w:val="20"/>
              </w:rPr>
              <w:t xml:space="preserve"> (citing </w:t>
            </w:r>
            <w:hyperlink r:id="rId2213" w:history="1">
              <w:r>
                <w:rPr>
                  <w:rFonts w:ascii="Arial" w:eastAsia="Arial" w:hAnsi="Arial" w:cs="Arial"/>
                  <w:i/>
                  <w:color w:val="0077CC"/>
                  <w:sz w:val="20"/>
                  <w:u w:val="single"/>
                </w:rPr>
                <w:t>Bell v. State, 220 Md. 75, 81, 150 A.2d 908, 911 (1959);</w:t>
              </w:r>
            </w:hyperlink>
            <w:r>
              <w:rPr>
                <w:rFonts w:ascii="Arial" w:eastAsia="Arial" w:hAnsi="Arial" w:cs="Arial"/>
                <w:color w:val="000000"/>
                <w:sz w:val="20"/>
              </w:rPr>
              <w:t xml:space="preserve"> </w:t>
            </w:r>
            <w:hyperlink r:id="rId2214" w:history="1">
              <w:r>
                <w:rPr>
                  <w:rFonts w:ascii="Arial" w:eastAsia="Arial" w:hAnsi="Arial" w:cs="Arial"/>
                  <w:i/>
                  <w:color w:val="0077CC"/>
                  <w:sz w:val="20"/>
                  <w:u w:val="single"/>
                </w:rPr>
                <w:t>Heinze v. State, 184 Md. 613, 617, 42 A.2d 128, 130 (1945));</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215" w:history="1">
              <w:r>
                <w:rPr>
                  <w:rFonts w:ascii="Arial" w:eastAsia="Arial" w:hAnsi="Arial" w:cs="Arial"/>
                  <w:i/>
                  <w:color w:val="0077CC"/>
                  <w:sz w:val="20"/>
                  <w:u w:val="single"/>
                </w:rPr>
                <w:t>Rice v. State, 311 Md. 116, 532 A.2d 1357 (1987).</w:t>
              </w:r>
            </w:hyperlink>
            <w:r>
              <w:rPr>
                <w:rFonts w:ascii="Arial" w:eastAsia="Arial" w:hAnsi="Arial" w:cs="Arial"/>
                <w:color w:val="000000"/>
                <w:sz w:val="20"/>
              </w:rPr>
              <w:t xml:space="preserve"> Accordingly, someone convicted of theft by possession could not be prosecuted for storehouse breaking with intent to steal the same goods, when each would be based on the opposite inference drawn from unexplained possession of recently stolen goods. </w:t>
            </w:r>
            <w:r>
              <w:rPr>
                <w:rFonts w:ascii="Arial" w:eastAsia="Arial" w:hAnsi="Arial" w:cs="Arial"/>
                <w:i/>
                <w:color w:val="000000"/>
                <w:sz w:val="20"/>
              </w:rPr>
              <w:t>Id.</w:t>
            </w:r>
            <w:r>
              <w:rPr>
                <w:rFonts w:ascii="Arial" w:eastAsia="Arial" w:hAnsi="Arial" w:cs="Arial"/>
                <w:color w:val="000000"/>
                <w:sz w:val="20"/>
              </w:rPr>
              <w:t xml:space="preserve"> at 680-81, 569 A.2d at 1241; </w:t>
            </w:r>
            <w:r>
              <w:rPr>
                <w:rFonts w:ascii="Arial" w:eastAsia="Arial" w:hAnsi="Arial" w:cs="Arial"/>
                <w:i/>
                <w:color w:val="000000"/>
                <w:sz w:val="20"/>
              </w:rPr>
              <w:t xml:space="preserve">see </w:t>
            </w:r>
            <w:hyperlink r:id="rId2216" w:history="1">
              <w:r>
                <w:rPr>
                  <w:rFonts w:ascii="Arial" w:eastAsia="Arial" w:hAnsi="Arial" w:cs="Arial"/>
                  <w:i/>
                  <w:color w:val="0077CC"/>
                  <w:sz w:val="20"/>
                  <w:u w:val="single"/>
                </w:rPr>
                <w:t>West, 312 Md. at 208, 539 A.2d at 237-38</w:t>
              </w:r>
            </w:hyperlink>
            <w:r>
              <w:rPr>
                <w:rFonts w:ascii="Arial" w:eastAsia="Arial" w:hAnsi="Arial" w:cs="Arial"/>
                <w:color w:val="000000"/>
                <w:sz w:val="20"/>
              </w:rPr>
              <w:t xml:space="preserve"> (finding that, when evidence leaned more against the inference of the more serious robbery, the defendant could only be convicted as a receiver).</w:t>
            </w:r>
          </w:p>
          <w:p w:rsidR="004729FB" w:rsidRDefault="004729FB" w:rsidP="00713DA5">
            <w:pPr>
              <w:spacing w:before="200" w:line="260" w:lineRule="atLeast"/>
              <w:ind w:left="60" w:right="360"/>
              <w:jc w:val="both"/>
            </w:pPr>
            <w:r>
              <w:rPr>
                <w:rFonts w:ascii="Arial" w:eastAsia="Arial" w:hAnsi="Arial" w:cs="Arial"/>
                <w:color w:val="000000"/>
                <w:sz w:val="20"/>
              </w:rPr>
              <w:lastRenderedPageBreak/>
              <w:t xml:space="preserve">The theft offense statute provides: "Any common law and evidentiary presumption applicable on July 1, 1979 to the crimes consolidated under this part also apply to the crime of theft, unless the presumption: (1) is repealed or modified under this part; or (2) is modified by a court decision rendered after July 1, 1979." CRIM. LAW I § 7-110(d). This "presumption" regarding possession of recently stolen goods is not a presumption of law but rather a permitted inference of fact. </w:t>
            </w:r>
            <w:r>
              <w:rPr>
                <w:rFonts w:ascii="Arial" w:eastAsia="Arial" w:hAnsi="Arial" w:cs="Arial"/>
                <w:i/>
                <w:color w:val="000000"/>
                <w:sz w:val="20"/>
              </w:rPr>
              <w:t xml:space="preserve">See </w:t>
            </w:r>
            <w:hyperlink r:id="rId2217" w:history="1">
              <w:r>
                <w:rPr>
                  <w:rFonts w:ascii="Arial" w:eastAsia="Arial" w:hAnsi="Arial" w:cs="Arial"/>
                  <w:i/>
                  <w:color w:val="0077CC"/>
                  <w:sz w:val="20"/>
                  <w:u w:val="single"/>
                </w:rPr>
                <w:t>Dinkins v. State, 29 Md. App. 577, 583, 349 A.2d 676, 681,</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218" w:history="1">
              <w:r>
                <w:rPr>
                  <w:rFonts w:ascii="Arial" w:eastAsia="Arial" w:hAnsi="Arial" w:cs="Arial"/>
                  <w:i/>
                  <w:color w:val="0077CC"/>
                  <w:sz w:val="20"/>
                  <w:u w:val="single"/>
                </w:rPr>
                <w:t>278 Md. 238, 362 A.2d 91 (1976);</w:t>
              </w:r>
            </w:hyperlink>
            <w:r>
              <w:rPr>
                <w:rFonts w:ascii="Arial" w:eastAsia="Arial" w:hAnsi="Arial" w:cs="Arial"/>
                <w:color w:val="000000"/>
                <w:sz w:val="20"/>
              </w:rPr>
              <w:t xml:space="preserve"> </w:t>
            </w:r>
            <w:hyperlink r:id="rId2219" w:history="1">
              <w:r>
                <w:rPr>
                  <w:rFonts w:ascii="Arial" w:eastAsia="Arial" w:hAnsi="Arial" w:cs="Arial"/>
                  <w:i/>
                  <w:color w:val="0077CC"/>
                  <w:sz w:val="20"/>
                  <w:u w:val="single"/>
                </w:rPr>
                <w:t>Evans v. State, 28 Md. App. 640, 703, 349 A.2d 300, 339 (1975),</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220" w:history="1">
              <w:r>
                <w:rPr>
                  <w:rFonts w:ascii="Arial" w:eastAsia="Arial" w:hAnsi="Arial" w:cs="Arial"/>
                  <w:i/>
                  <w:color w:val="0077CC"/>
                  <w:sz w:val="20"/>
                  <w:u w:val="single"/>
                </w:rPr>
                <w:t>278 Md. 197, 362 A.2d 629 (1976);</w:t>
              </w:r>
            </w:hyperlink>
            <w:r>
              <w:rPr>
                <w:rFonts w:ascii="Arial" w:eastAsia="Arial" w:hAnsi="Arial" w:cs="Arial"/>
                <w:color w:val="000000"/>
                <w:sz w:val="20"/>
              </w:rPr>
              <w:t xml:space="preserve"> JOINT SUBCOMM., </w:t>
            </w:r>
            <w:r>
              <w:rPr>
                <w:rFonts w:ascii="Arial" w:eastAsia="Arial" w:hAnsi="Arial" w:cs="Arial"/>
                <w:i/>
                <w:color w:val="000000"/>
                <w:sz w:val="20"/>
              </w:rPr>
              <w:t>supra</w:t>
            </w:r>
            <w:r>
              <w:rPr>
                <w:rFonts w:ascii="Arial" w:eastAsia="Arial" w:hAnsi="Arial" w:cs="Arial"/>
                <w:color w:val="000000"/>
                <w:sz w:val="20"/>
              </w:rPr>
              <w:t>, at 56.</w:t>
            </w:r>
          </w:p>
          <w:p w:rsidR="004729FB" w:rsidRDefault="004729FB" w:rsidP="00713DA5">
            <w:pPr>
              <w:spacing w:before="240" w:line="260" w:lineRule="atLeast"/>
              <w:ind w:left="60" w:right="360"/>
              <w:jc w:val="both"/>
            </w:pPr>
            <w:r>
              <w:rPr>
                <w:rFonts w:ascii="Arial" w:eastAsia="Arial" w:hAnsi="Arial" w:cs="Arial"/>
                <w:color w:val="000000"/>
                <w:sz w:val="20"/>
              </w:rPr>
              <w:t xml:space="preserve">For the inference to be applicable, "[t]he evidence must demonstrate (1) that the goods were recently stolen, (2) that their possession is unexplained, and (3) that the possession is exclusive." </w:t>
            </w:r>
            <w:hyperlink r:id="rId2221" w:history="1">
              <w:r>
                <w:rPr>
                  <w:rFonts w:ascii="Arial" w:eastAsia="Arial" w:hAnsi="Arial" w:cs="Arial"/>
                  <w:i/>
                  <w:color w:val="0077CC"/>
                  <w:sz w:val="20"/>
                  <w:u w:val="single"/>
                </w:rPr>
                <w:t>Mills v. State, 3 Md. App. 693, 698, 241 A.2d 166, 169 (1968);</w:t>
              </w:r>
            </w:hyperlink>
            <w:r>
              <w:rPr>
                <w:rFonts w:ascii="Arial" w:eastAsia="Arial" w:hAnsi="Arial" w:cs="Arial"/>
                <w:color w:val="000000"/>
                <w:sz w:val="20"/>
              </w:rPr>
              <w:t xml:space="preserve"> </w:t>
            </w:r>
            <w:r>
              <w:rPr>
                <w:rFonts w:ascii="Arial" w:eastAsia="Arial" w:hAnsi="Arial" w:cs="Arial"/>
                <w:i/>
                <w:color w:val="000000"/>
                <w:sz w:val="20"/>
              </w:rPr>
              <w:t xml:space="preserve">accord </w:t>
            </w:r>
            <w:hyperlink r:id="rId2222" w:history="1">
              <w:r>
                <w:rPr>
                  <w:rFonts w:ascii="Arial" w:eastAsia="Arial" w:hAnsi="Arial" w:cs="Arial"/>
                  <w:i/>
                  <w:color w:val="0077CC"/>
                  <w:sz w:val="20"/>
                  <w:u w:val="single"/>
                </w:rPr>
                <w:t>Anglin v. State, 244 Md. 652, 656, 224 A.2d 668, 670 (1966),</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386 U.S. 947 (1967).</w:t>
            </w:r>
            <w:r>
              <w:rPr>
                <w:rFonts w:ascii="Arial" w:eastAsia="Arial" w:hAnsi="Arial" w:cs="Arial"/>
                <w:color w:val="000000"/>
                <w:sz w:val="20"/>
              </w:rPr>
              <w:t xml:space="preserve"> Because "recent" is a relative term, no set period of time renders the goods no longer "recently stolen." </w:t>
            </w:r>
            <w:hyperlink r:id="rId2223" w:history="1">
              <w:r>
                <w:rPr>
                  <w:rFonts w:ascii="Arial" w:eastAsia="Arial" w:hAnsi="Arial" w:cs="Arial"/>
                  <w:i/>
                  <w:color w:val="0077CC"/>
                  <w:sz w:val="20"/>
                  <w:u w:val="single"/>
                </w:rPr>
                <w:t>Allen v. State, 402 Md. 59, 77-78, 935 A.2d 421, 431-32 (2007)</w:t>
              </w:r>
            </w:hyperlink>
            <w:r>
              <w:rPr>
                <w:rFonts w:ascii="Arial" w:eastAsia="Arial" w:hAnsi="Arial" w:cs="Arial"/>
                <w:color w:val="000000"/>
                <w:sz w:val="20"/>
              </w:rPr>
              <w:t xml:space="preserve"> (holding "that a one month gap, as a matter of law, does not break significantly the permissible inferential chain"); </w:t>
            </w:r>
            <w:hyperlink r:id="rId2224" w:history="1">
              <w:r>
                <w:rPr>
                  <w:rFonts w:ascii="Arial" w:eastAsia="Arial" w:hAnsi="Arial" w:cs="Arial"/>
                  <w:i/>
                  <w:color w:val="0077CC"/>
                  <w:sz w:val="20"/>
                  <w:u w:val="single"/>
                </w:rPr>
                <w:t>Butz v. State, 221 Md. 68, 77, 156 A.2d 423, 428 (1959);</w:t>
              </w:r>
            </w:hyperlink>
            <w:r>
              <w:rPr>
                <w:rFonts w:ascii="Arial" w:eastAsia="Arial" w:hAnsi="Arial" w:cs="Arial"/>
                <w:color w:val="000000"/>
                <w:sz w:val="20"/>
              </w:rPr>
              <w:t xml:space="preserve"> </w:t>
            </w:r>
            <w:hyperlink r:id="rId2225" w:history="1">
              <w:r>
                <w:rPr>
                  <w:rFonts w:ascii="Arial" w:eastAsia="Arial" w:hAnsi="Arial" w:cs="Arial"/>
                  <w:i/>
                  <w:color w:val="0077CC"/>
                  <w:sz w:val="20"/>
                  <w:u w:val="single"/>
                </w:rPr>
                <w:t>Debinski v. State, 194 Md. 355, 359-60, 71 A.2d 460, 462 (1950),</w:t>
              </w:r>
            </w:hyperlink>
            <w:r>
              <w:rPr>
                <w:rFonts w:ascii="Arial" w:eastAsia="Arial" w:hAnsi="Arial" w:cs="Arial"/>
                <w:color w:val="000000"/>
                <w:sz w:val="20"/>
              </w:rPr>
              <w:t xml:space="preserve"> </w:t>
            </w:r>
            <w:r>
              <w:rPr>
                <w:rFonts w:ascii="Arial" w:eastAsia="Arial" w:hAnsi="Arial" w:cs="Arial"/>
                <w:i/>
                <w:color w:val="000000"/>
                <w:sz w:val="20"/>
              </w:rPr>
              <w:t xml:space="preserve">superseded by constitutional amendment on other grounds as stated in </w:t>
            </w:r>
            <w:hyperlink r:id="rId2226" w:history="1">
              <w:r>
                <w:rPr>
                  <w:rFonts w:ascii="Arial" w:eastAsia="Arial" w:hAnsi="Arial" w:cs="Arial"/>
                  <w:i/>
                  <w:color w:val="0077CC"/>
                  <w:sz w:val="20"/>
                  <w:u w:val="single"/>
                </w:rPr>
                <w:t>In re Petition for Writ of Prohibition, 312 Md. 280, 539 A.2d 664 (1988).</w:t>
              </w:r>
            </w:hyperlink>
            <w:r>
              <w:rPr>
                <w:rFonts w:ascii="Arial" w:eastAsia="Arial" w:hAnsi="Arial" w:cs="Arial"/>
                <w:color w:val="000000"/>
                <w:sz w:val="20"/>
              </w:rPr>
              <w:t xml:space="preserve"> Even six months may be recent. </w:t>
            </w:r>
            <w:hyperlink r:id="rId2227" w:history="1">
              <w:r>
                <w:rPr>
                  <w:rFonts w:ascii="Arial" w:eastAsia="Arial" w:hAnsi="Arial" w:cs="Arial"/>
                  <w:i/>
                  <w:color w:val="0077CC"/>
                  <w:sz w:val="20"/>
                  <w:u w:val="single"/>
                </w:rPr>
                <w:t>Anglin v. State, 1 Md. App. 85, 92, 227 A.2d 364, 368,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2228" w:history="1">
              <w:r>
                <w:rPr>
                  <w:rFonts w:ascii="Arial" w:eastAsia="Arial" w:hAnsi="Arial" w:cs="Arial"/>
                  <w:i/>
                  <w:color w:val="0077CC"/>
                  <w:sz w:val="20"/>
                  <w:u w:val="single"/>
                </w:rPr>
                <w:t>246 Md. 757 (1967).</w:t>
              </w:r>
            </w:hyperlink>
            <w:r>
              <w:rPr>
                <w:rFonts w:ascii="Arial" w:eastAsia="Arial" w:hAnsi="Arial" w:cs="Arial"/>
                <w:color w:val="000000"/>
                <w:sz w:val="20"/>
              </w:rPr>
              <w:t xml:space="preserve"> However, a record that is silent as to the date the property was stolen cannot establish that the goods were recently stolen. </w:t>
            </w:r>
            <w:hyperlink r:id="rId2229" w:history="1">
              <w:r>
                <w:rPr>
                  <w:rFonts w:ascii="Arial" w:eastAsia="Arial" w:hAnsi="Arial" w:cs="Arial"/>
                  <w:i/>
                  <w:color w:val="0077CC"/>
                  <w:sz w:val="20"/>
                  <w:u w:val="single"/>
                </w:rPr>
                <w:t>Mills, 3 Md. App. at 698, 241 A.2d at 169.</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Possession does not require actual possession but does require "a measure of control or dominion over the custody of the goods." </w:t>
            </w:r>
            <w:hyperlink r:id="rId2230" w:history="1">
              <w:r>
                <w:rPr>
                  <w:rFonts w:ascii="Arial" w:eastAsia="Arial" w:hAnsi="Arial" w:cs="Arial"/>
                  <w:i/>
                  <w:color w:val="0077CC"/>
                  <w:sz w:val="20"/>
                  <w:u w:val="single"/>
                </w:rPr>
                <w:t>Weddle v. State, 228 Md. 98, 102, 178 A.2d 882, 884 (1962)</w:t>
              </w:r>
            </w:hyperlink>
            <w:r>
              <w:rPr>
                <w:rFonts w:ascii="Arial" w:eastAsia="Arial" w:hAnsi="Arial" w:cs="Arial"/>
                <w:color w:val="000000"/>
                <w:sz w:val="20"/>
              </w:rPr>
              <w:t xml:space="preserve"> (quoting </w:t>
            </w:r>
            <w:hyperlink r:id="rId2231" w:history="1">
              <w:r>
                <w:rPr>
                  <w:rFonts w:ascii="Arial" w:eastAsia="Arial" w:hAnsi="Arial" w:cs="Arial"/>
                  <w:i/>
                  <w:color w:val="0077CC"/>
                  <w:sz w:val="20"/>
                  <w:u w:val="single"/>
                </w:rPr>
                <w:t>Polansky v. State, 205 Md. 362, 366, 109 A.2d 52, 54 (1954))</w:t>
              </w:r>
            </w:hyperlink>
            <w:r>
              <w:rPr>
                <w:rFonts w:ascii="Arial" w:eastAsia="Arial" w:hAnsi="Arial" w:cs="Arial"/>
                <w:color w:val="000000"/>
                <w:sz w:val="20"/>
              </w:rPr>
              <w:t xml:space="preserve"> (finding that a conviction for receiving stolen goods was warranted where, though never in proximity to the goods, the defendant directed their distribution). Exclusive possession means possession exclusive to the defendant and/or the defendant's accomplices. </w:t>
            </w:r>
            <w:hyperlink r:id="rId2232" w:history="1">
              <w:r>
                <w:rPr>
                  <w:rFonts w:ascii="Arial" w:eastAsia="Arial" w:hAnsi="Arial" w:cs="Arial"/>
                  <w:i/>
                  <w:color w:val="0077CC"/>
                  <w:sz w:val="20"/>
                  <w:u w:val="single"/>
                </w:rPr>
                <w:t>Painter v. State, 157 Md. App. 1, 848 A.2d 692 (2004)</w:t>
              </w:r>
            </w:hyperlink>
            <w:r>
              <w:rPr>
                <w:rFonts w:ascii="Arial" w:eastAsia="Arial" w:hAnsi="Arial" w:cs="Arial"/>
                <w:color w:val="000000"/>
                <w:sz w:val="20"/>
              </w:rPr>
              <w:t xml:space="preserve"> (finding that a criminal defendant who sold livestock calves at livestock market in Pennsylvania was properly convicted of stealing the cattle from farms in Maryland, where there was sufficient evidence to show that he was in exclusive possession of recently stolen goods and he did not provide a reasonable explanation as to how he came into possession of the livestock). Accordingly, joint possession by one or more of the accomplice "team" is exclusive possession as to each of the accomplices. </w:t>
            </w:r>
            <w:hyperlink r:id="rId2233" w:history="1">
              <w:r>
                <w:rPr>
                  <w:rFonts w:ascii="Arial" w:eastAsia="Arial" w:hAnsi="Arial" w:cs="Arial"/>
                  <w:i/>
                  <w:color w:val="0077CC"/>
                  <w:sz w:val="20"/>
                  <w:u w:val="single"/>
                </w:rPr>
                <w:t>Offutt, 55 Md. App. at 263, 463 A.2d at 878;</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234" w:history="1">
              <w:r>
                <w:rPr>
                  <w:rFonts w:ascii="Arial" w:eastAsia="Arial" w:hAnsi="Arial" w:cs="Arial"/>
                  <w:i/>
                  <w:color w:val="0077CC"/>
                  <w:sz w:val="20"/>
                  <w:u w:val="single"/>
                </w:rPr>
                <w:t>Stone v. State, 178 Md. App. 428, 440, 941 A.2d 1238, 1245 (2008)</w:t>
              </w:r>
            </w:hyperlink>
            <w:r>
              <w:rPr>
                <w:rFonts w:ascii="Arial" w:eastAsia="Arial" w:hAnsi="Arial" w:cs="Arial"/>
                <w:color w:val="000000"/>
                <w:sz w:val="20"/>
              </w:rPr>
              <w:t xml:space="preserve"> (stating that "we have consistently held [that] joint possession does not negate the notion of exclusive possession" (internal quotation marks and citation omitted)); </w:t>
            </w:r>
            <w:hyperlink r:id="rId2235" w:history="1">
              <w:r>
                <w:rPr>
                  <w:rFonts w:ascii="Arial" w:eastAsia="Arial" w:hAnsi="Arial" w:cs="Arial"/>
                  <w:i/>
                  <w:color w:val="0077CC"/>
                  <w:sz w:val="20"/>
                  <w:u w:val="single"/>
                </w:rPr>
                <w:t>Samuels v. State, 54 Md. App. 486, 493, 459 A.2d 213, 217 (1983).</w:t>
              </w:r>
            </w:hyperlink>
            <w:r>
              <w:rPr>
                <w:rFonts w:ascii="Arial" w:eastAsia="Arial" w:hAnsi="Arial" w:cs="Arial"/>
                <w:color w:val="000000"/>
                <w:sz w:val="20"/>
              </w:rPr>
              <w:t xml:space="preserve"> </w:t>
            </w:r>
            <w:r>
              <w:rPr>
                <w:rFonts w:ascii="Arial" w:eastAsia="Arial" w:hAnsi="Arial" w:cs="Arial"/>
                <w:i/>
                <w:color w:val="000000"/>
                <w:sz w:val="20"/>
              </w:rPr>
              <w:t xml:space="preserve">Compare </w:t>
            </w:r>
            <w:hyperlink r:id="rId2236" w:history="1">
              <w:r>
                <w:rPr>
                  <w:rFonts w:ascii="Arial" w:eastAsia="Arial" w:hAnsi="Arial" w:cs="Arial"/>
                  <w:i/>
                  <w:color w:val="0077CC"/>
                  <w:sz w:val="20"/>
                  <w:u w:val="single"/>
                </w:rPr>
                <w:t>Boblits v. State, 4 Md. App. 534, 538, 243 A.2d 891, 893-94 (1968)</w:t>
              </w:r>
            </w:hyperlink>
            <w:r>
              <w:rPr>
                <w:rFonts w:ascii="Arial" w:eastAsia="Arial" w:hAnsi="Arial" w:cs="Arial"/>
                <w:color w:val="000000"/>
                <w:sz w:val="20"/>
              </w:rPr>
              <w:t xml:space="preserve"> (per curiam), </w:t>
            </w:r>
            <w:r>
              <w:rPr>
                <w:rFonts w:ascii="Arial" w:eastAsia="Arial" w:hAnsi="Arial" w:cs="Arial"/>
                <w:i/>
                <w:color w:val="000000"/>
                <w:sz w:val="20"/>
              </w:rPr>
              <w:t xml:space="preserve">with </w:t>
            </w:r>
            <w:hyperlink r:id="rId2237" w:history="1">
              <w:r>
                <w:rPr>
                  <w:rFonts w:ascii="Arial" w:eastAsia="Arial" w:hAnsi="Arial" w:cs="Arial"/>
                  <w:i/>
                  <w:color w:val="0077CC"/>
                  <w:sz w:val="20"/>
                  <w:u w:val="single"/>
                </w:rPr>
                <w:t>Anglin, 1 Md. App. at 92, 227 A.2d at 368.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defendant's possession of recently stolen goods must be unexplained for the inference to be applicable. Unexplained possession means a lack of reasonable explanation tending to negate the inference. </w:t>
            </w:r>
            <w:hyperlink r:id="rId2238" w:history="1">
              <w:r>
                <w:rPr>
                  <w:rFonts w:ascii="Arial" w:eastAsia="Arial" w:hAnsi="Arial" w:cs="Arial"/>
                  <w:i/>
                  <w:color w:val="0077CC"/>
                  <w:sz w:val="20"/>
                  <w:u w:val="single"/>
                </w:rPr>
                <w:t>Daniels v. State, 213 Md. 90, 103, 131 A.2d 267, 273 (1957);</w:t>
              </w:r>
            </w:hyperlink>
            <w:r>
              <w:rPr>
                <w:rFonts w:ascii="Arial" w:eastAsia="Arial" w:hAnsi="Arial" w:cs="Arial"/>
                <w:color w:val="000000"/>
                <w:sz w:val="20"/>
              </w:rPr>
              <w:t xml:space="preserve"> </w:t>
            </w:r>
            <w:hyperlink r:id="rId2239" w:history="1">
              <w:r>
                <w:rPr>
                  <w:rFonts w:ascii="Arial" w:eastAsia="Arial" w:hAnsi="Arial" w:cs="Arial"/>
                  <w:i/>
                  <w:color w:val="0077CC"/>
                  <w:sz w:val="20"/>
                  <w:u w:val="single"/>
                </w:rPr>
                <w:t>Debinski, 194 Md. at 360, 71 A.2d at 462;</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2240" w:history="1">
              <w:r>
                <w:rPr>
                  <w:rFonts w:ascii="Arial" w:eastAsia="Arial" w:hAnsi="Arial" w:cs="Arial"/>
                  <w:i/>
                  <w:color w:val="0077CC"/>
                  <w:sz w:val="20"/>
                  <w:u w:val="single"/>
                </w:rPr>
                <w:t>Curry v. State, 235 Md. 378, 201 A.2d 792 (1964)</w:t>
              </w:r>
            </w:hyperlink>
            <w:r>
              <w:rPr>
                <w:rFonts w:ascii="Arial" w:eastAsia="Arial" w:hAnsi="Arial" w:cs="Arial"/>
                <w:color w:val="000000"/>
                <w:sz w:val="20"/>
              </w:rPr>
              <w:t xml:space="preserve"> (holding that the observation that the defendant was in possession of an automobile a few hours after its theft permitted the inference that the possessor is the thief),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379 U.S. 1004 (1965);</w:t>
            </w:r>
            <w:r>
              <w:rPr>
                <w:rFonts w:ascii="Arial" w:eastAsia="Arial" w:hAnsi="Arial" w:cs="Arial"/>
                <w:color w:val="000000"/>
                <w:sz w:val="20"/>
              </w:rPr>
              <w:t xml:space="preserve"> </w:t>
            </w:r>
            <w:hyperlink r:id="rId2241" w:history="1">
              <w:r>
                <w:rPr>
                  <w:rFonts w:ascii="Arial" w:eastAsia="Arial" w:hAnsi="Arial" w:cs="Arial"/>
                  <w:i/>
                  <w:color w:val="0077CC"/>
                  <w:sz w:val="20"/>
                  <w:u w:val="single"/>
                </w:rPr>
                <w:t>Spencer v. State, 76 Md. App. 71, 83-85, 543 A.2d 851, 857-58 (1988)</w:t>
              </w:r>
            </w:hyperlink>
            <w:r>
              <w:rPr>
                <w:rFonts w:ascii="Arial" w:eastAsia="Arial" w:hAnsi="Arial" w:cs="Arial"/>
                <w:color w:val="000000"/>
                <w:sz w:val="20"/>
              </w:rPr>
              <w:t xml:space="preserve"> (finding that an instruction that "the defendant has the burden of giving a reasonable explanation of how the goods came into his possession" did not unconstitutionally relieve the State of its burden of persuasion).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lastRenderedPageBreak/>
        <w:pict>
          <v:line id="_x0000_s1392" style="position:absolute;z-index:25202483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4:32, MPJI-Cr 4:32.2.</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01" style="position:absolute;left:0;text-align:left;z-index:25203404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1" name="Picture 14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248" w:history="1">
        <w:r>
          <w:rPr>
            <w:rFonts w:ascii="Arial" w:eastAsia="Arial" w:hAnsi="Arial" w:cs="Arial"/>
            <w:b/>
            <w:bCs/>
            <w:i/>
            <w:color w:val="0077CC"/>
            <w:kern w:val="32"/>
            <w:sz w:val="28"/>
            <w:szCs w:val="32"/>
            <w:u w:val="single"/>
          </w:rPr>
          <w:t>MPJI-Cr 4:32.4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THEFT OF A MOTOR VEHICLE</w:t>
      </w:r>
    </w:p>
    <w:p w:rsidR="004729FB" w:rsidRDefault="004729FB" w:rsidP="004729FB">
      <w:pPr>
        <w:keepNext/>
        <w:spacing w:before="240" w:line="340" w:lineRule="atLeast"/>
      </w:pPr>
      <w:r>
        <w:br/>
      </w:r>
      <w:r>
        <w:rPr>
          <w:rFonts w:ascii="Arial" w:eastAsia="Arial" w:hAnsi="Arial" w:cs="Arial"/>
          <w:b/>
          <w:color w:val="000000"/>
          <w:sz w:val="28"/>
        </w:rPr>
        <w:t>4:32.4Theft of a Motor Vehicle</w:t>
      </w:r>
    </w:p>
    <w:p w:rsidR="004729FB" w:rsidRDefault="004729FB" w:rsidP="004729FB">
      <w:pPr>
        <w:spacing w:line="60" w:lineRule="exact"/>
      </w:pPr>
      <w:r>
        <w:pict>
          <v:line id="_x0000_s1383" style="position:absolute;z-index:25201561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theft of a motor vehicle. In order to convict the defendant of motor vehicle theft,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and willfully took a motor vehicle; and</w:t>
      </w:r>
    </w:p>
    <w:p w:rsidR="004729FB" w:rsidRDefault="004729FB" w:rsidP="004729FB">
      <w:pPr>
        <w:spacing w:before="200" w:line="260" w:lineRule="atLeast"/>
        <w:ind w:left="400"/>
        <w:jc w:val="both"/>
      </w:pPr>
      <w:r>
        <w:rPr>
          <w:rFonts w:ascii="Arial" w:eastAsia="Arial" w:hAnsi="Arial" w:cs="Arial"/>
          <w:b/>
          <w:color w:val="000000"/>
          <w:sz w:val="20"/>
        </w:rPr>
        <w:t>(2) that the defendant took the motor vehicle from the owner's custody, control, or use without the owner's consent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"Owner" means a person, other than the defendant, who has a lawful interest in or is in lawful possession of a motor vehicle by consent or chain of consent of the title owner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The purpose of CRIM. LAW I § 7-105 is to treat unauthorized use of a motor vehicle more severely--as a felony and with enhanced punishment--than the general unauthorized use of other chattels prohibited by § 7-203. </w:t>
            </w:r>
            <w:hyperlink r:id="rId2249" w:history="1">
              <w:r>
                <w:rPr>
                  <w:rFonts w:ascii="Arial" w:eastAsia="Arial" w:hAnsi="Arial" w:cs="Arial"/>
                  <w:i/>
                  <w:color w:val="0077CC"/>
                  <w:sz w:val="20"/>
                  <w:u w:val="single"/>
                </w:rPr>
                <w:t>In re Landon G., 214 Md. App. 483, 509, 78 A.3d 431, 447 (2013).</w:t>
              </w:r>
            </w:hyperlink>
            <w:r>
              <w:rPr>
                <w:rFonts w:ascii="Arial" w:eastAsia="Arial" w:hAnsi="Arial" w:cs="Arial"/>
                <w:color w:val="000000"/>
                <w:sz w:val="20"/>
              </w:rPr>
              <w:t xml:space="preserve"> The Maryland Court of Special Appeals has held that CRIM. LAW I § 7-105, although titled "Motor vehicle theft," proscribes "the unauthorized use of a motor vehicle." </w:t>
            </w:r>
            <w:hyperlink r:id="rId2250" w:history="1">
              <w:r>
                <w:rPr>
                  <w:rFonts w:ascii="Arial" w:eastAsia="Arial" w:hAnsi="Arial" w:cs="Arial"/>
                  <w:i/>
                  <w:color w:val="0077CC"/>
                  <w:sz w:val="20"/>
                  <w:u w:val="single"/>
                </w:rPr>
                <w:t>In re Landon G., 214 Md. App. at 511, 78 A.3d at 448 (2013).</w:t>
              </w:r>
            </w:hyperlink>
            <w:r>
              <w:rPr>
                <w:rFonts w:ascii="Arial" w:eastAsia="Arial" w:hAnsi="Arial" w:cs="Arial"/>
                <w:color w:val="000000"/>
                <w:sz w:val="20"/>
              </w:rPr>
              <w:t xml:space="preserve"> In reaching this conclusion, the Court relied heavily upon Judge Charles E. Moylan, Jr., MARYLAND'S CONSOLIDATED THEFT LAW AND UNAUTHORIZED USE (MICPEL 2001). The Court said that in this book,</w:t>
            </w:r>
          </w:p>
          <w:p w:rsidR="004729FB" w:rsidRDefault="004729FB" w:rsidP="00713DA5">
            <w:pPr>
              <w:spacing w:before="200" w:line="260" w:lineRule="atLeast"/>
              <w:ind w:left="460" w:right="360"/>
              <w:jc w:val="both"/>
            </w:pPr>
            <w:r>
              <w:rPr>
                <w:rFonts w:ascii="Arial" w:eastAsia="Arial" w:hAnsi="Arial" w:cs="Arial"/>
                <w:color w:val="000000"/>
                <w:sz w:val="20"/>
              </w:rPr>
              <w:t xml:space="preserve">Judge Charles E. Moylan, Jr., of this Court, discussed the history, purpose, and scope of Article 27, § 342A [the predecessor of § 7-105]. Judge Charles E. Moylan, Jr., Section 342A--Unauthorized Use of a Motor Vehicle, in Maryland's Consolidated Theft Law and Unauthorized Use ch. 16 (MICPEL 2001). Judge Moylan summarized the scope of § 342A: "In its final form, the new law proscribes the unauthorized use of a motor vehicle. </w:t>
            </w:r>
            <w:r>
              <w:rPr>
                <w:rFonts w:ascii="Arial" w:eastAsia="Arial" w:hAnsi="Arial" w:cs="Arial"/>
                <w:i/>
                <w:color w:val="000000"/>
                <w:sz w:val="20"/>
              </w:rPr>
              <w:t>It is a special sentence-enhancing spin-off of the general unauthorized use law</w:t>
            </w:r>
            <w:r>
              <w:rPr>
                <w:rFonts w:ascii="Arial" w:eastAsia="Arial" w:hAnsi="Arial" w:cs="Arial"/>
                <w:color w:val="000000"/>
                <w:sz w:val="20"/>
              </w:rPr>
              <w:t xml:space="preserve">, which is codified as article 27, § 349 [now CRIM. LAW I § 7- 203]." </w:t>
            </w:r>
            <w:r>
              <w:rPr>
                <w:rFonts w:ascii="Arial" w:eastAsia="Arial" w:hAnsi="Arial" w:cs="Arial"/>
                <w:i/>
                <w:color w:val="000000"/>
                <w:sz w:val="20"/>
              </w:rPr>
              <w:t>Id.</w:t>
            </w:r>
            <w:r>
              <w:rPr>
                <w:rFonts w:ascii="Arial" w:eastAsia="Arial" w:hAnsi="Arial" w:cs="Arial"/>
                <w:color w:val="000000"/>
                <w:sz w:val="20"/>
              </w:rPr>
              <w:t xml:space="preserve"> § 16.1.</w:t>
            </w:r>
          </w:p>
          <w:p w:rsidR="004729FB" w:rsidRDefault="004729FB" w:rsidP="00713DA5">
            <w:pPr>
              <w:spacing w:before="240" w:line="260" w:lineRule="atLeast"/>
              <w:ind w:left="60" w:right="360"/>
              <w:jc w:val="both"/>
            </w:pPr>
            <w:hyperlink r:id="rId2251" w:history="1">
              <w:r>
                <w:rPr>
                  <w:rFonts w:ascii="Arial" w:eastAsia="Arial" w:hAnsi="Arial" w:cs="Arial"/>
                  <w:i/>
                  <w:color w:val="0077CC"/>
                  <w:sz w:val="20"/>
                  <w:u w:val="single"/>
                </w:rPr>
                <w:t>In re Landon G., 214 Md. App. at 509, 78 A.3d at 447</w:t>
              </w:r>
            </w:hyperlink>
            <w:r>
              <w:rPr>
                <w:rFonts w:ascii="Arial" w:eastAsia="Arial" w:hAnsi="Arial" w:cs="Arial"/>
                <w:color w:val="000000"/>
                <w:sz w:val="20"/>
              </w:rPr>
              <w:t xml:space="preserve"> (emphasis added).</w:t>
            </w:r>
          </w:p>
          <w:p w:rsidR="004729FB" w:rsidRDefault="004729FB" w:rsidP="00713DA5">
            <w:pPr>
              <w:spacing w:before="240" w:line="260" w:lineRule="atLeast"/>
              <w:ind w:left="60" w:right="360"/>
              <w:jc w:val="both"/>
            </w:pPr>
            <w:r>
              <w:rPr>
                <w:rFonts w:ascii="Arial" w:eastAsia="Arial" w:hAnsi="Arial" w:cs="Arial"/>
                <w:color w:val="000000"/>
                <w:sz w:val="20"/>
              </w:rPr>
              <w:t xml:space="preserve">The Court pointed out that "[i]n 2002, Article 27 § 342A was recodified without substantive change as C.L. § 7-105. See C.L. § 7-105, Revisor's Note." </w:t>
            </w:r>
            <w:hyperlink r:id="rId2252" w:history="1">
              <w:r>
                <w:rPr>
                  <w:rFonts w:ascii="Arial" w:eastAsia="Arial" w:hAnsi="Arial" w:cs="Arial"/>
                  <w:i/>
                  <w:color w:val="0077CC"/>
                  <w:sz w:val="20"/>
                  <w:u w:val="single"/>
                </w:rPr>
                <w:t>In re Landon G., 214 Md. App. at 511, 78 A.3d at 448.</w:t>
              </w:r>
            </w:hyperlink>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The </w:t>
            </w:r>
            <w:r>
              <w:rPr>
                <w:rFonts w:ascii="Arial" w:eastAsia="Arial" w:hAnsi="Arial" w:cs="Arial"/>
                <w:i/>
                <w:color w:val="000000"/>
                <w:sz w:val="20"/>
              </w:rPr>
              <w:t>In re Landon G.</w:t>
            </w:r>
            <w:r>
              <w:rPr>
                <w:rFonts w:ascii="Arial" w:eastAsia="Arial" w:hAnsi="Arial" w:cs="Arial"/>
                <w:color w:val="000000"/>
                <w:sz w:val="20"/>
              </w:rPr>
              <w:t xml:space="preserve"> Court found that the evidence was sufficient to support delinquency findings for conduct that would have been crimes under both CRIM. LAW I §§ 7-105 and 7-203. </w:t>
            </w:r>
            <w:hyperlink r:id="rId2253" w:history="1">
              <w:r>
                <w:rPr>
                  <w:rFonts w:ascii="Arial" w:eastAsia="Arial" w:hAnsi="Arial" w:cs="Arial"/>
                  <w:i/>
                  <w:color w:val="0077CC"/>
                  <w:sz w:val="20"/>
                  <w:u w:val="single"/>
                </w:rPr>
                <w:t>Id. at 512, 78 A.3d at 448.</w:t>
              </w:r>
            </w:hyperlink>
            <w:r>
              <w:rPr>
                <w:rFonts w:ascii="Arial" w:eastAsia="Arial" w:hAnsi="Arial" w:cs="Arial"/>
                <w:color w:val="000000"/>
                <w:sz w:val="20"/>
              </w:rPr>
              <w:t xml:space="preserve"> Landon G. was a passenger in a stolen car. When police in a marked patrol car spotted the stolen car in a residential neighborhood, they followed it into a cul-de-sac and activated their emergency lights. The stolen car then made a U-turn and drove across several lawns towards the police car, and five individuals jumped out of it and fled on foot. One was Landon G. The Court first found that there was sufficient evidence to support a conviction under § 7-203. In addition to the above facts, Landon G. knew the driver did not own a car, and when he asked if the car was stolen, he received a wholly implausible response. </w:t>
            </w:r>
            <w:hyperlink r:id="rId2254" w:history="1">
              <w:r>
                <w:rPr>
                  <w:rFonts w:ascii="Arial" w:eastAsia="Arial" w:hAnsi="Arial" w:cs="Arial"/>
                  <w:i/>
                  <w:color w:val="0077CC"/>
                  <w:sz w:val="20"/>
                  <w:u w:val="single"/>
                </w:rPr>
                <w:t>214 Md. App. at 506, 78 A.3d at 445.</w:t>
              </w:r>
            </w:hyperlink>
            <w:r>
              <w:rPr>
                <w:rFonts w:ascii="Arial" w:eastAsia="Arial" w:hAnsi="Arial" w:cs="Arial"/>
                <w:color w:val="000000"/>
                <w:sz w:val="20"/>
              </w:rPr>
              <w:t xml:space="preserve"> These facts were sufficient to support a conviction under § 7-105 as well. The State did not need to "prove that [Landon G.] was involved in the original taking of the vehicle out of the custody or use of its owner." </w:t>
            </w:r>
            <w:hyperlink r:id="rId2255" w:history="1">
              <w:r>
                <w:rPr>
                  <w:rFonts w:ascii="Arial" w:eastAsia="Arial" w:hAnsi="Arial" w:cs="Arial"/>
                  <w:i/>
                  <w:color w:val="0077CC"/>
                  <w:sz w:val="20"/>
                  <w:u w:val="single"/>
                </w:rPr>
                <w:t>Id. at 512, 78 A.3d at 448.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Court compared CRIM. LAW I sections 7-203 and 7-105. "C.L. § 7-105(b) is more restrictive than C.L. § 7-203(a) regarding the victim of the crime. The victim under § 7-105(b) is limited to the 'owner' … By contrast, the victim under § 7-203(a) includes any person, or the person's agent." </w:t>
            </w:r>
            <w:hyperlink r:id="rId2256" w:history="1">
              <w:r>
                <w:rPr>
                  <w:rFonts w:ascii="Arial" w:eastAsia="Arial" w:hAnsi="Arial" w:cs="Arial"/>
                  <w:i/>
                  <w:color w:val="0077CC"/>
                  <w:sz w:val="20"/>
                  <w:u w:val="single"/>
                </w:rPr>
                <w:t>Id. at 511 n.11, 78 A.3d at 448 n.11.</w:t>
              </w:r>
            </w:hyperlink>
            <w:r>
              <w:rPr>
                <w:rFonts w:ascii="Arial" w:eastAsia="Arial" w:hAnsi="Arial" w:cs="Arial"/>
                <w:color w:val="000000"/>
                <w:sz w:val="20"/>
              </w:rPr>
              <w:t xml:space="preserve"> In addition, "[a] conviction under § 7-105 is a felony punishable by up to five years' imprisonment and a $ 5,000 fine, while a conviction under § 7-203 is a misdemeanor punishable by between six months and four years' imprisonment and a fine between $ 50 and $ 100." </w:t>
            </w:r>
            <w:hyperlink r:id="rId2257" w:history="1">
              <w:r>
                <w:rPr>
                  <w:rFonts w:ascii="Arial" w:eastAsia="Arial" w:hAnsi="Arial" w:cs="Arial"/>
                  <w:i/>
                  <w:color w:val="0077CC"/>
                  <w:sz w:val="20"/>
                  <w:u w:val="single"/>
                </w:rPr>
                <w:t>Id. at 512 n.12, 78 A.3d at 448 n.12.</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3" style="position:absolute;left:0;text-align:left;z-index:25202585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0" name="Picture 14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264" w:history="1">
        <w:r>
          <w:rPr>
            <w:rFonts w:ascii="Arial" w:eastAsia="Arial" w:hAnsi="Arial" w:cs="Arial"/>
            <w:b/>
            <w:bCs/>
            <w:i/>
            <w:color w:val="0077CC"/>
            <w:kern w:val="32"/>
            <w:sz w:val="28"/>
            <w:szCs w:val="32"/>
            <w:u w:val="single"/>
          </w:rPr>
          <w:t>MPJI-Cr 4:32.5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CREDIT CARD THEFT</w:t>
      </w:r>
    </w:p>
    <w:p w:rsidR="004729FB" w:rsidRDefault="004729FB" w:rsidP="004729FB">
      <w:pPr>
        <w:keepNext/>
        <w:spacing w:before="240" w:line="340" w:lineRule="atLeast"/>
      </w:pPr>
      <w:r>
        <w:br/>
      </w:r>
      <w:r>
        <w:rPr>
          <w:rFonts w:ascii="Arial" w:eastAsia="Arial" w:hAnsi="Arial" w:cs="Arial"/>
          <w:b/>
          <w:color w:val="000000"/>
          <w:sz w:val="28"/>
        </w:rPr>
        <w:t>4:32.5Credit Card Theft</w:t>
      </w:r>
    </w:p>
    <w:p w:rsidR="004729FB" w:rsidRDefault="004729FB" w:rsidP="004729FB">
      <w:pPr>
        <w:spacing w:line="60" w:lineRule="exact"/>
      </w:pPr>
      <w:r>
        <w:pict>
          <v:line id="_x0000_s1384" style="position:absolute;z-index:2520166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TAKING A CREDIT CARD FROM ANOTHER ( § 8-204(a)(1)(i))</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credit card theft. The crime of credit card theft includes taking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from another person.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knowingly took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from another person [or another person's possession, custody, or control]; and</w:t>
      </w:r>
    </w:p>
    <w:p w:rsidR="004729FB" w:rsidRDefault="004729FB" w:rsidP="004729FB">
      <w:pPr>
        <w:spacing w:before="200" w:line="260" w:lineRule="atLeast"/>
        <w:ind w:left="400"/>
        <w:jc w:val="both"/>
      </w:pPr>
      <w:r>
        <w:rPr>
          <w:rFonts w:ascii="Arial" w:eastAsia="Arial" w:hAnsi="Arial" w:cs="Arial"/>
          <w:b/>
          <w:color w:val="000000"/>
          <w:sz w:val="20"/>
        </w:rPr>
        <w:t xml:space="preserve">(2) that the cardholder </w:t>
      </w:r>
      <w:r>
        <w:rPr>
          <w:rFonts w:ascii="Arial" w:eastAsia="Arial" w:hAnsi="Arial" w:cs="Arial"/>
          <w:b/>
          <w:color w:val="000000"/>
          <w:sz w:val="20"/>
          <w:u w:val="single"/>
        </w:rPr>
        <w:t>(name)</w:t>
      </w:r>
      <w:r>
        <w:rPr>
          <w:rFonts w:ascii="Arial" w:eastAsia="Arial" w:hAnsi="Arial" w:cs="Arial"/>
          <w:b/>
          <w:color w:val="000000"/>
          <w:sz w:val="20"/>
        </w:rPr>
        <w:t xml:space="preserve"> did not consent to the taking of his/her </w:t>
      </w:r>
      <w:r>
        <w:rPr>
          <w:rFonts w:ascii="Arial" w:eastAsia="Arial" w:hAnsi="Arial" w:cs="Arial"/>
          <w:b/>
          <w:color w:val="000000"/>
          <w:sz w:val="20"/>
          <w:u w:val="single"/>
        </w:rPr>
        <w:t>(insert the type of credit instrument or device)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cardholder is the person whose name appears on the front of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RECEIVING A CREDIT CARD WITH INTENT TO SELL ( § 8-204(a)(1)(ii))</w:t>
      </w:r>
    </w:p>
    <w:p w:rsidR="004729FB" w:rsidRDefault="004729FB" w:rsidP="004729FB">
      <w:pPr>
        <w:spacing w:before="200" w:line="260" w:lineRule="atLeast"/>
        <w:jc w:val="both"/>
      </w:pPr>
      <w:r>
        <w:rPr>
          <w:rFonts w:ascii="Arial" w:eastAsia="Arial" w:hAnsi="Arial" w:cs="Arial"/>
          <w:b/>
          <w:color w:val="000000"/>
          <w:sz w:val="20"/>
        </w:rPr>
        <w:t xml:space="preserve">The defendant is charged with the crime of credit card theft. The crime of credit card theft includes receiving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with the intent to sell it.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received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from another;</w:t>
      </w:r>
    </w:p>
    <w:p w:rsidR="004729FB" w:rsidRDefault="004729FB" w:rsidP="004729FB">
      <w:pPr>
        <w:spacing w:before="200" w:line="260" w:lineRule="atLeast"/>
        <w:ind w:left="400"/>
        <w:jc w:val="both"/>
      </w:pPr>
      <w:r>
        <w:rPr>
          <w:rFonts w:ascii="Arial" w:eastAsia="Arial" w:hAnsi="Arial" w:cs="Arial"/>
          <w:b/>
          <w:color w:val="000000"/>
          <w:sz w:val="20"/>
        </w:rPr>
        <w:t xml:space="preserve">(2) that the defendant knew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had been taken without the permission of the cardholder; and</w:t>
      </w:r>
    </w:p>
    <w:p w:rsidR="004729FB" w:rsidRDefault="004729FB" w:rsidP="004729FB">
      <w:pPr>
        <w:spacing w:before="200" w:line="260" w:lineRule="atLeast"/>
        <w:ind w:left="400"/>
        <w:jc w:val="both"/>
      </w:pPr>
      <w:r>
        <w:rPr>
          <w:rFonts w:ascii="Arial" w:eastAsia="Arial" w:hAnsi="Arial" w:cs="Arial"/>
          <w:b/>
          <w:color w:val="000000"/>
          <w:sz w:val="20"/>
        </w:rPr>
        <w:t xml:space="preserve">(3) that the defendant intended to use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or sell or transfer the (insert the type of credit instrument or device) to another who is not the [issuer] [cardholder]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cardholder is the person whose name appears on the front of a credit card. 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C</w:t>
      </w:r>
    </w:p>
    <w:p w:rsidR="004729FB" w:rsidRDefault="004729FB" w:rsidP="004729FB">
      <w:pPr>
        <w:spacing w:before="200" w:line="260" w:lineRule="atLeast"/>
        <w:jc w:val="both"/>
      </w:pPr>
      <w:r>
        <w:rPr>
          <w:rFonts w:ascii="Arial" w:eastAsia="Arial" w:hAnsi="Arial" w:cs="Arial"/>
          <w:b/>
          <w:color w:val="000000"/>
          <w:sz w:val="20"/>
        </w:rPr>
        <w:t>RECEIVING A LOST, MISLAID, OR MISDELIVERED CREDIT CARD ( § 8-204(b)(1))</w:t>
      </w:r>
    </w:p>
    <w:p w:rsidR="004729FB" w:rsidRDefault="004729FB" w:rsidP="004729FB">
      <w:pPr>
        <w:spacing w:before="200" w:line="260" w:lineRule="atLeast"/>
        <w:jc w:val="both"/>
      </w:pPr>
      <w:r>
        <w:rPr>
          <w:rFonts w:ascii="Arial" w:eastAsia="Arial" w:hAnsi="Arial" w:cs="Arial"/>
          <w:b/>
          <w:color w:val="000000"/>
          <w:sz w:val="20"/>
        </w:rPr>
        <w:lastRenderedPageBreak/>
        <w:t>The defendant is charged with the crime of credit card theft. The crime of credit card theft includes receiving a lost, mislaid, or misdelivered (insert the type of credit instrument or device).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received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defendant knew that the (insert the type of credit instrument or device) had been lost, mislaid, or delivered based on a mistake as to the identity or address of the cardholder; and</w:t>
      </w:r>
    </w:p>
    <w:p w:rsidR="004729FB" w:rsidRDefault="004729FB" w:rsidP="004729FB">
      <w:pPr>
        <w:spacing w:before="200" w:line="260" w:lineRule="atLeast"/>
        <w:ind w:left="400"/>
        <w:jc w:val="both"/>
      </w:pPr>
      <w:r>
        <w:rPr>
          <w:rFonts w:ascii="Arial" w:eastAsia="Arial" w:hAnsi="Arial" w:cs="Arial"/>
          <w:b/>
          <w:color w:val="000000"/>
          <w:sz w:val="20"/>
        </w:rPr>
        <w:t xml:space="preserve">(3) that the defendant retained possession of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with the intent to use it, or sell or transfer it to another who is not the [issuer] [cardholder]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cardholder is the person whose name appears on the front of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w:t>
      </w:r>
    </w:p>
    <w:p w:rsidR="004729FB" w:rsidRDefault="004729FB" w:rsidP="004729FB">
      <w:pPr>
        <w:spacing w:before="200" w:line="260" w:lineRule="atLeast"/>
        <w:jc w:val="both"/>
      </w:pPr>
      <w:r>
        <w:rPr>
          <w:rFonts w:ascii="Arial" w:eastAsia="Arial" w:hAnsi="Arial" w:cs="Arial"/>
          <w:b/>
          <w:color w:val="000000"/>
          <w:sz w:val="20"/>
        </w:rPr>
        <w:t>BUYING A CREDIT CARD ( § 8-204(c)(2))</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credit card theft. The crime of credit card theft includes buying a (insert the type of credit instrument or device).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bought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(2) that the defendant bought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from a person who was not the issuer; and</w:t>
      </w:r>
    </w:p>
    <w:p w:rsidR="004729FB" w:rsidRDefault="004729FB" w:rsidP="004729FB">
      <w:pPr>
        <w:spacing w:before="200" w:line="260" w:lineRule="atLeast"/>
        <w:ind w:left="400"/>
        <w:jc w:val="both"/>
      </w:pPr>
      <w:r>
        <w:rPr>
          <w:rFonts w:ascii="Arial" w:eastAsia="Arial" w:hAnsi="Arial" w:cs="Arial"/>
          <w:b/>
          <w:color w:val="000000"/>
          <w:sz w:val="20"/>
        </w:rPr>
        <w:t>(3) that the defendant knew that the seller was not the issuer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E</w:t>
      </w:r>
    </w:p>
    <w:p w:rsidR="004729FB" w:rsidRDefault="004729FB" w:rsidP="004729FB">
      <w:pPr>
        <w:spacing w:before="200" w:line="260" w:lineRule="atLeast"/>
        <w:jc w:val="both"/>
      </w:pPr>
      <w:r>
        <w:rPr>
          <w:rFonts w:ascii="Arial" w:eastAsia="Arial" w:hAnsi="Arial" w:cs="Arial"/>
          <w:b/>
          <w:color w:val="000000"/>
          <w:sz w:val="20"/>
        </w:rPr>
        <w:t>SELLING A CREDIT CARD ( § 8-204(c)(1))</w:t>
      </w:r>
    </w:p>
    <w:p w:rsidR="004729FB" w:rsidRDefault="004729FB" w:rsidP="004729FB">
      <w:pPr>
        <w:spacing w:before="200" w:line="260" w:lineRule="atLeast"/>
        <w:jc w:val="both"/>
      </w:pPr>
      <w:r>
        <w:rPr>
          <w:rFonts w:ascii="Arial" w:eastAsia="Arial" w:hAnsi="Arial" w:cs="Arial"/>
          <w:b/>
          <w:color w:val="000000"/>
          <w:sz w:val="20"/>
        </w:rPr>
        <w:t xml:space="preserve">The defendant is charged with the crime of credit card theft. The crime of credit card theft includes selling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sold a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 xml:space="preserve">(2) that the defendant was not the issuer of the </w:t>
      </w:r>
      <w:r>
        <w:rPr>
          <w:rFonts w:ascii="Arial" w:eastAsia="Arial" w:hAnsi="Arial" w:cs="Arial"/>
          <w:b/>
          <w:color w:val="000000"/>
          <w:sz w:val="20"/>
          <w:u w:val="single"/>
        </w:rPr>
        <w:t>(insert the type of credit instrument or device)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"issuer" is a business organization or financial institution or its agent that issues a credit card</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F</w:t>
      </w:r>
    </w:p>
    <w:p w:rsidR="004729FB" w:rsidRDefault="004729FB" w:rsidP="004729FB">
      <w:pPr>
        <w:spacing w:before="200" w:line="260" w:lineRule="atLeast"/>
        <w:jc w:val="both"/>
      </w:pPr>
      <w:r>
        <w:rPr>
          <w:rFonts w:ascii="Arial" w:eastAsia="Arial" w:hAnsi="Arial" w:cs="Arial"/>
          <w:b/>
          <w:color w:val="000000"/>
          <w:sz w:val="20"/>
        </w:rPr>
        <w:t>RECEIVING A STOLEN CREDIT CARD ( § 8-204(d))</w:t>
      </w:r>
    </w:p>
    <w:p w:rsidR="004729FB" w:rsidRDefault="004729FB" w:rsidP="004729FB">
      <w:pPr>
        <w:spacing w:before="200" w:line="260" w:lineRule="atLeast"/>
        <w:jc w:val="both"/>
      </w:pPr>
      <w:r>
        <w:rPr>
          <w:rFonts w:ascii="Arial" w:eastAsia="Arial" w:hAnsi="Arial" w:cs="Arial"/>
          <w:b/>
          <w:color w:val="000000"/>
          <w:sz w:val="20"/>
        </w:rPr>
        <w:t xml:space="preserve">The defendant is charged with the crime of credit card theft. The crime of credit card theft includes receiving a stolen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received a (insert the type of credit instrument or device); and</w:t>
      </w:r>
    </w:p>
    <w:p w:rsidR="004729FB" w:rsidRDefault="004729FB" w:rsidP="004729FB">
      <w:pPr>
        <w:spacing w:before="200" w:line="260" w:lineRule="atLeast"/>
        <w:ind w:left="400"/>
        <w:jc w:val="both"/>
      </w:pPr>
      <w:r>
        <w:rPr>
          <w:rFonts w:ascii="Arial" w:eastAsia="Arial" w:hAnsi="Arial" w:cs="Arial"/>
          <w:b/>
          <w:color w:val="000000"/>
          <w:sz w:val="20"/>
        </w:rPr>
        <w:t xml:space="preserve">(2) that the defendant knew that the </w:t>
      </w:r>
      <w:r>
        <w:rPr>
          <w:rFonts w:ascii="Arial" w:eastAsia="Arial" w:hAnsi="Arial" w:cs="Arial"/>
          <w:b/>
          <w:color w:val="000000"/>
          <w:sz w:val="20"/>
          <w:u w:val="single"/>
        </w:rPr>
        <w:t>(insert the type of credit instrument or device)</w:t>
      </w:r>
      <w:r>
        <w:rPr>
          <w:rFonts w:ascii="Arial" w:eastAsia="Arial" w:hAnsi="Arial" w:cs="Arial"/>
          <w:b/>
          <w:color w:val="000000"/>
          <w:sz w:val="20"/>
        </w:rPr>
        <w:t xml:space="preserve"> was [stolen] [issued as a result of a false statement]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lastRenderedPageBreak/>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4:18.1 (Identity Fraud--Personal Information).</w:t>
            </w:r>
          </w:p>
          <w:p w:rsidR="004729FB" w:rsidRDefault="004729FB" w:rsidP="00713DA5">
            <w:pPr>
              <w:spacing w:before="200" w:line="260" w:lineRule="atLeast"/>
              <w:ind w:left="60" w:right="360"/>
              <w:jc w:val="both"/>
            </w:pPr>
            <w:r>
              <w:rPr>
                <w:rFonts w:ascii="Arial" w:eastAsia="Arial" w:hAnsi="Arial" w:cs="Arial"/>
                <w:color w:val="000000"/>
                <w:sz w:val="20"/>
              </w:rPr>
              <w:t>CRIMINAL LAW II § 8-204 (2012 &amp; Supp. 2016) prohibits a number of forms of credit card theft. Section 8-201(c)(2) defines "credit card" to include "(i) a debit card, access card, or other device for use by a cardholder to effect a transfer of funds through an electronic terminal, telephone, or computer; (ii) a magnetic tape that orders or authorizes a financial institution to debit or credit an account; and (iii) a code, account number, or other means of account access that is not encoded or truncated and can be used to: 1) obtain money, goods, services, or anything of value; or 2) initiate a transfer of funds."</w:t>
            </w:r>
          </w:p>
          <w:p w:rsidR="004729FB" w:rsidRDefault="004729FB" w:rsidP="00713DA5">
            <w:pPr>
              <w:spacing w:before="200" w:line="260" w:lineRule="atLeast"/>
              <w:ind w:left="60" w:right="360"/>
              <w:jc w:val="both"/>
            </w:pPr>
            <w:r>
              <w:rPr>
                <w:rFonts w:ascii="Arial" w:eastAsia="Arial" w:hAnsi="Arial" w:cs="Arial"/>
                <w:color w:val="000000"/>
                <w:sz w:val="20"/>
              </w:rPr>
              <w:t xml:space="preserve">A "credit card" can also be just the credit card number. That issue arose in </w:t>
            </w:r>
            <w:hyperlink r:id="rId2265" w:history="1">
              <w:r>
                <w:rPr>
                  <w:rFonts w:ascii="Arial" w:eastAsia="Arial" w:hAnsi="Arial" w:cs="Arial"/>
                  <w:i/>
                  <w:color w:val="0077CC"/>
                  <w:sz w:val="20"/>
                  <w:u w:val="single"/>
                </w:rPr>
                <w:t>Montgomery v. State, 206 Md. App. 357, 47 A.3d 1140,</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429 Md. 83, 54 A.3d 761 (2012),</w:t>
            </w:r>
            <w:r>
              <w:rPr>
                <w:rFonts w:ascii="Arial" w:eastAsia="Arial" w:hAnsi="Arial" w:cs="Arial"/>
                <w:color w:val="000000"/>
                <w:sz w:val="20"/>
              </w:rPr>
              <w:t xml:space="preserve"> specifically, whether the use of a stolen credit </w:t>
            </w:r>
            <w:r>
              <w:rPr>
                <w:rFonts w:ascii="Arial" w:eastAsia="Arial" w:hAnsi="Arial" w:cs="Arial"/>
                <w:i/>
                <w:color w:val="000000"/>
                <w:sz w:val="20"/>
              </w:rPr>
              <w:t>card number</w:t>
            </w:r>
            <w:r>
              <w:rPr>
                <w:rFonts w:ascii="Arial" w:eastAsia="Arial" w:hAnsi="Arial" w:cs="Arial"/>
                <w:color w:val="000000"/>
                <w:sz w:val="20"/>
              </w:rPr>
              <w:t xml:space="preserve">, not the card itself, to obtain property violated § 8-206(a)(1). Section 8-206(a)(1) prohibits obtaining property by use of a credit card "obtained or retained in violation of § 8-204." </w:t>
            </w:r>
            <w:r>
              <w:rPr>
                <w:rFonts w:ascii="Arial" w:eastAsia="Arial" w:hAnsi="Arial" w:cs="Arial"/>
                <w:i/>
                <w:color w:val="000000"/>
                <w:sz w:val="20"/>
              </w:rPr>
              <w:t>Id.</w:t>
            </w:r>
            <w:r>
              <w:rPr>
                <w:rFonts w:ascii="Arial" w:eastAsia="Arial" w:hAnsi="Arial" w:cs="Arial"/>
                <w:color w:val="000000"/>
                <w:sz w:val="20"/>
              </w:rPr>
              <w:t xml:space="preserve"> Section 8- 204(a)(1) prohibits taking or receiving a credit card without the consent of the cardholder. Thus, violation of § 8-204 is an element of § 8-206(a)(1). The </w:t>
            </w:r>
            <w:r>
              <w:rPr>
                <w:rFonts w:ascii="Arial" w:eastAsia="Arial" w:hAnsi="Arial" w:cs="Arial"/>
                <w:i/>
                <w:color w:val="000000"/>
                <w:sz w:val="20"/>
              </w:rPr>
              <w:t>Montgomery</w:t>
            </w:r>
            <w:r>
              <w:rPr>
                <w:rFonts w:ascii="Arial" w:eastAsia="Arial" w:hAnsi="Arial" w:cs="Arial"/>
                <w:color w:val="000000"/>
                <w:sz w:val="20"/>
              </w:rPr>
              <w:t xml:space="preserve"> Court held that "credit card" included just the credit card number. It said:</w:t>
            </w:r>
          </w:p>
          <w:p w:rsidR="004729FB" w:rsidRDefault="004729FB" w:rsidP="00713DA5">
            <w:pPr>
              <w:spacing w:before="60" w:line="260" w:lineRule="atLeast"/>
              <w:ind w:left="460" w:right="360"/>
              <w:jc w:val="both"/>
            </w:pPr>
            <w:r>
              <w:rPr>
                <w:rFonts w:ascii="Arial" w:eastAsia="Arial" w:hAnsi="Arial" w:cs="Arial"/>
                <w:color w:val="000000"/>
                <w:sz w:val="20"/>
              </w:rPr>
              <w:t>Although we find no case in which a Maryland appellate court has ruled on the sufficiency of the evidence as to obtaining property by use of a stolen credit card, we hold that evidence is sufficient to support a conviction for obtaining property by use of a stolen credit card where the evidence shows that a defendant obtained goods or services by using, without the credit cardholder's permission, a credit card number that did not belong to the defendant.</w:t>
            </w:r>
          </w:p>
          <w:p w:rsidR="004729FB" w:rsidRDefault="004729FB" w:rsidP="00713DA5">
            <w:pPr>
              <w:spacing w:before="240" w:line="260" w:lineRule="atLeast"/>
              <w:ind w:left="60" w:right="360"/>
              <w:jc w:val="both"/>
            </w:pPr>
            <w:hyperlink r:id="rId2266" w:history="1">
              <w:r>
                <w:rPr>
                  <w:rFonts w:ascii="Arial" w:eastAsia="Arial" w:hAnsi="Arial" w:cs="Arial"/>
                  <w:i/>
                  <w:color w:val="0077CC"/>
                  <w:sz w:val="20"/>
                  <w:u w:val="single"/>
                </w:rPr>
                <w:t>Montgomery, 206 Md. App. at 396, 47 A.3d at 1163.</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II § 7-104(d), the General Theft Statute, contains a similar provision to that in § 8-204(b). Both make it theft to obtain control over property knowing that it was lost, mislaid or misdelivered. "The key difference between the two provisions, though, is that § 8-204 deals exclusively with credit cards. Unlike most other personal property, credit cards have the owner's name written on them, making it more difficult for a person innocently to receive one by mistake." </w:t>
            </w:r>
            <w:hyperlink r:id="rId2267" w:history="1">
              <w:r>
                <w:rPr>
                  <w:rFonts w:ascii="Arial" w:eastAsia="Arial" w:hAnsi="Arial" w:cs="Arial"/>
                  <w:i/>
                  <w:color w:val="0077CC"/>
                  <w:sz w:val="20"/>
                  <w:u w:val="single"/>
                </w:rPr>
                <w:t>State v. Weems, 429 Md. 329, 344, 55 A.3d 921, 930 (2012).</w:t>
              </w:r>
            </w:hyperlink>
            <w:r>
              <w:rPr>
                <w:rFonts w:ascii="Arial" w:eastAsia="Arial" w:hAnsi="Arial" w:cs="Arial"/>
                <w:color w:val="000000"/>
                <w:sz w:val="20"/>
              </w:rPr>
              <w:t xml:space="preserve"> In </w:t>
            </w:r>
            <w:r>
              <w:rPr>
                <w:rFonts w:ascii="Arial" w:eastAsia="Arial" w:hAnsi="Arial" w:cs="Arial"/>
                <w:i/>
                <w:color w:val="000000"/>
                <w:sz w:val="20"/>
              </w:rPr>
              <w:t>Weems</w:t>
            </w:r>
            <w:r>
              <w:rPr>
                <w:rFonts w:ascii="Arial" w:eastAsia="Arial" w:hAnsi="Arial" w:cs="Arial"/>
                <w:color w:val="000000"/>
                <w:sz w:val="20"/>
              </w:rPr>
              <w:t xml:space="preserve">, the Court interpreted § 7-104(d) and held that the State must prove that the defendant obtained the property knowing </w:t>
            </w:r>
            <w:r>
              <w:rPr>
                <w:rFonts w:ascii="Arial" w:eastAsia="Arial" w:hAnsi="Arial" w:cs="Arial"/>
                <w:i/>
                <w:color w:val="000000"/>
                <w:sz w:val="20"/>
              </w:rPr>
              <w:t>then</w:t>
            </w:r>
            <w:r>
              <w:rPr>
                <w:rFonts w:ascii="Arial" w:eastAsia="Arial" w:hAnsi="Arial" w:cs="Arial"/>
                <w:color w:val="000000"/>
                <w:sz w:val="20"/>
              </w:rPr>
              <w:t xml:space="preserve"> that it was lost, mislaid, or delivered by mistake. Afteracquired knowledge is not enough. </w:t>
            </w:r>
            <w:hyperlink r:id="rId2268" w:history="1">
              <w:r>
                <w:rPr>
                  <w:rFonts w:ascii="Arial" w:eastAsia="Arial" w:hAnsi="Arial" w:cs="Arial"/>
                  <w:i/>
                  <w:color w:val="0077CC"/>
                  <w:sz w:val="20"/>
                  <w:u w:val="single"/>
                </w:rPr>
                <w:t>Id. at 345, 55 A.3d at 930.</w:t>
              </w:r>
            </w:hyperlink>
            <w:r>
              <w:rPr>
                <w:rFonts w:ascii="Arial" w:eastAsia="Arial" w:hAnsi="Arial" w:cs="Arial"/>
                <w:color w:val="000000"/>
                <w:sz w:val="20"/>
              </w:rPr>
              <w:t xml:space="preserve"> The Court said that § 7-104(d), "as written, does not apply to someone who obtains property </w:t>
            </w:r>
            <w:r>
              <w:rPr>
                <w:rFonts w:ascii="Arial" w:eastAsia="Arial" w:hAnsi="Arial" w:cs="Arial"/>
                <w:i/>
                <w:color w:val="000000"/>
                <w:sz w:val="20"/>
              </w:rPr>
              <w:t>not knowing</w:t>
            </w:r>
            <w:r>
              <w:rPr>
                <w:rFonts w:ascii="Arial" w:eastAsia="Arial" w:hAnsi="Arial" w:cs="Arial"/>
                <w:color w:val="000000"/>
                <w:sz w:val="20"/>
              </w:rPr>
              <w:t xml:space="preserve"> at that time that the property is lost, mislaid, or mistakenly delivered." </w:t>
            </w:r>
            <w:r>
              <w:rPr>
                <w:rFonts w:ascii="Arial" w:eastAsia="Arial" w:hAnsi="Arial" w:cs="Arial"/>
                <w:i/>
                <w:color w:val="000000"/>
                <w:sz w:val="20"/>
              </w:rPr>
              <w:t>Id.</w:t>
            </w:r>
            <w:r>
              <w:rPr>
                <w:rFonts w:ascii="Arial" w:eastAsia="Arial" w:hAnsi="Arial" w:cs="Arial"/>
                <w:color w:val="000000"/>
                <w:sz w:val="20"/>
              </w:rPr>
              <w:t xml:space="preserve"> (Emphasis in the original.) The Court noted that § 8-204(b) is similarly worded. It said:</w:t>
            </w:r>
          </w:p>
          <w:p w:rsidR="004729FB" w:rsidRDefault="004729FB" w:rsidP="00713DA5">
            <w:pPr>
              <w:spacing w:before="60" w:line="260" w:lineRule="atLeast"/>
              <w:ind w:left="460" w:right="360"/>
              <w:jc w:val="both"/>
            </w:pPr>
            <w:r>
              <w:rPr>
                <w:rFonts w:ascii="Arial" w:eastAsia="Arial" w:hAnsi="Arial" w:cs="Arial"/>
                <w:color w:val="000000"/>
                <w:sz w:val="20"/>
              </w:rPr>
              <w:t>The only other criminal provision in Maryland that similarly deals with property that is lost, mislaid, or delivered under a mistake is § 8-204(b). That section, which criminalizes receiving a credit card "known to have been lost or misdelivered," reads: "A person may not receive a credit card that the person knows was lost, mislaid, or delivered under a mistake as to the identity or address of the cardholder and retain possession of the credit card with the intent to use, sell, or transfer it to another who is not the issuer or the cardholder." § 8-204(b)(1). The section uses the same basic construction as § 7-104(d), in that both sections require that a person receive property knowing it was lost, mislaid, or delivered under a mistake … .</w:t>
            </w:r>
          </w:p>
          <w:p w:rsidR="004729FB" w:rsidRDefault="004729FB" w:rsidP="00713DA5">
            <w:pPr>
              <w:spacing w:before="60" w:line="260" w:lineRule="atLeast"/>
              <w:ind w:left="460" w:right="360"/>
              <w:jc w:val="both"/>
            </w:pPr>
            <w:r>
              <w:rPr>
                <w:rFonts w:ascii="Arial" w:eastAsia="Arial" w:hAnsi="Arial" w:cs="Arial"/>
                <w:color w:val="000000"/>
                <w:sz w:val="20"/>
              </w:rPr>
              <w:t>That the General Assembly used similar language in § 7-104(d) and § 8-204(b), both dealing with property that is lost, mislaid, or delivered under a mistake, seems to make it more likely that the legislature intended for the language to stand as written. But studying these provisions, and the legislative history behind them, does not shed conclusive light on the matter.</w:t>
            </w:r>
          </w:p>
          <w:p w:rsidR="004729FB" w:rsidRDefault="004729FB" w:rsidP="00713DA5">
            <w:pPr>
              <w:spacing w:before="240" w:line="260" w:lineRule="atLeast"/>
              <w:ind w:left="60" w:right="360"/>
              <w:jc w:val="both"/>
            </w:pPr>
            <w:hyperlink r:id="rId2269" w:history="1">
              <w:r>
                <w:rPr>
                  <w:rFonts w:ascii="Arial" w:eastAsia="Arial" w:hAnsi="Arial" w:cs="Arial"/>
                  <w:i/>
                  <w:color w:val="0077CC"/>
                  <w:sz w:val="20"/>
                  <w:u w:val="single"/>
                </w:rPr>
                <w:t>Id. at 343-44, 55 A.3d at 929-30.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Having been unable to discern the legislative intent from the text of § 7-104(d) or by the use of accepted canons of interpretation, the Court applied the rule of lenity to decide "on the side of the accused in construing the statute." </w:t>
            </w:r>
            <w:hyperlink r:id="rId2270" w:history="1">
              <w:r>
                <w:rPr>
                  <w:rFonts w:ascii="Arial" w:eastAsia="Arial" w:hAnsi="Arial" w:cs="Arial"/>
                  <w:i/>
                  <w:color w:val="0077CC"/>
                  <w:sz w:val="20"/>
                  <w:u w:val="single"/>
                </w:rPr>
                <w:t>Id. at 345, 55 A.3d at 930.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2271" w:history="1">
              <w:r>
                <w:rPr>
                  <w:rFonts w:ascii="Arial" w:eastAsia="Arial" w:hAnsi="Arial" w:cs="Arial"/>
                  <w:i/>
                  <w:color w:val="0077CC"/>
                  <w:sz w:val="20"/>
                  <w:u w:val="single"/>
                </w:rPr>
                <w:t>Moore v. State, 163 Md. App. 305, 878 A.2d 678 (2005),</w:t>
              </w:r>
            </w:hyperlink>
            <w:r>
              <w:rPr>
                <w:rFonts w:ascii="Arial" w:eastAsia="Arial" w:hAnsi="Arial" w:cs="Arial"/>
                <w:color w:val="000000"/>
                <w:sz w:val="20"/>
              </w:rPr>
              <w:t xml:space="preserve"> the Court considered whether "conviction for theft of less than $ 500 pursuant to CL § 7-104 also merges into [a] receiving a stolen credit card conviction" under § 8-204(a). </w:t>
            </w:r>
            <w:hyperlink r:id="rId2272" w:history="1">
              <w:r>
                <w:rPr>
                  <w:rFonts w:ascii="Arial" w:eastAsia="Arial" w:hAnsi="Arial" w:cs="Arial"/>
                  <w:i/>
                  <w:color w:val="0077CC"/>
                  <w:sz w:val="20"/>
                  <w:u w:val="single"/>
                </w:rPr>
                <w:t>Id. at 316, 878 A.2d at 684.</w:t>
              </w:r>
            </w:hyperlink>
            <w:r>
              <w:rPr>
                <w:rFonts w:ascii="Arial" w:eastAsia="Arial" w:hAnsi="Arial" w:cs="Arial"/>
                <w:color w:val="000000"/>
                <w:sz w:val="20"/>
              </w:rPr>
              <w:t xml:space="preserve"> The Court held there was a merger, saying:</w:t>
            </w:r>
          </w:p>
          <w:p w:rsidR="004729FB" w:rsidRDefault="004729FB" w:rsidP="00713DA5">
            <w:pPr>
              <w:spacing w:before="60" w:line="260" w:lineRule="atLeast"/>
              <w:ind w:left="460" w:right="360"/>
              <w:jc w:val="both"/>
            </w:pPr>
            <w:r>
              <w:rPr>
                <w:rFonts w:ascii="Arial" w:eastAsia="Arial" w:hAnsi="Arial" w:cs="Arial"/>
                <w:color w:val="000000"/>
                <w:sz w:val="20"/>
              </w:rPr>
              <w:t>We are persuaded that the convictions should have merged under the required evidence test. The crimes of receiving a stolen credit card and theft of less than $ 500 share the elements of knowledge, possession of stolen property, and intention to use the property or to deprive the owner of its use. Receiving a stolen credit card requires one additional element of proof - that the item stolen was a credit card. Therefore, appellant's conviction for theft of less than $ 500 should have merged into his conviction for receiving a stolen credit card.</w:t>
            </w:r>
          </w:p>
          <w:p w:rsidR="004729FB" w:rsidRDefault="004729FB" w:rsidP="00713DA5">
            <w:pPr>
              <w:spacing w:before="240" w:line="260" w:lineRule="atLeast"/>
              <w:ind w:left="60" w:right="360"/>
              <w:jc w:val="both"/>
            </w:pPr>
            <w:hyperlink r:id="rId2273" w:history="1">
              <w:r>
                <w:rPr>
                  <w:rFonts w:ascii="Arial" w:eastAsia="Arial" w:hAnsi="Arial" w:cs="Arial"/>
                  <w:i/>
                  <w:color w:val="0077CC"/>
                  <w:sz w:val="20"/>
                  <w:u w:val="single"/>
                </w:rPr>
                <w:t>Moore, 163 Md. App. at 319, 878 A.2d at 686.</w:t>
              </w:r>
            </w:hyperlink>
            <w:r>
              <w:rPr>
                <w:rFonts w:ascii="Arial" w:eastAsia="Arial" w:hAnsi="Arial" w:cs="Arial"/>
                <w:color w:val="000000"/>
                <w:sz w:val="20"/>
              </w:rPr>
              <w:t xml:space="preserve"> The Court added that "[u]nder the rule of lenity, in the area of double punishments, doubts are to be resolved in favor of the defendant in order to avoid double jeopardy problems." </w:t>
            </w:r>
            <w:hyperlink r:id="rId2274" w:history="1">
              <w:r>
                <w:rPr>
                  <w:rFonts w:ascii="Arial" w:eastAsia="Arial" w:hAnsi="Arial" w:cs="Arial"/>
                  <w:i/>
                  <w:color w:val="0077CC"/>
                  <w:sz w:val="20"/>
                  <w:u w:val="single"/>
                </w:rPr>
                <w:t>Id. at 320, 878 A.2d at 686.</w:t>
              </w:r>
            </w:hyperlink>
          </w:p>
          <w:p w:rsidR="004729FB" w:rsidRDefault="004729FB" w:rsidP="00713DA5">
            <w:pPr>
              <w:spacing w:before="200" w:line="260" w:lineRule="atLeast"/>
              <w:ind w:left="60" w:right="360"/>
              <w:jc w:val="both"/>
            </w:pPr>
            <w:r>
              <w:rPr>
                <w:rFonts w:ascii="Arial" w:eastAsia="Arial" w:hAnsi="Arial" w:cs="Arial"/>
                <w:color w:val="000000"/>
                <w:sz w:val="20"/>
              </w:rPr>
              <w:t>A "Rules of Construction" provision, § 8-202, contains two important sets of interpretative rules. First, if "a person violates §§ 8-203 through 8- 209 of [Subtitle 2 establishing Credit Card Crimes] as part of one scheme or a continuing course of conduct, from the same or several sources: (1) the conduct may be considered as one violation; and (2) the value of money, goods, services, or things of value may be aggregated in determining if the crime is a felony or a misdemeanor." CRIM. LAW II § 8- 202(a)(1)-(2). Second, these credit card crime provisions "may not be construed to preclude the applicability of any other provision of the criminal law of this State that applies or may apply to any transaction that violates [them] unless that provision is inconsistent with [them]."</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394" style="position:absolute;z-index:25202688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4:14.2, MPJI-Cr 4:14.3, MPJI-Cr 4:18.1, MPJI-Cr 4:18.2, MPJI-Cr 4:18.3, MPJI-Cr 4:18.4, MPJI-Cr 4:18.5.</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02" style="position:absolute;left:0;text-align:left;z-index:25203507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75"/>
          <w:headerReference w:type="default" r:id="rId2276"/>
          <w:footerReference w:type="even" r:id="rId2277"/>
          <w:footerReference w:type="default" r:id="rId2278"/>
          <w:headerReference w:type="first" r:id="rId2279"/>
          <w:footerReference w:type="first" r:id="rId228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9" name="Picture 13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281" w:history="1">
        <w:r>
          <w:rPr>
            <w:rFonts w:ascii="Arial" w:eastAsia="Arial" w:hAnsi="Arial" w:cs="Arial"/>
            <w:b/>
            <w:bCs/>
            <w:i/>
            <w:color w:val="0077CC"/>
            <w:kern w:val="32"/>
            <w:sz w:val="28"/>
            <w:szCs w:val="32"/>
            <w:u w:val="single"/>
          </w:rPr>
          <w:t>MPJI-Cr 4:33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TRESPASS--POSTED PROPERTY</w:t>
      </w:r>
    </w:p>
    <w:p w:rsidR="004729FB" w:rsidRDefault="004729FB" w:rsidP="004729FB">
      <w:pPr>
        <w:keepNext/>
        <w:spacing w:before="240" w:line="340" w:lineRule="atLeast"/>
      </w:pPr>
      <w:r>
        <w:br/>
      </w:r>
      <w:r>
        <w:rPr>
          <w:rFonts w:ascii="Arial" w:eastAsia="Arial" w:hAnsi="Arial" w:cs="Arial"/>
          <w:b/>
          <w:color w:val="000000"/>
          <w:sz w:val="28"/>
        </w:rPr>
        <w:t>4:33Trespass--Posted Property</w:t>
      </w:r>
    </w:p>
    <w:p w:rsidR="004729FB" w:rsidRDefault="004729FB" w:rsidP="004729FB">
      <w:pPr>
        <w:spacing w:line="60" w:lineRule="exact"/>
      </w:pPr>
      <w:r>
        <w:pict>
          <v:line id="_x0000_s1385" style="position:absolute;z-index:2520176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trespass. In order to convict the defendant of trespass,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entered the property of another without permission; and</w:t>
      </w:r>
    </w:p>
    <w:p w:rsidR="004729FB" w:rsidRDefault="004729FB" w:rsidP="004729FB">
      <w:pPr>
        <w:spacing w:before="200" w:line="260" w:lineRule="atLeast"/>
        <w:ind w:left="400"/>
        <w:jc w:val="both"/>
      </w:pPr>
      <w:r>
        <w:rPr>
          <w:rFonts w:ascii="Arial" w:eastAsia="Arial" w:hAnsi="Arial" w:cs="Arial"/>
          <w:b/>
          <w:color w:val="000000"/>
          <w:sz w:val="20"/>
        </w:rPr>
        <w:t>(2) that the property was posted or marked in an obvious manner against such entry</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 xml:space="preserve">COMMENT Trespassing on posted property is a misdemeanor. CRIM. LAW I § 6- 402(b).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14.1, at 157-58 (1983 &amp; Supp. 1990). The proceedings must be initiated by the landowner or tenant of the property unlawfully entered. </w:t>
            </w:r>
            <w:r>
              <w:rPr>
                <w:rFonts w:ascii="Arial" w:eastAsia="Arial" w:hAnsi="Arial" w:cs="Arial"/>
                <w:i/>
                <w:color w:val="000000"/>
                <w:sz w:val="20"/>
              </w:rPr>
              <w:t>Id.</w:t>
            </w:r>
            <w:r>
              <w:rPr>
                <w:rFonts w:ascii="Arial" w:eastAsia="Arial" w:hAnsi="Arial" w:cs="Arial"/>
                <w:color w:val="000000"/>
                <w:sz w:val="20"/>
              </w:rPr>
              <w:t xml:space="preserve"> CRIMINAL LAW I § 6- 402(a) requires posting against trespass by: (1) signs placed where they may reasonably be seen; or (2) identifying paint marks on trees or posts at each road entrance and adjacent to public roadways, public waterways, and any other lands adjoining the property. CRIMINAL LAW I § 6-402(a) provides that the paint marks must conform with regulations issued by the Department of Natural Resources.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5" style="position:absolute;left:0;text-align:left;z-index:25202790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82"/>
          <w:headerReference w:type="default" r:id="rId2283"/>
          <w:footerReference w:type="even" r:id="rId2284"/>
          <w:footerReference w:type="default" r:id="rId2285"/>
          <w:headerReference w:type="first" r:id="rId2286"/>
          <w:footerReference w:type="first" r:id="rId2287"/>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8" name="Picture 13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288" w:history="1">
        <w:r>
          <w:rPr>
            <w:rFonts w:ascii="Arial" w:eastAsia="Arial" w:hAnsi="Arial" w:cs="Arial"/>
            <w:b/>
            <w:bCs/>
            <w:i/>
            <w:color w:val="0077CC"/>
            <w:kern w:val="32"/>
            <w:sz w:val="28"/>
            <w:szCs w:val="32"/>
            <w:u w:val="single"/>
          </w:rPr>
          <w:t>MPJI-Cr 4:33.1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TRESPASS--PUBLIC PROPERTY AFTER BUSINESS HOURS</w:t>
      </w:r>
    </w:p>
    <w:p w:rsidR="004729FB" w:rsidRDefault="004729FB" w:rsidP="004729FB">
      <w:pPr>
        <w:keepNext/>
        <w:spacing w:before="240" w:line="340" w:lineRule="atLeast"/>
      </w:pPr>
      <w:r>
        <w:br/>
      </w:r>
      <w:r>
        <w:rPr>
          <w:rFonts w:ascii="Arial" w:eastAsia="Arial" w:hAnsi="Arial" w:cs="Arial"/>
          <w:b/>
          <w:color w:val="000000"/>
          <w:sz w:val="28"/>
        </w:rPr>
        <w:t>4:33.1Trespass--Public Property After Business Hours</w:t>
      </w:r>
    </w:p>
    <w:p w:rsidR="004729FB" w:rsidRDefault="004729FB" w:rsidP="004729FB">
      <w:pPr>
        <w:spacing w:line="60" w:lineRule="exact"/>
      </w:pPr>
      <w:r>
        <w:pict>
          <v:line id="_x0000_s1386" style="position:absolute;z-index:2520186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trespass. In order to convict the defendant of trespass,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upon request, [refused] [failed] to leave [a public building] [the grounds] of a public agency or institution;</w:t>
      </w:r>
    </w:p>
    <w:p w:rsidR="004729FB" w:rsidRDefault="004729FB" w:rsidP="004729FB">
      <w:pPr>
        <w:spacing w:before="200" w:line="260" w:lineRule="atLeast"/>
        <w:ind w:left="400"/>
        <w:jc w:val="both"/>
      </w:pPr>
      <w:r>
        <w:rPr>
          <w:rFonts w:ascii="Arial" w:eastAsia="Arial" w:hAnsi="Arial" w:cs="Arial"/>
          <w:b/>
          <w:color w:val="000000"/>
          <w:sz w:val="20"/>
        </w:rPr>
        <w:t>(2) that the request to leave was made by a regularly employed guard, watchperson, or authorized employee of the public agency or institution;</w:t>
      </w:r>
    </w:p>
    <w:p w:rsidR="004729FB" w:rsidRDefault="004729FB" w:rsidP="004729FB">
      <w:pPr>
        <w:spacing w:before="200" w:line="260" w:lineRule="atLeast"/>
        <w:ind w:left="400"/>
        <w:jc w:val="both"/>
      </w:pPr>
      <w:r>
        <w:rPr>
          <w:rFonts w:ascii="Arial" w:eastAsia="Arial" w:hAnsi="Arial" w:cs="Arial"/>
          <w:b/>
          <w:color w:val="000000"/>
          <w:sz w:val="20"/>
        </w:rPr>
        <w:t>(3) that at the time of the request, [the building] [grounds] [was] [were] regularly closed to the public; and</w:t>
      </w:r>
    </w:p>
    <w:p w:rsidR="004729FB" w:rsidRDefault="004729FB" w:rsidP="004729FB">
      <w:pPr>
        <w:spacing w:before="200" w:line="260" w:lineRule="atLeast"/>
        <w:ind w:left="400"/>
        <w:jc w:val="both"/>
      </w:pPr>
      <w:r>
        <w:rPr>
          <w:rFonts w:ascii="Arial" w:eastAsia="Arial" w:hAnsi="Arial" w:cs="Arial"/>
          <w:b/>
          <w:color w:val="000000"/>
          <w:sz w:val="20"/>
        </w:rPr>
        <w:t>(4) that the defendant had no lawful business to pursue at that time</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Trespassing on public property is a misdemeanor. CRIM. LAW I § 6- 409. </w:t>
            </w:r>
            <w:r>
              <w:rPr>
                <w:rFonts w:ascii="Arial" w:eastAsia="Arial" w:hAnsi="Arial" w:cs="Arial"/>
                <w:i/>
                <w:color w:val="000000"/>
                <w:sz w:val="20"/>
              </w:rPr>
              <w:t>See generally</w:t>
            </w:r>
            <w:r>
              <w:rPr>
                <w:rFonts w:ascii="Arial" w:eastAsia="Arial" w:hAnsi="Arial" w:cs="Arial"/>
                <w:color w:val="000000"/>
                <w:sz w:val="20"/>
              </w:rPr>
              <w:t xml:space="preserve"> RICHARD P. GILBERT &amp; CHARLES E. MOYLAN, JR., MARYLAND CRIMINAL LAW: PRACTICE &amp; PROCEDURE § 14.3, at 159-60 (1983). This provision has been upheld against a constitutional attack that it is void for vagueness, overbroad, and violative of the Equal Protection Clause. </w:t>
            </w:r>
            <w:hyperlink r:id="rId2289" w:history="1">
              <w:r>
                <w:rPr>
                  <w:rFonts w:ascii="Arial" w:eastAsia="Arial" w:hAnsi="Arial" w:cs="Arial"/>
                  <w:i/>
                  <w:color w:val="0077CC"/>
                  <w:sz w:val="20"/>
                  <w:u w:val="single"/>
                </w:rPr>
                <w:t>Anderson v. State, 12 Md. App. 186, 278 A.2d 439 (1971),</w:t>
              </w:r>
            </w:hyperlink>
            <w:r>
              <w:rPr>
                <w:rFonts w:ascii="Arial" w:eastAsia="Arial" w:hAnsi="Arial" w:cs="Arial"/>
                <w:color w:val="000000"/>
                <w:sz w:val="20"/>
              </w:rPr>
              <w:t xml:space="preserve"> </w:t>
            </w:r>
            <w:r>
              <w:rPr>
                <w:rFonts w:ascii="Arial" w:eastAsia="Arial" w:hAnsi="Arial" w:cs="Arial"/>
                <w:i/>
                <w:color w:val="000000"/>
                <w:sz w:val="20"/>
              </w:rPr>
              <w:t>appeal dismissed</w:t>
            </w:r>
            <w:r>
              <w:rPr>
                <w:rFonts w:ascii="Arial" w:eastAsia="Arial" w:hAnsi="Arial" w:cs="Arial"/>
                <w:color w:val="000000"/>
                <w:sz w:val="20"/>
              </w:rPr>
              <w:t xml:space="preserve">, </w:t>
            </w:r>
            <w:r>
              <w:rPr>
                <w:rFonts w:ascii="Arial" w:eastAsia="Arial" w:hAnsi="Arial" w:cs="Arial"/>
                <w:i/>
                <w:color w:val="000000"/>
                <w:sz w:val="20"/>
              </w:rPr>
              <w:t>405 U.S. 1050 (1972).</w:t>
            </w:r>
            <w:r>
              <w:rPr>
                <w:rFonts w:ascii="Arial" w:eastAsia="Arial" w:hAnsi="Arial" w:cs="Arial"/>
                <w:color w:val="000000"/>
                <w:sz w:val="20"/>
              </w:rPr>
              <w:t xml:space="preserve"> The Court of Special Appeals interpreted the phrase "no apparent lawful business to pursue," § 6- 409(b)(1)(i), as follows:</w:t>
            </w:r>
          </w:p>
          <w:p w:rsidR="004729FB" w:rsidRDefault="004729FB" w:rsidP="00713DA5">
            <w:pPr>
              <w:spacing w:before="200" w:line="260" w:lineRule="atLeast"/>
              <w:ind w:left="460" w:right="360"/>
              <w:jc w:val="both"/>
            </w:pPr>
            <w:r>
              <w:rPr>
                <w:rFonts w:ascii="Arial" w:eastAsia="Arial" w:hAnsi="Arial" w:cs="Arial"/>
                <w:color w:val="000000"/>
                <w:sz w:val="20"/>
              </w:rPr>
              <w:t xml:space="preserve">This "lawful business" clause is a requirement for the notice rather than for the guilt of the offense. In other words, although an effective notice may be given if the surrounding circumstances are such as to indicate to a reasonable man that the person notified had no apparent lawful business to pursue, the criterion for guilt upon failure to obey the notice is that the person </w:t>
            </w:r>
            <w:r>
              <w:rPr>
                <w:rFonts w:ascii="Arial" w:eastAsia="Arial" w:hAnsi="Arial" w:cs="Arial"/>
                <w:i/>
                <w:color w:val="000000"/>
                <w:sz w:val="20"/>
              </w:rPr>
              <w:t>in fact had no lawful business to pursue</w:t>
            </w:r>
            <w:r>
              <w:rPr>
                <w:rFonts w:ascii="Arial" w:eastAsia="Arial" w:hAnsi="Arial" w:cs="Arial"/>
                <w:color w:val="000000"/>
                <w:sz w:val="20"/>
              </w:rPr>
              <w:t>.</w:t>
            </w:r>
          </w:p>
          <w:p w:rsidR="004729FB" w:rsidRDefault="004729FB" w:rsidP="00713DA5">
            <w:pPr>
              <w:spacing w:before="240" w:line="260" w:lineRule="atLeast"/>
              <w:ind w:left="60" w:right="360"/>
              <w:jc w:val="both"/>
            </w:pPr>
            <w:hyperlink r:id="rId2290" w:history="1">
              <w:r>
                <w:rPr>
                  <w:rFonts w:ascii="Arial" w:eastAsia="Arial" w:hAnsi="Arial" w:cs="Arial"/>
                  <w:i/>
                  <w:color w:val="0077CC"/>
                  <w:sz w:val="20"/>
                  <w:u w:val="single"/>
                </w:rPr>
                <w:t>Id. at 193, 278 A.2d at 442-43</w:t>
              </w:r>
            </w:hyperlink>
            <w:r>
              <w:rPr>
                <w:rFonts w:ascii="Arial" w:eastAsia="Arial" w:hAnsi="Arial" w:cs="Arial"/>
                <w:color w:val="000000"/>
                <w:sz w:val="20"/>
              </w:rPr>
              <w:t xml:space="preserve"> (emphasis added). The purpose of the statute is to "preserve the security of the places designated, during hours when they are regularly closed, against individuals who remain there after notice, without any lawful purpose." </w:t>
            </w:r>
            <w:hyperlink r:id="rId2291" w:history="1">
              <w:r>
                <w:rPr>
                  <w:rFonts w:ascii="Arial" w:eastAsia="Arial" w:hAnsi="Arial" w:cs="Arial"/>
                  <w:i/>
                  <w:color w:val="0077CC"/>
                  <w:sz w:val="20"/>
                  <w:u w:val="single"/>
                </w:rPr>
                <w:t>Id. at 193, 278 A.2d at 443.</w:t>
              </w:r>
            </w:hyperlink>
            <w:r>
              <w:rPr>
                <w:rFonts w:ascii="Arial" w:eastAsia="Arial" w:hAnsi="Arial" w:cs="Arial"/>
                <w:color w:val="000000"/>
                <w:sz w:val="20"/>
              </w:rPr>
              <w:t xml:space="preserve"> Any constitutionally protected activity is considered "lawful business" within the meaning of the statute. </w:t>
            </w:r>
            <w:hyperlink r:id="rId2292" w:history="1">
              <w:r>
                <w:rPr>
                  <w:rFonts w:ascii="Arial" w:eastAsia="Arial" w:hAnsi="Arial" w:cs="Arial"/>
                  <w:i/>
                  <w:color w:val="0077CC"/>
                  <w:sz w:val="20"/>
                  <w:u w:val="single"/>
                </w:rPr>
                <w:t>Id. at 192, 278 A.2d at 442.</w:t>
              </w:r>
            </w:hyperlink>
            <w:r>
              <w:rPr>
                <w:rFonts w:ascii="Arial" w:eastAsia="Arial" w:hAnsi="Arial" w:cs="Arial"/>
                <w:color w:val="000000"/>
                <w:sz w:val="20"/>
              </w:rPr>
              <w:t xml:space="preserve"> "[A person] can only be found to have violated [CRIM. LAW I § 6-409] if (1) he entered onto the premises of the [public </w:t>
            </w:r>
            <w:r>
              <w:rPr>
                <w:rFonts w:ascii="Arial" w:eastAsia="Arial" w:hAnsi="Arial" w:cs="Arial"/>
                <w:color w:val="000000"/>
                <w:sz w:val="20"/>
              </w:rPr>
              <w:lastRenderedPageBreak/>
              <w:t xml:space="preserve">place] after having been denied access as specified in the statute, or (2) he refused to leave the [public] premises after being requested to do so by an authorized official." </w:t>
            </w:r>
            <w:r>
              <w:rPr>
                <w:rFonts w:ascii="Arial" w:eastAsia="Arial" w:hAnsi="Arial" w:cs="Arial"/>
                <w:i/>
                <w:color w:val="000000"/>
                <w:sz w:val="20"/>
              </w:rPr>
              <w:t xml:space="preserve">In re Appeal No. 631 (77) from </w:t>
            </w:r>
            <w:hyperlink r:id="rId2293" w:history="1">
              <w:r>
                <w:rPr>
                  <w:rFonts w:ascii="Arial" w:eastAsia="Arial" w:hAnsi="Arial" w:cs="Arial"/>
                  <w:i/>
                  <w:color w:val="0077CC"/>
                  <w:sz w:val="20"/>
                  <w:u w:val="single"/>
                </w:rPr>
                <w:t>District Court, 282 Md. 223, 228-29, 383 A.2d 684, 686-87 (1978).</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6" style="position:absolute;left:0;text-align:left;z-index:2520289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294"/>
          <w:headerReference w:type="default" r:id="rId2295"/>
          <w:footerReference w:type="even" r:id="rId2296"/>
          <w:footerReference w:type="default" r:id="rId2297"/>
          <w:headerReference w:type="first" r:id="rId2298"/>
          <w:footerReference w:type="first" r:id="rId2299"/>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7" name="Picture 13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300" w:history="1">
        <w:r>
          <w:rPr>
            <w:rFonts w:ascii="Arial" w:eastAsia="Arial" w:hAnsi="Arial" w:cs="Arial"/>
            <w:b/>
            <w:bCs/>
            <w:i/>
            <w:color w:val="0077CC"/>
            <w:kern w:val="32"/>
            <w:sz w:val="28"/>
            <w:szCs w:val="32"/>
            <w:u w:val="single"/>
          </w:rPr>
          <w:t>MPJI-Cr 4:33.2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TRESPASS--PUBLIC PROPERTY DURING BUSINESS HOURS</w:t>
      </w:r>
    </w:p>
    <w:p w:rsidR="004729FB" w:rsidRDefault="004729FB" w:rsidP="004729FB">
      <w:pPr>
        <w:keepNext/>
        <w:spacing w:before="240" w:line="340" w:lineRule="atLeast"/>
      </w:pPr>
      <w:r>
        <w:br/>
      </w:r>
      <w:r>
        <w:rPr>
          <w:rFonts w:ascii="Arial" w:eastAsia="Arial" w:hAnsi="Arial" w:cs="Arial"/>
          <w:b/>
          <w:color w:val="000000"/>
          <w:sz w:val="28"/>
        </w:rPr>
        <w:t>4:33.2Trespass--Public Property During Business Hours</w:t>
      </w:r>
    </w:p>
    <w:p w:rsidR="004729FB" w:rsidRDefault="004729FB" w:rsidP="004729FB">
      <w:pPr>
        <w:spacing w:line="60" w:lineRule="exact"/>
      </w:pPr>
      <w:r>
        <w:pict>
          <v:line id="_x0000_s1387" style="position:absolute;z-index:25201971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trespass. In order to convict the defendant of trespass,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requested to leave [a public building] [the grounds of a public building];</w:t>
      </w:r>
    </w:p>
    <w:p w:rsidR="004729FB" w:rsidRDefault="004729FB" w:rsidP="004729FB">
      <w:pPr>
        <w:spacing w:before="200" w:line="260" w:lineRule="atLeast"/>
        <w:ind w:left="400"/>
        <w:jc w:val="both"/>
      </w:pPr>
      <w:r>
        <w:rPr>
          <w:rFonts w:ascii="Arial" w:eastAsia="Arial" w:hAnsi="Arial" w:cs="Arial"/>
          <w:b/>
          <w:color w:val="000000"/>
          <w:sz w:val="20"/>
        </w:rPr>
        <w:t>(2) that the request to leave was made by an authorized employee of the public agency or institution during normal business hours;</w:t>
      </w:r>
    </w:p>
    <w:p w:rsidR="004729FB" w:rsidRDefault="004729FB" w:rsidP="004729FB">
      <w:pPr>
        <w:spacing w:before="200" w:line="260" w:lineRule="atLeast"/>
        <w:ind w:left="400"/>
        <w:jc w:val="both"/>
      </w:pPr>
      <w:r>
        <w:rPr>
          <w:rFonts w:ascii="Arial" w:eastAsia="Arial" w:hAnsi="Arial" w:cs="Arial"/>
          <w:b/>
          <w:color w:val="000000"/>
          <w:sz w:val="20"/>
        </w:rPr>
        <w:t>(3) the defendant refused to leave the [building] [grounds]; and</w:t>
      </w:r>
    </w:p>
    <w:p w:rsidR="004729FB" w:rsidRDefault="004729FB" w:rsidP="004729FB">
      <w:pPr>
        <w:spacing w:before="200" w:line="260" w:lineRule="atLeast"/>
        <w:ind w:left="400"/>
        <w:jc w:val="both"/>
      </w:pPr>
      <w:r>
        <w:rPr>
          <w:rFonts w:ascii="Arial" w:eastAsia="Arial" w:hAnsi="Arial" w:cs="Arial"/>
          <w:b/>
          <w:color w:val="000000"/>
          <w:sz w:val="20"/>
        </w:rPr>
        <w:t>(4) the defendant [had no lawful business to pursue at the time] [was acting in a manner disruptive and disturbing to the normal business of the government agency that operated the building or grounds.]</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 xml:space="preserve">COMMENT </w:t>
            </w:r>
            <w:r>
              <w:rPr>
                <w:rFonts w:ascii="Arial" w:eastAsia="Arial" w:hAnsi="Arial" w:cs="Arial"/>
                <w:i/>
                <w:color w:val="000000"/>
                <w:sz w:val="20"/>
              </w:rPr>
              <w:t>See</w:t>
            </w:r>
            <w:r>
              <w:rPr>
                <w:rFonts w:ascii="Arial" w:eastAsia="Arial" w:hAnsi="Arial" w:cs="Arial"/>
                <w:color w:val="000000"/>
                <w:sz w:val="20"/>
              </w:rPr>
              <w:t xml:space="preserve"> Comment to MPJI-Cr 4:33.1 (Trespass--Public Property After Business Hours).</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7" style="position:absolute;left:0;text-align:left;z-index:2520299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6" name="Picture 13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307" w:history="1">
        <w:r>
          <w:rPr>
            <w:rFonts w:ascii="Arial" w:eastAsia="Arial" w:hAnsi="Arial" w:cs="Arial"/>
            <w:b/>
            <w:bCs/>
            <w:i/>
            <w:color w:val="0077CC"/>
            <w:kern w:val="32"/>
            <w:sz w:val="28"/>
            <w:szCs w:val="32"/>
            <w:u w:val="single"/>
          </w:rPr>
          <w:t>MPJI-Cr 4:34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UNAUTHORIZED REMOVAL OF PROPERTY</w:t>
      </w:r>
    </w:p>
    <w:p w:rsidR="004729FB" w:rsidRDefault="004729FB" w:rsidP="004729FB">
      <w:pPr>
        <w:keepNext/>
        <w:spacing w:before="240" w:line="340" w:lineRule="atLeast"/>
      </w:pPr>
      <w:r>
        <w:br/>
      </w:r>
      <w:r>
        <w:rPr>
          <w:rFonts w:ascii="Arial" w:eastAsia="Arial" w:hAnsi="Arial" w:cs="Arial"/>
          <w:b/>
          <w:color w:val="000000"/>
          <w:sz w:val="28"/>
        </w:rPr>
        <w:t>4:34Unauthorized Removal of Property</w:t>
      </w:r>
    </w:p>
    <w:p w:rsidR="004729FB" w:rsidRDefault="004729FB" w:rsidP="004729FB">
      <w:pPr>
        <w:spacing w:line="60" w:lineRule="exact"/>
      </w:pPr>
      <w:r>
        <w:pict>
          <v:line id="_x0000_s1388" style="position:absolute;z-index:25202073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unauthorized removal of property. In order to convict the defendant of unauthorized removal of property,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and willfully took and carried away property of another from [the premises of another] [the custody of another] [the use of another] [the use of another's agent] [a governmental unit]; and</w:t>
      </w:r>
    </w:p>
    <w:p w:rsidR="004729FB" w:rsidRDefault="004729FB" w:rsidP="004729FB">
      <w:pPr>
        <w:spacing w:before="200" w:line="260" w:lineRule="atLeast"/>
        <w:ind w:left="400"/>
        <w:jc w:val="both"/>
      </w:pPr>
      <w:r>
        <w:rPr>
          <w:rFonts w:ascii="Arial" w:eastAsia="Arial" w:hAnsi="Arial" w:cs="Arial"/>
          <w:b/>
          <w:color w:val="000000"/>
          <w:sz w:val="20"/>
        </w:rPr>
        <w:t>(2) defendant did so without permission of the owner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"Property" includes [a vehicle] [a motor vehicle] [a vessel] [livestock]</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"Owner" means a person, other than the defendant, who has possession of, or any other interest in, the property and without whose consent the defendant has no authority to take and carry away the property</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4:32.4 (Theft of a Motor Vehicle) for the overlap of, and differences between, CRIM. LAW I §§ 7-203 and 7-105.</w:t>
            </w:r>
          </w:p>
          <w:p w:rsidR="004729FB" w:rsidRDefault="004729FB" w:rsidP="00713DA5">
            <w:pPr>
              <w:spacing w:before="240" w:line="260" w:lineRule="atLeast"/>
              <w:ind w:left="60" w:right="360"/>
              <w:jc w:val="both"/>
            </w:pPr>
            <w:r>
              <w:rPr>
                <w:rFonts w:ascii="Arial" w:eastAsia="Arial" w:hAnsi="Arial" w:cs="Arial"/>
                <w:color w:val="000000"/>
                <w:sz w:val="20"/>
              </w:rPr>
              <w:t xml:space="preserve">The mens rea for unauthorized removal of property under § 7-203 is knowledge that the removal is unauthorized. This "knowledge may be inferred from facts and circumstances such as would cause a reasonable man of ordinary intelligence, observation and caution to believe that the property had been unlawfully taken." </w:t>
            </w:r>
            <w:hyperlink r:id="rId2308" w:history="1">
              <w:r>
                <w:rPr>
                  <w:rFonts w:ascii="Arial" w:eastAsia="Arial" w:hAnsi="Arial" w:cs="Arial"/>
                  <w:i/>
                  <w:color w:val="0077CC"/>
                  <w:sz w:val="20"/>
                  <w:u w:val="single"/>
                </w:rPr>
                <w:t>Anello v. State, 201 Md. 164, 168, 93 A.2d 71, 73 (1952);</w:t>
              </w:r>
            </w:hyperlink>
            <w:r>
              <w:rPr>
                <w:rFonts w:ascii="Arial" w:eastAsia="Arial" w:hAnsi="Arial" w:cs="Arial"/>
                <w:color w:val="000000"/>
                <w:sz w:val="20"/>
              </w:rPr>
              <w:t xml:space="preserve"> </w:t>
            </w:r>
            <w:r>
              <w:rPr>
                <w:rFonts w:ascii="Arial" w:eastAsia="Arial" w:hAnsi="Arial" w:cs="Arial"/>
                <w:i/>
                <w:color w:val="000000"/>
                <w:sz w:val="20"/>
              </w:rPr>
              <w:t xml:space="preserve">accord </w:t>
            </w:r>
            <w:hyperlink r:id="rId2309" w:history="1">
              <w:r>
                <w:rPr>
                  <w:rFonts w:ascii="Arial" w:eastAsia="Arial" w:hAnsi="Arial" w:cs="Arial"/>
                  <w:i/>
                  <w:color w:val="0077CC"/>
                  <w:sz w:val="20"/>
                  <w:u w:val="single"/>
                </w:rPr>
                <w:t>Curry v. State, 235 Md. 378, 381, 201 A.2d 792, 793 (1964)</w:t>
              </w:r>
            </w:hyperlink>
            <w:r>
              <w:rPr>
                <w:rFonts w:ascii="Arial" w:eastAsia="Arial" w:hAnsi="Arial" w:cs="Arial"/>
                <w:color w:val="000000"/>
                <w:sz w:val="20"/>
              </w:rPr>
              <w:t xml:space="preserve"> (Court of Appeals upheld the trial judge's finding that "these boys were using the car without the authorization of the owner and… they were using the car under such circumstances that [they] either knew or should have known the car was stolen."),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379 U.S. 1004 (1965).</w:t>
            </w:r>
            <w:r>
              <w:rPr>
                <w:rFonts w:ascii="Arial" w:eastAsia="Arial" w:hAnsi="Arial" w:cs="Arial"/>
                <w:color w:val="000000"/>
                <w:sz w:val="20"/>
              </w:rPr>
              <w:t xml:space="preserve"> In </w:t>
            </w:r>
            <w:hyperlink r:id="rId2310" w:history="1">
              <w:r>
                <w:rPr>
                  <w:rFonts w:ascii="Arial" w:eastAsia="Arial" w:hAnsi="Arial" w:cs="Arial"/>
                  <w:i/>
                  <w:color w:val="0077CC"/>
                  <w:sz w:val="20"/>
                  <w:u w:val="single"/>
                </w:rPr>
                <w:t>In re Landon G., 214 Md. App. 483, 78 A.3d 431 (2013),</w:t>
              </w:r>
            </w:hyperlink>
            <w:r>
              <w:rPr>
                <w:rFonts w:ascii="Arial" w:eastAsia="Arial" w:hAnsi="Arial" w:cs="Arial"/>
                <w:color w:val="000000"/>
                <w:sz w:val="20"/>
              </w:rPr>
              <w:t xml:space="preserve"> the Court found sufficient evidence of knowledge that the removal is unauthorized to support a conviction under CRIM. LAW I § 7-203. Appellant was picked up as a passenger in a car after the driver had unlawfully taken the car. Appellant denied that he knew the car had been taken without authorization. The Court said:</w:t>
            </w:r>
          </w:p>
          <w:p w:rsidR="004729FB" w:rsidRDefault="004729FB" w:rsidP="00713DA5">
            <w:pPr>
              <w:spacing w:before="60" w:line="260" w:lineRule="atLeast"/>
              <w:ind w:left="460" w:right="360"/>
              <w:jc w:val="both"/>
            </w:pPr>
            <w:r>
              <w:rPr>
                <w:rFonts w:ascii="Arial" w:eastAsia="Arial" w:hAnsi="Arial" w:cs="Arial"/>
                <w:color w:val="000000"/>
                <w:sz w:val="20"/>
              </w:rPr>
              <w:t xml:space="preserve">[T]here is no dispute that appellant participated, as a passenger, in the continued use of the stolen vehicle after its initial taking… [T]here was sufficient evidence for the trial court, as fact-finder, to find that appellant believed that [the victim's] Honda probably had been stolen… [There was evidence] that appellant knew that Patrick, the driver, did not own a car, much less a late-model car, that Patrick's </w:t>
            </w:r>
            <w:r>
              <w:rPr>
                <w:rFonts w:ascii="Arial" w:eastAsia="Arial" w:hAnsi="Arial" w:cs="Arial"/>
                <w:color w:val="000000"/>
                <w:sz w:val="20"/>
              </w:rPr>
              <w:lastRenderedPageBreak/>
              <w:t>explanation of how he came to posses the vehicle prompted appellant to become suspicious and directly ask Patrick whether the car was stolen, that Patrick's explanation of how he came to possess the vehicle and why it was not stolen was found by the trial judge to be a "major fairy tale," and that when confronted by the police, in a marked patrol car with emergency lights on, appellant, Patrick, and three other occupants of the vehicle exited the vehicle at the same time and fled the police to avoid apprehension. We conclude that this same evidence is sufficient to support a finding that appellant knew, or should have known, that the vehicle was stolen. Accordingly, appellant had the requisite guilty knowledge to support his involvement in the crime of unauthorized use of a motor vehicle under C.L. § 7-203.</w:t>
            </w:r>
          </w:p>
          <w:p w:rsidR="004729FB" w:rsidRDefault="004729FB" w:rsidP="00713DA5">
            <w:pPr>
              <w:spacing w:before="240" w:line="260" w:lineRule="atLeast"/>
              <w:ind w:left="60" w:right="360"/>
              <w:jc w:val="both"/>
            </w:pPr>
            <w:hyperlink r:id="rId2311" w:history="1">
              <w:r>
                <w:rPr>
                  <w:rFonts w:ascii="Arial" w:eastAsia="Arial" w:hAnsi="Arial" w:cs="Arial"/>
                  <w:i/>
                  <w:color w:val="0077CC"/>
                  <w:sz w:val="20"/>
                  <w:u w:val="single"/>
                </w:rPr>
                <w:t>In re Landon G., 214 Md. App. at 506, 78 A.3d at 445.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To convict under § 7-203, the state need not prove that "the accused was involved in the original taking of the property." </w:t>
            </w:r>
            <w:hyperlink r:id="rId2312" w:history="1">
              <w:r>
                <w:rPr>
                  <w:rFonts w:ascii="Arial" w:eastAsia="Arial" w:hAnsi="Arial" w:cs="Arial"/>
                  <w:i/>
                  <w:color w:val="0077CC"/>
                  <w:sz w:val="20"/>
                  <w:u w:val="single"/>
                </w:rPr>
                <w:t>In re Landon G., 214 Md. App. at 506, 78 A.3d at 445;</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313" w:history="1">
              <w:r>
                <w:rPr>
                  <w:rFonts w:ascii="Arial" w:eastAsia="Arial" w:hAnsi="Arial" w:cs="Arial"/>
                  <w:i/>
                  <w:color w:val="0077CC"/>
                  <w:sz w:val="20"/>
                  <w:u w:val="single"/>
                </w:rPr>
                <w:t>In re Levon A., 361 Md. 626, 638, 762 A.2d 572, 578 (2000)</w:t>
              </w:r>
            </w:hyperlink>
            <w:r>
              <w:rPr>
                <w:rFonts w:ascii="Arial" w:eastAsia="Arial" w:hAnsi="Arial" w:cs="Arial"/>
                <w:color w:val="000000"/>
                <w:sz w:val="20"/>
              </w:rPr>
              <w:t xml:space="preserve"> ("A person is guilty of unauthorized use of a motor vehicle if, knowing that the car has been stolen, the person participates in the continued use of it after the initial taking, as that continued participation manifests an intent to deprive the owner of possession of the vehicle."); </w:t>
            </w:r>
            <w:hyperlink r:id="rId2314" w:history="1">
              <w:r>
                <w:rPr>
                  <w:rFonts w:ascii="Arial" w:eastAsia="Arial" w:hAnsi="Arial" w:cs="Arial"/>
                  <w:i/>
                  <w:color w:val="0077CC"/>
                  <w:sz w:val="20"/>
                  <w:u w:val="single"/>
                </w:rPr>
                <w:t>Anello, 201 Md. at 167-68, 93 A.2d at 72</w:t>
              </w:r>
            </w:hyperlink>
            <w:r>
              <w:rPr>
                <w:rFonts w:ascii="Arial" w:eastAsia="Arial" w:hAnsi="Arial" w:cs="Arial"/>
                <w:color w:val="000000"/>
                <w:sz w:val="20"/>
              </w:rPr>
              <w:t xml:space="preserve"> ("participation in the continued use of the car after the original taking" is sufficient to render one guilty of the crime); </w:t>
            </w:r>
            <w:hyperlink r:id="rId2315" w:history="1">
              <w:r>
                <w:rPr>
                  <w:rFonts w:ascii="Arial" w:eastAsia="Arial" w:hAnsi="Arial" w:cs="Arial"/>
                  <w:i/>
                  <w:color w:val="0077CC"/>
                  <w:sz w:val="20"/>
                  <w:u w:val="single"/>
                </w:rPr>
                <w:t>Johnson v. State, 2 Md. App. 486, 490, 236 A.2d 41, 43 (1967)</w:t>
              </w:r>
            </w:hyperlink>
            <w:r>
              <w:rPr>
                <w:rFonts w:ascii="Arial" w:eastAsia="Arial" w:hAnsi="Arial" w:cs="Arial"/>
                <w:color w:val="000000"/>
                <w:sz w:val="20"/>
              </w:rPr>
              <w:t xml:space="preserve"> (stating that "in order to convict for larceny of use it is not essential to prove that the accused took the property from the owner").</w:t>
            </w:r>
          </w:p>
          <w:p w:rsidR="004729FB" w:rsidRDefault="004729FB" w:rsidP="00713DA5">
            <w:pPr>
              <w:spacing w:before="240" w:line="260" w:lineRule="atLeast"/>
              <w:ind w:left="60" w:right="360"/>
              <w:jc w:val="both"/>
            </w:pPr>
            <w:r>
              <w:rPr>
                <w:rFonts w:ascii="Arial" w:eastAsia="Arial" w:hAnsi="Arial" w:cs="Arial"/>
                <w:color w:val="000000"/>
                <w:sz w:val="20"/>
              </w:rPr>
              <w:t xml:space="preserve">Nor must the state prove that "a defendant, through his or her unauthorized use of the [property], intended to permanently deprive the owner of its use." </w:t>
            </w:r>
            <w:hyperlink r:id="rId2316" w:history="1">
              <w:r>
                <w:rPr>
                  <w:rFonts w:ascii="Arial" w:eastAsia="Arial" w:hAnsi="Arial" w:cs="Arial"/>
                  <w:i/>
                  <w:color w:val="0077CC"/>
                  <w:sz w:val="20"/>
                  <w:u w:val="single"/>
                </w:rPr>
                <w:t>In re Landon G., 214 Md. App. 483, 505, 78 A.3d 431, 444.</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317" w:history="1">
              <w:r>
                <w:rPr>
                  <w:rFonts w:ascii="Arial" w:eastAsia="Arial" w:hAnsi="Arial" w:cs="Arial"/>
                  <w:i/>
                  <w:color w:val="0077CC"/>
                  <w:sz w:val="20"/>
                  <w:u w:val="single"/>
                </w:rPr>
                <w:t>In re Lakeysha P., 106 Md. App. 401, 415, 665 A.2d 264, 271 (1995),</w:t>
              </w:r>
            </w:hyperlink>
            <w:r>
              <w:rPr>
                <w:rFonts w:ascii="Arial" w:eastAsia="Arial" w:hAnsi="Arial" w:cs="Arial"/>
                <w:color w:val="000000"/>
                <w:sz w:val="20"/>
              </w:rPr>
              <w:t xml:space="preserve"> </w:t>
            </w:r>
            <w:r>
              <w:rPr>
                <w:rFonts w:ascii="Arial" w:eastAsia="Arial" w:hAnsi="Arial" w:cs="Arial"/>
                <w:i/>
                <w:color w:val="000000"/>
                <w:sz w:val="20"/>
              </w:rPr>
              <w:t>cert. dismissed</w:t>
            </w:r>
            <w:r>
              <w:rPr>
                <w:rFonts w:ascii="Arial" w:eastAsia="Arial" w:hAnsi="Arial" w:cs="Arial"/>
                <w:color w:val="000000"/>
                <w:sz w:val="20"/>
              </w:rPr>
              <w:t xml:space="preserve">, </w:t>
            </w:r>
            <w:hyperlink r:id="rId2318" w:history="1">
              <w:r>
                <w:rPr>
                  <w:rFonts w:ascii="Arial" w:eastAsia="Arial" w:hAnsi="Arial" w:cs="Arial"/>
                  <w:i/>
                  <w:color w:val="0077CC"/>
                  <w:sz w:val="20"/>
                  <w:u w:val="single"/>
                </w:rPr>
                <w:t>343 Md. 627, 684 A.2d 5 (1996)</w:t>
              </w:r>
            </w:hyperlink>
            <w:r>
              <w:rPr>
                <w:rFonts w:ascii="Arial" w:eastAsia="Arial" w:hAnsi="Arial" w:cs="Arial"/>
                <w:color w:val="000000"/>
                <w:sz w:val="20"/>
              </w:rPr>
              <w:t xml:space="preserve"> (There is no "special mens rea with respect to the duration of the intended deprivation.").</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8" style="position:absolute;left:0;text-align:left;z-index:252030976;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5" name="Picture 13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325" w:history="1">
        <w:r>
          <w:rPr>
            <w:rFonts w:ascii="Arial" w:eastAsia="Arial" w:hAnsi="Arial" w:cs="Arial"/>
            <w:b/>
            <w:bCs/>
            <w:i/>
            <w:color w:val="0077CC"/>
            <w:kern w:val="32"/>
            <w:sz w:val="28"/>
            <w:szCs w:val="32"/>
            <w:u w:val="single"/>
          </w:rPr>
          <w:t>MPJI-Cr 4:33.3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TRESPASS--PRIVATE PROPERTY</w:t>
      </w:r>
    </w:p>
    <w:p w:rsidR="004729FB" w:rsidRDefault="004729FB" w:rsidP="004729FB">
      <w:pPr>
        <w:keepNext/>
        <w:spacing w:before="240" w:line="340" w:lineRule="atLeast"/>
      </w:pPr>
      <w:r>
        <w:br/>
      </w:r>
      <w:r>
        <w:rPr>
          <w:rFonts w:ascii="Arial" w:eastAsia="Arial" w:hAnsi="Arial" w:cs="Arial"/>
          <w:b/>
          <w:color w:val="000000"/>
          <w:sz w:val="28"/>
        </w:rPr>
        <w:t>4:33.3Trespass--Private Property</w:t>
      </w:r>
    </w:p>
    <w:p w:rsidR="004729FB" w:rsidRDefault="004729FB" w:rsidP="004729FB">
      <w:pPr>
        <w:spacing w:line="60" w:lineRule="exact"/>
      </w:pPr>
      <w:r>
        <w:pict>
          <v:line id="_x0000_s1389" style="position:absolute;z-index:25202176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 6-403(a): TRESPASS--WANTON ENTRY ON PRIVATE PROPERTY</w:t>
      </w:r>
    </w:p>
    <w:p w:rsidR="004729FB" w:rsidRDefault="004729FB" w:rsidP="004729FB">
      <w:pPr>
        <w:spacing w:before="200" w:line="260" w:lineRule="atLeast"/>
        <w:jc w:val="both"/>
      </w:pPr>
      <w:r>
        <w:rPr>
          <w:rFonts w:ascii="Arial" w:eastAsia="Arial" w:hAnsi="Arial" w:cs="Arial"/>
          <w:b/>
          <w:color w:val="000000"/>
          <w:sz w:val="20"/>
        </w:rPr>
        <w:t>The defendant is charged with the crime of trespass. In order to convict the defendant of trespass,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notified not to [enter] [cross over] the private property [or board the boat/other marine vessel] of another;</w:t>
      </w:r>
    </w:p>
    <w:p w:rsidR="004729FB" w:rsidRDefault="004729FB" w:rsidP="004729FB">
      <w:pPr>
        <w:spacing w:before="200" w:line="260" w:lineRule="atLeast"/>
        <w:ind w:left="400"/>
        <w:jc w:val="both"/>
      </w:pPr>
      <w:r>
        <w:rPr>
          <w:rFonts w:ascii="Arial" w:eastAsia="Arial" w:hAnsi="Arial" w:cs="Arial"/>
          <w:b/>
          <w:color w:val="000000"/>
          <w:sz w:val="20"/>
        </w:rPr>
        <w:t>2. that the notice was given by the [owner] [owner's agent] of the [private property] [boat] [marine vessel]; [and]</w:t>
      </w:r>
    </w:p>
    <w:p w:rsidR="004729FB" w:rsidRDefault="004729FB" w:rsidP="004729FB">
      <w:pPr>
        <w:spacing w:before="200" w:line="260" w:lineRule="atLeast"/>
        <w:ind w:left="400"/>
        <w:jc w:val="both"/>
      </w:pPr>
      <w:r>
        <w:rPr>
          <w:rFonts w:ascii="Arial" w:eastAsia="Arial" w:hAnsi="Arial" w:cs="Arial"/>
          <w:b/>
          <w:color w:val="000000"/>
          <w:sz w:val="20"/>
        </w:rPr>
        <w:t>3. that the defendant wantonly [entered] [crossed over] the private property [or boarded the boat/other marine vessel] of another without permission[.] [; and]</w:t>
      </w:r>
    </w:p>
    <w:p w:rsidR="004729FB" w:rsidRDefault="004729FB" w:rsidP="004729FB">
      <w:pPr>
        <w:spacing w:before="200" w:line="260" w:lineRule="atLeast"/>
        <w:ind w:left="400"/>
        <w:jc w:val="both"/>
      </w:pPr>
      <w:r>
        <w:rPr>
          <w:rFonts w:ascii="Arial" w:eastAsia="Arial" w:hAnsi="Arial" w:cs="Arial"/>
          <w:b/>
          <w:color w:val="000000"/>
          <w:sz w:val="20"/>
        </w:rPr>
        <w:t>[4. that the defendant did not enter or cross the private property under a good faith claim of right or ownership.] "Wanton" means characterized by extreme recklessness and utter disregard for the rights of others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 6-403(b): TRESPASS--REMAINING ON PRIVATE PROPERTY</w:t>
      </w:r>
    </w:p>
    <w:p w:rsidR="004729FB" w:rsidRDefault="004729FB" w:rsidP="004729FB">
      <w:pPr>
        <w:spacing w:before="200" w:line="260" w:lineRule="atLeast"/>
        <w:jc w:val="both"/>
      </w:pPr>
      <w:r>
        <w:rPr>
          <w:rFonts w:ascii="Arial" w:eastAsia="Arial" w:hAnsi="Arial" w:cs="Arial"/>
          <w:b/>
          <w:color w:val="000000"/>
          <w:sz w:val="20"/>
        </w:rPr>
        <w:t>The defendant is charged with the crime of trespass. In order to convict the defendant of trespass,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was notified not to remain on the [private property] [boat] [other marine vessel] of another;</w:t>
      </w:r>
    </w:p>
    <w:p w:rsidR="004729FB" w:rsidRDefault="004729FB" w:rsidP="004729FB">
      <w:pPr>
        <w:spacing w:before="200" w:line="260" w:lineRule="atLeast"/>
        <w:ind w:left="400"/>
        <w:jc w:val="both"/>
      </w:pPr>
      <w:r>
        <w:rPr>
          <w:rFonts w:ascii="Arial" w:eastAsia="Arial" w:hAnsi="Arial" w:cs="Arial"/>
          <w:b/>
          <w:color w:val="000000"/>
          <w:sz w:val="20"/>
        </w:rPr>
        <w:t>2. that the notice was given by the [owner] [owner's agent] of the [private property] [boat] [marine vessel]; and</w:t>
      </w:r>
    </w:p>
    <w:p w:rsidR="004729FB" w:rsidRDefault="004729FB" w:rsidP="004729FB">
      <w:pPr>
        <w:spacing w:before="200" w:line="260" w:lineRule="atLeast"/>
        <w:ind w:left="400"/>
        <w:jc w:val="both"/>
      </w:pPr>
      <w:r>
        <w:rPr>
          <w:rFonts w:ascii="Arial" w:eastAsia="Arial" w:hAnsi="Arial" w:cs="Arial"/>
          <w:b/>
          <w:color w:val="000000"/>
          <w:sz w:val="20"/>
        </w:rPr>
        <w:t>3. that the defendant remained on the [private property] [boat] [other marine vessel] of another without permission</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lastRenderedPageBreak/>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This instruction implements CRIM. LAW I § 6-403 and tracks the text of the statute. Thus, for a prosecution based on </w:t>
            </w:r>
            <w:r>
              <w:rPr>
                <w:rFonts w:ascii="Arial" w:eastAsia="Arial" w:hAnsi="Arial" w:cs="Arial"/>
                <w:i/>
                <w:color w:val="000000"/>
                <w:sz w:val="20"/>
              </w:rPr>
              <w:t>entry</w:t>
            </w:r>
            <w:r>
              <w:rPr>
                <w:rFonts w:ascii="Arial" w:eastAsia="Arial" w:hAnsi="Arial" w:cs="Arial"/>
                <w:color w:val="000000"/>
                <w:sz w:val="20"/>
              </w:rPr>
              <w:t xml:space="preserve"> on private property, the State must prove both that the defendant had been notified not to enter and that the defendant had no "good faith" claim to enter. </w:t>
            </w:r>
            <w:r>
              <w:rPr>
                <w:rFonts w:ascii="Arial" w:eastAsia="Arial" w:hAnsi="Arial" w:cs="Arial"/>
                <w:i/>
                <w:color w:val="000000"/>
                <w:sz w:val="20"/>
              </w:rPr>
              <w:t>See</w:t>
            </w:r>
            <w:r>
              <w:rPr>
                <w:rFonts w:ascii="Arial" w:eastAsia="Arial" w:hAnsi="Arial" w:cs="Arial"/>
                <w:color w:val="000000"/>
                <w:sz w:val="20"/>
              </w:rPr>
              <w:t xml:space="preserve"> CRIM. LAW I § 6-403(a) and MPJI-Cr 4.33.3(A).</w:t>
            </w:r>
          </w:p>
          <w:p w:rsidR="004729FB" w:rsidRDefault="004729FB" w:rsidP="00713DA5">
            <w:pPr>
              <w:spacing w:before="200" w:line="260" w:lineRule="atLeast"/>
              <w:ind w:left="60" w:right="360"/>
              <w:jc w:val="both"/>
            </w:pPr>
            <w:r>
              <w:rPr>
                <w:rFonts w:ascii="Arial" w:eastAsia="Arial" w:hAnsi="Arial" w:cs="Arial"/>
                <w:color w:val="000000"/>
                <w:sz w:val="20"/>
              </w:rPr>
              <w:t xml:space="preserve">For a prosecution based on </w:t>
            </w:r>
            <w:r>
              <w:rPr>
                <w:rFonts w:ascii="Arial" w:eastAsia="Arial" w:hAnsi="Arial" w:cs="Arial"/>
                <w:i/>
                <w:color w:val="000000"/>
                <w:sz w:val="20"/>
              </w:rPr>
              <w:t>remaining on private property</w:t>
            </w:r>
            <w:r>
              <w:rPr>
                <w:rFonts w:ascii="Arial" w:eastAsia="Arial" w:hAnsi="Arial" w:cs="Arial"/>
                <w:color w:val="000000"/>
                <w:sz w:val="20"/>
              </w:rPr>
              <w:t xml:space="preserve">, the State must prove only that the person was notified by the owner or owner's agent not to remain on the property. There is, under the statute, no good faith claim to remain on the property. </w:t>
            </w:r>
            <w:r>
              <w:rPr>
                <w:rFonts w:ascii="Arial" w:eastAsia="Arial" w:hAnsi="Arial" w:cs="Arial"/>
                <w:i/>
                <w:color w:val="000000"/>
                <w:sz w:val="20"/>
              </w:rPr>
              <w:t>See</w:t>
            </w:r>
            <w:r>
              <w:rPr>
                <w:rFonts w:ascii="Arial" w:eastAsia="Arial" w:hAnsi="Arial" w:cs="Arial"/>
                <w:color w:val="000000"/>
                <w:sz w:val="20"/>
              </w:rPr>
              <w:t xml:space="preserve"> CRIM. LAW I § 6-403(b) and MPJI-Cr 4.33.3(B).</w:t>
            </w:r>
          </w:p>
          <w:p w:rsidR="004729FB" w:rsidRDefault="004729FB" w:rsidP="00713DA5">
            <w:pPr>
              <w:spacing w:before="240" w:line="260" w:lineRule="atLeast"/>
              <w:ind w:left="60" w:right="360"/>
              <w:jc w:val="both"/>
            </w:pPr>
            <w:r>
              <w:rPr>
                <w:rFonts w:ascii="Arial" w:eastAsia="Arial" w:hAnsi="Arial" w:cs="Arial"/>
                <w:color w:val="000000"/>
                <w:sz w:val="20"/>
              </w:rPr>
              <w:t xml:space="preserve">The committee reviewed the case law in writing this instruction. </w:t>
            </w:r>
            <w:r>
              <w:rPr>
                <w:rFonts w:ascii="Arial" w:eastAsia="Arial" w:hAnsi="Arial" w:cs="Arial"/>
                <w:i/>
                <w:color w:val="000000"/>
                <w:sz w:val="20"/>
              </w:rPr>
              <w:t xml:space="preserve">See, e.g., </w:t>
            </w:r>
            <w:hyperlink r:id="rId2326" w:history="1">
              <w:r>
                <w:rPr>
                  <w:rFonts w:ascii="Arial" w:eastAsia="Arial" w:hAnsi="Arial" w:cs="Arial"/>
                  <w:i/>
                  <w:color w:val="0077CC"/>
                  <w:sz w:val="20"/>
                  <w:u w:val="single"/>
                </w:rPr>
                <w:t>In re Antoine M., 394 Md. 491, 907 A.2d 158 (2006);</w:t>
              </w:r>
            </w:hyperlink>
            <w:r>
              <w:rPr>
                <w:rFonts w:ascii="Arial" w:eastAsia="Arial" w:hAnsi="Arial" w:cs="Arial"/>
                <w:color w:val="000000"/>
                <w:sz w:val="20"/>
              </w:rPr>
              <w:t xml:space="preserve"> </w:t>
            </w:r>
            <w:hyperlink r:id="rId2327" w:history="1">
              <w:r>
                <w:rPr>
                  <w:rFonts w:ascii="Arial" w:eastAsia="Arial" w:hAnsi="Arial" w:cs="Arial"/>
                  <w:i/>
                  <w:color w:val="0077CC"/>
                  <w:sz w:val="20"/>
                  <w:u w:val="single"/>
                </w:rPr>
                <w:t>Warfield v. State, 315 Md. 474, 554 A.2d 1238 (1989);</w:t>
              </w:r>
            </w:hyperlink>
            <w:r>
              <w:rPr>
                <w:rFonts w:ascii="Arial" w:eastAsia="Arial" w:hAnsi="Arial" w:cs="Arial"/>
                <w:color w:val="000000"/>
                <w:sz w:val="20"/>
              </w:rPr>
              <w:t xml:space="preserve"> </w:t>
            </w:r>
            <w:hyperlink r:id="rId2328" w:history="1">
              <w:r>
                <w:rPr>
                  <w:rFonts w:ascii="Arial" w:eastAsia="Arial" w:hAnsi="Arial" w:cs="Arial"/>
                  <w:i/>
                  <w:color w:val="0077CC"/>
                  <w:sz w:val="20"/>
                  <w:u w:val="single"/>
                </w:rPr>
                <w:t>In re Jason Allen D., 127 Md. App. 456, 733 A.2d 351 (1999).</w:t>
              </w:r>
            </w:hyperlink>
            <w:r>
              <w:rPr>
                <w:rFonts w:ascii="Arial" w:eastAsia="Arial" w:hAnsi="Arial" w:cs="Arial"/>
                <w:color w:val="000000"/>
                <w:sz w:val="20"/>
              </w:rPr>
              <w:t xml:space="preserve"> Having reviewed these decisions, the committee concluded that the statutory text, and legislative intent that is manifest in that text, are the best guides of what § 6-403(a) and (b) mean, and we have based our instructions on this text and manifest legislative intent.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399" style="position:absolute;left:0;text-align:left;z-index:25203200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34" name="Picture 13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335" w:history="1">
        <w:r>
          <w:rPr>
            <w:rFonts w:ascii="Arial" w:eastAsia="Arial" w:hAnsi="Arial" w:cs="Arial"/>
            <w:b/>
            <w:bCs/>
            <w:i/>
            <w:color w:val="0077CC"/>
            <w:kern w:val="32"/>
            <w:sz w:val="28"/>
            <w:szCs w:val="32"/>
            <w:u w:val="single"/>
          </w:rPr>
          <w:t>MPJI-Cr 4:35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WEAPONS--CARRYING A DANGEROUS WEAPON OPENLY WITH INTENT TO INJURE</w:t>
      </w:r>
    </w:p>
    <w:p w:rsidR="004729FB" w:rsidRDefault="004729FB" w:rsidP="004729FB">
      <w:pPr>
        <w:keepNext/>
        <w:spacing w:before="240" w:line="340" w:lineRule="atLeast"/>
      </w:pPr>
      <w:r>
        <w:br/>
      </w:r>
      <w:r>
        <w:rPr>
          <w:rFonts w:ascii="Arial" w:eastAsia="Arial" w:hAnsi="Arial" w:cs="Arial"/>
          <w:b/>
          <w:color w:val="000000"/>
          <w:sz w:val="28"/>
        </w:rPr>
        <w:t>4:35Weapons--Carrying a Dangerous Weapon Openly With Intent to Injure</w:t>
      </w:r>
    </w:p>
    <w:p w:rsidR="004729FB" w:rsidRDefault="004729FB" w:rsidP="004729FB">
      <w:pPr>
        <w:spacing w:line="60" w:lineRule="exact"/>
      </w:pPr>
      <w:r>
        <w:pict>
          <v:line id="_x0000_s1390" style="position:absolute;z-index:25202278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PER SE WEAPON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carrying a dangerous weapon openly with the intent to injure another person.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wore or carried a dangerous weapon; and</w:t>
      </w:r>
    </w:p>
    <w:p w:rsidR="004729FB" w:rsidRDefault="004729FB" w:rsidP="004729FB">
      <w:pPr>
        <w:spacing w:before="200" w:line="260" w:lineRule="atLeast"/>
        <w:ind w:left="400"/>
        <w:jc w:val="both"/>
      </w:pPr>
      <w:r>
        <w:rPr>
          <w:rFonts w:ascii="Arial" w:eastAsia="Arial" w:hAnsi="Arial" w:cs="Arial"/>
          <w:b/>
          <w:color w:val="000000"/>
          <w:sz w:val="20"/>
        </w:rPr>
        <w:t>(2) that it was carried openly with the intent to injure another person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"Dangerous weapon" means a dirk knife, bowie knife, switchblade knife [except a penknife without a switchblade], star knife, a sandclub, metal knuckles, a razor, or a nunchaku</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OTHER WEAPONS</w:t>
      </w:r>
    </w:p>
    <w:p w:rsidR="004729FB" w:rsidRDefault="004729FB" w:rsidP="004729FB">
      <w:pPr>
        <w:spacing w:before="200" w:line="260" w:lineRule="atLeast"/>
        <w:jc w:val="both"/>
      </w:pPr>
      <w:r>
        <w:rPr>
          <w:rFonts w:ascii="Arial" w:eastAsia="Arial" w:hAnsi="Arial" w:cs="Arial"/>
          <w:b/>
          <w:color w:val="000000"/>
          <w:sz w:val="20"/>
        </w:rPr>
        <w:t xml:space="preserve">The defendant is charged with the crime of carrying a dangerous weapon openly with the intent to injure another person. You have [heard] [seen] that the object alleged to be dangerous is [a] [an] </w:t>
      </w:r>
      <w:r>
        <w:rPr>
          <w:rFonts w:ascii="Arial" w:eastAsia="Arial" w:hAnsi="Arial" w:cs="Arial"/>
          <w:b/>
          <w:color w:val="000000"/>
          <w:sz w:val="20"/>
          <w:u w:val="single"/>
        </w:rPr>
        <w:t>(object)</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wore or carried [a] [an] </w:t>
      </w:r>
      <w:r>
        <w:rPr>
          <w:rFonts w:ascii="Arial" w:eastAsia="Arial" w:hAnsi="Arial" w:cs="Arial"/>
          <w:b/>
          <w:color w:val="000000"/>
          <w:sz w:val="20"/>
          <w:u w:val="single"/>
        </w:rPr>
        <w:t>(object)</w:t>
      </w:r>
      <w:r>
        <w:rPr>
          <w:rFonts w:ascii="Arial" w:eastAsia="Arial" w:hAnsi="Arial" w:cs="Arial"/>
          <w:b/>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(2) that </w:t>
      </w:r>
      <w:r>
        <w:rPr>
          <w:rFonts w:ascii="Arial" w:eastAsia="Arial" w:hAnsi="Arial" w:cs="Arial"/>
          <w:b/>
          <w:color w:val="000000"/>
          <w:sz w:val="20"/>
          <w:u w:val="single"/>
        </w:rPr>
        <w:t>(object)</w:t>
      </w:r>
      <w:r>
        <w:rPr>
          <w:rFonts w:ascii="Arial" w:eastAsia="Arial" w:hAnsi="Arial" w:cs="Arial"/>
          <w:b/>
          <w:color w:val="000000"/>
          <w:sz w:val="20"/>
        </w:rPr>
        <w:t xml:space="preserve"> was carried openly with the intent to injure another person; and</w:t>
      </w:r>
    </w:p>
    <w:p w:rsidR="004729FB" w:rsidRDefault="004729FB" w:rsidP="004729FB">
      <w:pPr>
        <w:spacing w:before="200" w:line="260" w:lineRule="atLeast"/>
        <w:ind w:left="400"/>
        <w:jc w:val="both"/>
      </w:pPr>
      <w:r>
        <w:rPr>
          <w:rFonts w:ascii="Arial" w:eastAsia="Arial" w:hAnsi="Arial" w:cs="Arial"/>
          <w:b/>
          <w:color w:val="000000"/>
          <w:sz w:val="20"/>
        </w:rPr>
        <w:t xml:space="preserve">(3) that </w:t>
      </w:r>
      <w:r>
        <w:rPr>
          <w:rFonts w:ascii="Arial" w:eastAsia="Arial" w:hAnsi="Arial" w:cs="Arial"/>
          <w:b/>
          <w:color w:val="000000"/>
          <w:sz w:val="20"/>
          <w:u w:val="single"/>
        </w:rPr>
        <w:t>(object)</w:t>
      </w:r>
      <w:r>
        <w:rPr>
          <w:rFonts w:ascii="Arial" w:eastAsia="Arial" w:hAnsi="Arial" w:cs="Arial"/>
          <w:b/>
          <w:color w:val="000000"/>
          <w:sz w:val="20"/>
        </w:rPr>
        <w:t xml:space="preserve"> was a dangerous weapon under the circumstances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"dangerous weapon" is an object that is capable of causing death or serious bodily injury, such as a knife [except a penknife without a switchblade] or a club. An object may be dangerous if it was designed or made for offensive or defensive purposes or to cause serious bodily injury or death</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4:28.1 (Robbery with a Dangerous Weapon).</w:t>
            </w:r>
          </w:p>
          <w:p w:rsidR="004729FB" w:rsidRDefault="004729FB" w:rsidP="00713DA5">
            <w:pPr>
              <w:spacing w:before="240" w:line="260" w:lineRule="atLeast"/>
              <w:ind w:left="60" w:right="360"/>
              <w:jc w:val="both"/>
            </w:pPr>
            <w:r>
              <w:rPr>
                <w:rFonts w:ascii="Arial" w:eastAsia="Arial" w:hAnsi="Arial" w:cs="Arial"/>
                <w:color w:val="000000"/>
                <w:sz w:val="20"/>
              </w:rPr>
              <w:lastRenderedPageBreak/>
              <w:t xml:space="preserve">CRIMINAL LAW I § 4-101(c)(2) provides: "A person may not wear or carry a dangerous weapon… openly with the intent or purpose of injuring an individual in an unlawful manner." </w:t>
            </w:r>
            <w:r>
              <w:rPr>
                <w:rFonts w:ascii="Arial" w:eastAsia="Arial" w:hAnsi="Arial" w:cs="Arial"/>
                <w:i/>
                <w:color w:val="000000"/>
                <w:sz w:val="20"/>
              </w:rPr>
              <w:t xml:space="preserve">See </w:t>
            </w:r>
            <w:hyperlink r:id="rId2336" w:history="1">
              <w:r>
                <w:rPr>
                  <w:rFonts w:ascii="Arial" w:eastAsia="Arial" w:hAnsi="Arial" w:cs="Arial"/>
                  <w:i/>
                  <w:color w:val="0077CC"/>
                  <w:sz w:val="20"/>
                  <w:u w:val="single"/>
                </w:rPr>
                <w:t>Bacon v. State, 322 Md. 140, 586 A.2d 18 (1991);</w:t>
              </w:r>
            </w:hyperlink>
            <w:r>
              <w:rPr>
                <w:rFonts w:ascii="Arial" w:eastAsia="Arial" w:hAnsi="Arial" w:cs="Arial"/>
                <w:color w:val="000000"/>
                <w:sz w:val="20"/>
              </w:rPr>
              <w:t xml:space="preserve"> </w:t>
            </w:r>
            <w:hyperlink r:id="rId2337" w:history="1">
              <w:r>
                <w:rPr>
                  <w:rFonts w:ascii="Arial" w:eastAsia="Arial" w:hAnsi="Arial" w:cs="Arial"/>
                  <w:i/>
                  <w:color w:val="0077CC"/>
                  <w:sz w:val="20"/>
                  <w:u w:val="single"/>
                </w:rPr>
                <w:t>Brooks v. State, 38 Md. App. 550, 381 A.2d 718 (1978),</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338" w:history="1">
              <w:r>
                <w:rPr>
                  <w:rFonts w:ascii="Arial" w:eastAsia="Arial" w:hAnsi="Arial" w:cs="Arial"/>
                  <w:i/>
                  <w:color w:val="0077CC"/>
                  <w:sz w:val="20"/>
                  <w:u w:val="single"/>
                </w:rPr>
                <w:t>284 Md. 416, 397 A.2d 596 (1979).</w:t>
              </w:r>
            </w:hyperlink>
            <w:r>
              <w:rPr>
                <w:rFonts w:ascii="Arial" w:eastAsia="Arial" w:hAnsi="Arial" w:cs="Arial"/>
                <w:color w:val="000000"/>
                <w:sz w:val="20"/>
              </w:rPr>
              <w:t xml:space="preserve"> This statute applies equally in both public places and on private property. </w:t>
            </w:r>
            <w:hyperlink r:id="rId2339" w:history="1">
              <w:r>
                <w:rPr>
                  <w:rFonts w:ascii="Arial" w:eastAsia="Arial" w:hAnsi="Arial" w:cs="Arial"/>
                  <w:i/>
                  <w:color w:val="0077CC"/>
                  <w:sz w:val="20"/>
                  <w:u w:val="single"/>
                </w:rPr>
                <w:t>State v. Brinkley, 102 Md. App. 774, 776, 651 A.2d 465, 466 (1995);</w:t>
              </w:r>
            </w:hyperlink>
            <w:r>
              <w:rPr>
                <w:rFonts w:ascii="Arial" w:eastAsia="Arial" w:hAnsi="Arial" w:cs="Arial"/>
                <w:color w:val="000000"/>
                <w:sz w:val="20"/>
              </w:rPr>
              <w:t xml:space="preserve"> </w:t>
            </w:r>
            <w:r>
              <w:rPr>
                <w:rFonts w:ascii="Arial" w:eastAsia="Arial" w:hAnsi="Arial" w:cs="Arial"/>
                <w:i/>
                <w:color w:val="000000"/>
                <w:sz w:val="20"/>
              </w:rPr>
              <w:t xml:space="preserve">cf. </w:t>
            </w:r>
            <w:hyperlink r:id="rId2340" w:history="1">
              <w:r>
                <w:rPr>
                  <w:rFonts w:ascii="Arial" w:eastAsia="Arial" w:hAnsi="Arial" w:cs="Arial"/>
                  <w:i/>
                  <w:color w:val="0077CC"/>
                  <w:sz w:val="20"/>
                  <w:u w:val="single"/>
                </w:rPr>
                <w:t>In re Colby H., 362 Md. 702, 723, 766 A.2d 639, 650 (2001)</w:t>
              </w:r>
            </w:hyperlink>
            <w:r>
              <w:rPr>
                <w:rFonts w:ascii="Arial" w:eastAsia="Arial" w:hAnsi="Arial" w:cs="Arial"/>
                <w:color w:val="000000"/>
                <w:sz w:val="20"/>
              </w:rPr>
              <w:t xml:space="preserve"> (holding that "a person in legal possession of a dangerous and deadly weapon may conceal or store it as long as they are on property, which they own, or [of which they are] are a legal resident"). It is not necessary for the State to prove that the defendant's acts constituted an assault.</w:t>
            </w:r>
          </w:p>
          <w:p w:rsidR="004729FB" w:rsidRDefault="004729FB" w:rsidP="00713DA5">
            <w:pPr>
              <w:spacing w:before="240" w:line="260" w:lineRule="atLeast"/>
              <w:ind w:left="60" w:right="360"/>
              <w:jc w:val="both"/>
            </w:pPr>
            <w:r>
              <w:rPr>
                <w:rFonts w:ascii="Arial" w:eastAsia="Arial" w:hAnsi="Arial" w:cs="Arial"/>
                <w:color w:val="000000"/>
                <w:sz w:val="20"/>
              </w:rPr>
              <w:t xml:space="preserve">The unit of prosecution is the act of carrying and not the number of victims or potential victims. </w:t>
            </w:r>
            <w:hyperlink r:id="rId2341" w:history="1">
              <w:r>
                <w:rPr>
                  <w:rFonts w:ascii="Arial" w:eastAsia="Arial" w:hAnsi="Arial" w:cs="Arial"/>
                  <w:i/>
                  <w:color w:val="0077CC"/>
                  <w:sz w:val="20"/>
                  <w:u w:val="single"/>
                </w:rPr>
                <w:t>Sullivan v. State, 132 Md. App. 682, 689, 753 A.2d 601, 605,</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362 Md. 36, 762 A.2d 969 (2000);</w:t>
            </w:r>
            <w:r>
              <w:rPr>
                <w:rFonts w:ascii="Arial" w:eastAsia="Arial" w:hAnsi="Arial" w:cs="Arial"/>
                <w:color w:val="000000"/>
                <w:sz w:val="20"/>
              </w:rPr>
              <w:t xml:space="preserve"> </w:t>
            </w:r>
            <w:r>
              <w:rPr>
                <w:rFonts w:ascii="Arial" w:eastAsia="Arial" w:hAnsi="Arial" w:cs="Arial"/>
                <w:i/>
                <w:color w:val="000000"/>
                <w:sz w:val="20"/>
              </w:rPr>
              <w:t xml:space="preserve">cf. </w:t>
            </w:r>
            <w:hyperlink r:id="rId2342" w:history="1">
              <w:r>
                <w:rPr>
                  <w:rFonts w:ascii="Arial" w:eastAsia="Arial" w:hAnsi="Arial" w:cs="Arial"/>
                  <w:i/>
                  <w:color w:val="0077CC"/>
                  <w:sz w:val="20"/>
                  <w:u w:val="single"/>
                </w:rPr>
                <w:t>Melton v. State, 379 Md. 471, 842 A.2d 743 (2004)</w:t>
              </w:r>
            </w:hyperlink>
            <w:r>
              <w:rPr>
                <w:rFonts w:ascii="Arial" w:eastAsia="Arial" w:hAnsi="Arial" w:cs="Arial"/>
                <w:color w:val="000000"/>
                <w:sz w:val="20"/>
              </w:rPr>
              <w:t xml:space="preserve"> (finding that the legislature did not intend for a court to render multiple separate verdicts of conviction on a defendant for illegal possession of a firearm by a person previously convicted of a crime, where the defendant only possessed one gun on one occasion).</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4-101(a)(5)(i) provides that dirk knives, bowie knives, switchblade knives, star knives, sandclubs, metal knuckles, razors, and nunchakus are weapons. Section 4-101(a)(5)(ii)(2) provides that penknives without switchblades and handguns are not weapons. A penknife is a knife with the blade folding into the handle. </w:t>
            </w:r>
            <w:hyperlink r:id="rId2343" w:history="1">
              <w:r>
                <w:rPr>
                  <w:rFonts w:ascii="Arial" w:eastAsia="Arial" w:hAnsi="Arial" w:cs="Arial"/>
                  <w:i/>
                  <w:color w:val="0077CC"/>
                  <w:sz w:val="20"/>
                  <w:u w:val="single"/>
                </w:rPr>
                <w:t>Mackall v. State, 283 Md. 100, 113 n.13, 387 A.2d 762, 769 n.13 (1978).</w:t>
              </w:r>
            </w:hyperlink>
            <w:r>
              <w:rPr>
                <w:rFonts w:ascii="Arial" w:eastAsia="Arial" w:hAnsi="Arial" w:cs="Arial"/>
                <w:color w:val="000000"/>
                <w:sz w:val="20"/>
              </w:rPr>
              <w:t xml:space="preserve"> A penknife may be any size or length. </w:t>
            </w:r>
            <w:hyperlink r:id="rId2344" w:history="1">
              <w:r>
                <w:rPr>
                  <w:rFonts w:ascii="Arial" w:eastAsia="Arial" w:hAnsi="Arial" w:cs="Arial"/>
                  <w:i/>
                  <w:color w:val="0077CC"/>
                  <w:sz w:val="20"/>
                  <w:u w:val="single"/>
                </w:rPr>
                <w:t>Bacon, 322 Md. at 149, 586 A.2d at 22-23.</w:t>
              </w:r>
            </w:hyperlink>
            <w:r>
              <w:rPr>
                <w:rFonts w:ascii="Arial" w:eastAsia="Arial" w:hAnsi="Arial" w:cs="Arial"/>
                <w:color w:val="000000"/>
                <w:sz w:val="20"/>
              </w:rPr>
              <w:t xml:space="preserve"> "The only qualification of 'penknife' in the statute is that it be without switchblade." </w:t>
            </w:r>
            <w:r>
              <w:rPr>
                <w:rFonts w:ascii="Arial" w:eastAsia="Arial" w:hAnsi="Arial" w:cs="Arial"/>
                <w:i/>
                <w:color w:val="000000"/>
                <w:sz w:val="20"/>
              </w:rPr>
              <w:t>Id.</w:t>
            </w:r>
          </w:p>
          <w:p w:rsidR="004729FB" w:rsidRDefault="004729FB" w:rsidP="00713DA5">
            <w:pPr>
              <w:spacing w:before="240" w:line="260" w:lineRule="atLeast"/>
              <w:ind w:left="60" w:right="360"/>
              <w:jc w:val="both"/>
            </w:pPr>
            <w:r>
              <w:rPr>
                <w:rFonts w:ascii="Arial" w:eastAsia="Arial" w:hAnsi="Arial" w:cs="Arial"/>
                <w:color w:val="000000"/>
                <w:sz w:val="20"/>
              </w:rPr>
              <w:t xml:space="preserve">To the contrary, a switchblade knife is one with a spring-operated blade that, when released, flies open and locks into place. </w:t>
            </w:r>
            <w:hyperlink r:id="rId2345" w:history="1">
              <w:r>
                <w:rPr>
                  <w:rFonts w:ascii="Arial" w:eastAsia="Arial" w:hAnsi="Arial" w:cs="Arial"/>
                  <w:i/>
                  <w:color w:val="0077CC"/>
                  <w:sz w:val="20"/>
                  <w:u w:val="single"/>
                </w:rPr>
                <w:t>Bacon, 322 Md. at 145, 586 A.2d at 21.</w:t>
              </w:r>
            </w:hyperlink>
            <w:r>
              <w:rPr>
                <w:rFonts w:ascii="Arial" w:eastAsia="Arial" w:hAnsi="Arial" w:cs="Arial"/>
                <w:color w:val="000000"/>
                <w:sz w:val="20"/>
              </w:rPr>
              <w:t xml:space="preserve"> In </w:t>
            </w:r>
            <w:hyperlink r:id="rId2346" w:history="1">
              <w:r>
                <w:rPr>
                  <w:rFonts w:ascii="Arial" w:eastAsia="Arial" w:hAnsi="Arial" w:cs="Arial"/>
                  <w:i/>
                  <w:color w:val="0077CC"/>
                  <w:sz w:val="20"/>
                  <w:u w:val="single"/>
                </w:rPr>
                <w:t>Savoy v. State, 236 Md. 36, 202 A.2d 324 (1964),</w:t>
              </w:r>
            </w:hyperlink>
            <w:r>
              <w:rPr>
                <w:rFonts w:ascii="Arial" w:eastAsia="Arial" w:hAnsi="Arial" w:cs="Arial"/>
                <w:color w:val="000000"/>
                <w:sz w:val="20"/>
              </w:rPr>
              <w:t xml:space="preserve"> a gravity knife, in which the blade dropped out when the button was released, was deemed to be a switchblade knife. In </w:t>
            </w:r>
            <w:hyperlink r:id="rId2347" w:history="1">
              <w:r>
                <w:rPr>
                  <w:rFonts w:ascii="Arial" w:eastAsia="Arial" w:hAnsi="Arial" w:cs="Arial"/>
                  <w:i/>
                  <w:color w:val="0077CC"/>
                  <w:sz w:val="20"/>
                  <w:u w:val="single"/>
                </w:rPr>
                <w:t>In re Daryl L., 68 Md. App. 375, 511 A.2d 1108 (1986),</w:t>
              </w:r>
            </w:hyperlink>
            <w:r>
              <w:rPr>
                <w:rFonts w:ascii="Arial" w:eastAsia="Arial" w:hAnsi="Arial" w:cs="Arial"/>
                <w:color w:val="000000"/>
                <w:sz w:val="20"/>
              </w:rPr>
              <w:t xml:space="preserve"> the Court of Special Appeals held that an 8-1/2-inch buck knife, with a 3-3/4 inch blade that folds into the handle, does not become a switchblade knife merely because it has a safety device button that must be pressed before folding the blade back into the handle. The Court of Appeals adopted the rationale of </w:t>
            </w:r>
            <w:r>
              <w:rPr>
                <w:rFonts w:ascii="Arial" w:eastAsia="Arial" w:hAnsi="Arial" w:cs="Arial"/>
                <w:i/>
                <w:color w:val="000000"/>
                <w:sz w:val="20"/>
              </w:rPr>
              <w:t>Daryl L.</w:t>
            </w:r>
            <w:r>
              <w:rPr>
                <w:rFonts w:ascii="Arial" w:eastAsia="Arial" w:hAnsi="Arial" w:cs="Arial"/>
                <w:color w:val="000000"/>
                <w:sz w:val="20"/>
              </w:rPr>
              <w:t xml:space="preserve"> in </w:t>
            </w:r>
            <w:hyperlink r:id="rId2348" w:history="1">
              <w:r>
                <w:rPr>
                  <w:rFonts w:ascii="Arial" w:eastAsia="Arial" w:hAnsi="Arial" w:cs="Arial"/>
                  <w:i/>
                  <w:color w:val="0077CC"/>
                  <w:sz w:val="20"/>
                  <w:u w:val="single"/>
                </w:rPr>
                <w:t>Bacon, 322 Md. at 144-45, 586 A.2d at 20.</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burden is on the State to prove, beyond a reasonable doubt, that the object was not a penknife without switchblade or a handgun. </w:t>
            </w:r>
            <w:hyperlink r:id="rId2349" w:history="1">
              <w:r>
                <w:rPr>
                  <w:rFonts w:ascii="Arial" w:eastAsia="Arial" w:hAnsi="Arial" w:cs="Arial"/>
                  <w:i/>
                  <w:color w:val="0077CC"/>
                  <w:sz w:val="20"/>
                  <w:u w:val="single"/>
                </w:rPr>
                <w:t>Anderson v. State, 328 Md. 426, 433-34, 614 A.2d 963, 966 (1992);</w:t>
              </w:r>
            </w:hyperlink>
            <w:r>
              <w:rPr>
                <w:rFonts w:ascii="Arial" w:eastAsia="Arial" w:hAnsi="Arial" w:cs="Arial"/>
                <w:color w:val="000000"/>
                <w:sz w:val="20"/>
              </w:rPr>
              <w:t xml:space="preserve"> </w:t>
            </w:r>
            <w:hyperlink r:id="rId2350" w:history="1">
              <w:r>
                <w:rPr>
                  <w:rFonts w:ascii="Arial" w:eastAsia="Arial" w:hAnsi="Arial" w:cs="Arial"/>
                  <w:i/>
                  <w:color w:val="0077CC"/>
                  <w:sz w:val="20"/>
                  <w:u w:val="single"/>
                </w:rPr>
                <w:t>Bacon, 322 Md. at 150, 586 A.2d at 23;</w:t>
              </w:r>
            </w:hyperlink>
            <w:r>
              <w:rPr>
                <w:rFonts w:ascii="Arial" w:eastAsia="Arial" w:hAnsi="Arial" w:cs="Arial"/>
                <w:color w:val="000000"/>
                <w:sz w:val="20"/>
              </w:rPr>
              <w:t xml:space="preserve"> </w:t>
            </w:r>
            <w:hyperlink r:id="rId2351" w:history="1">
              <w:r>
                <w:rPr>
                  <w:rFonts w:ascii="Arial" w:eastAsia="Arial" w:hAnsi="Arial" w:cs="Arial"/>
                  <w:i/>
                  <w:color w:val="0077CC"/>
                  <w:sz w:val="20"/>
                  <w:u w:val="single"/>
                </w:rPr>
                <w:t>Mackall, 283 Md. at 108-13, 387 A.2d at 766-69;</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352" w:history="1">
              <w:r>
                <w:rPr>
                  <w:rFonts w:ascii="Arial" w:eastAsia="Arial" w:hAnsi="Arial" w:cs="Arial"/>
                  <w:i/>
                  <w:color w:val="0077CC"/>
                  <w:sz w:val="20"/>
                  <w:u w:val="single"/>
                </w:rPr>
                <w:t>Hall v. State, 302 Md. 806, 808-09, 490 A.2d 1287, 1287-88 (1985)</w:t>
              </w:r>
            </w:hyperlink>
            <w:r>
              <w:rPr>
                <w:rFonts w:ascii="Arial" w:eastAsia="Arial" w:hAnsi="Arial" w:cs="Arial"/>
                <w:color w:val="000000"/>
                <w:sz w:val="20"/>
              </w:rPr>
              <w:t xml:space="preserve"> (finding that the phrase "did wear and carry concealed upon and about his person a certain dangerous and deadly weapon, to wit: a knife" was sufficient indictment without alleging that the weapon at issue was not a penknife); </w:t>
            </w:r>
            <w:hyperlink r:id="rId2353" w:history="1">
              <w:r>
                <w:rPr>
                  <w:rFonts w:ascii="Arial" w:eastAsia="Arial" w:hAnsi="Arial" w:cs="Arial"/>
                  <w:i/>
                  <w:color w:val="0077CC"/>
                  <w:sz w:val="20"/>
                  <w:u w:val="single"/>
                </w:rPr>
                <w:t>Washington v. State, 293 Md. 465, 474-75, 445 A.2d 684, 689 (1982)</w:t>
              </w:r>
            </w:hyperlink>
            <w:r>
              <w:rPr>
                <w:rFonts w:ascii="Arial" w:eastAsia="Arial" w:hAnsi="Arial" w:cs="Arial"/>
                <w:color w:val="000000"/>
                <w:sz w:val="20"/>
              </w:rPr>
              <w:t xml:space="preserve"> (finding that the State's evidence that the knife was a long silver knife and a sharp pointed object was insufficient to show that the knife was not a penknife).</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2354" w:history="1">
              <w:r>
                <w:rPr>
                  <w:rFonts w:ascii="Arial" w:eastAsia="Arial" w:hAnsi="Arial" w:cs="Arial"/>
                  <w:i/>
                  <w:color w:val="0077CC"/>
                  <w:sz w:val="20"/>
                  <w:u w:val="single"/>
                </w:rPr>
                <w:t>Brooks v. State, 314 Md. 585, 552 A.2d 872 (1989),</w:t>
              </w:r>
            </w:hyperlink>
            <w:r>
              <w:rPr>
                <w:rFonts w:ascii="Arial" w:eastAsia="Arial" w:hAnsi="Arial" w:cs="Arial"/>
                <w:color w:val="000000"/>
                <w:sz w:val="20"/>
              </w:rPr>
              <w:t xml:space="preserve"> the Court of Appeals summarized the dangerous or deadly element as follows:</w:t>
            </w:r>
          </w:p>
          <w:p w:rsidR="004729FB" w:rsidRDefault="004729FB" w:rsidP="00713DA5">
            <w:pPr>
              <w:spacing w:before="200" w:line="260" w:lineRule="atLeast"/>
              <w:ind w:left="460" w:right="360"/>
              <w:jc w:val="both"/>
            </w:pPr>
            <w:r>
              <w:rPr>
                <w:rFonts w:ascii="Arial" w:eastAsia="Arial" w:hAnsi="Arial" w:cs="Arial"/>
                <w:color w:val="000000"/>
                <w:sz w:val="20"/>
              </w:rPr>
              <w:t>[F]or an instrument to qualify as a dangerous… weapon… , the instrument must be (1) designed as "anything used or designed to be used in destroying, defeating, or injuring an enemy, or as an instrument of offensive or defensive combat[;]" (2) under the circumstances of the case, immediately useable to inflict serious or deadly harm (</w:t>
            </w:r>
            <w:r>
              <w:rPr>
                <w:rFonts w:ascii="Arial" w:eastAsia="Arial" w:hAnsi="Arial" w:cs="Arial"/>
                <w:i/>
                <w:color w:val="000000"/>
                <w:sz w:val="20"/>
              </w:rPr>
              <w:t>e.g.</w:t>
            </w:r>
            <w:r>
              <w:rPr>
                <w:rFonts w:ascii="Arial" w:eastAsia="Arial" w:hAnsi="Arial" w:cs="Arial"/>
                <w:color w:val="000000"/>
                <w:sz w:val="20"/>
              </w:rPr>
              <w:t>, unloaded gun or starter's pistol useable as a bludgeon); or (3) actually used in a way likely to inflict that sort of harm, (</w:t>
            </w:r>
            <w:r>
              <w:rPr>
                <w:rFonts w:ascii="Arial" w:eastAsia="Arial" w:hAnsi="Arial" w:cs="Arial"/>
                <w:i/>
                <w:color w:val="000000"/>
                <w:sz w:val="20"/>
              </w:rPr>
              <w:t>e.g.</w:t>
            </w:r>
            <w:r>
              <w:rPr>
                <w:rFonts w:ascii="Arial" w:eastAsia="Arial" w:hAnsi="Arial" w:cs="Arial"/>
                <w:color w:val="000000"/>
                <w:sz w:val="20"/>
              </w:rPr>
              <w:t>, microphone cord used as a garrotte).</w:t>
            </w:r>
          </w:p>
          <w:p w:rsidR="004729FB" w:rsidRDefault="004729FB" w:rsidP="00713DA5">
            <w:pPr>
              <w:spacing w:before="200" w:line="260" w:lineRule="atLeast"/>
              <w:ind w:left="60" w:right="360"/>
              <w:jc w:val="both"/>
            </w:pPr>
            <w:hyperlink r:id="rId2355" w:history="1">
              <w:r>
                <w:rPr>
                  <w:rFonts w:ascii="Arial" w:eastAsia="Arial" w:hAnsi="Arial" w:cs="Arial"/>
                  <w:i/>
                  <w:color w:val="0077CC"/>
                  <w:sz w:val="20"/>
                  <w:u w:val="single"/>
                </w:rPr>
                <w:t>Id. at 600, 552 A.2d at 880</w:t>
              </w:r>
            </w:hyperlink>
            <w:r>
              <w:rPr>
                <w:rFonts w:ascii="Arial" w:eastAsia="Arial" w:hAnsi="Arial" w:cs="Arial"/>
                <w:color w:val="000000"/>
                <w:sz w:val="20"/>
              </w:rPr>
              <w:t xml:space="preserve"> (quoting </w:t>
            </w:r>
            <w:hyperlink r:id="rId2356" w:history="1">
              <w:r>
                <w:rPr>
                  <w:rFonts w:ascii="Arial" w:eastAsia="Arial" w:hAnsi="Arial" w:cs="Arial"/>
                  <w:i/>
                  <w:color w:val="0077CC"/>
                  <w:sz w:val="20"/>
                  <w:u w:val="single"/>
                </w:rPr>
                <w:t>Bennett v. State, 237 Md. 212, 214-15, 205 A.2d 393, 394 (1964));</w:t>
              </w:r>
            </w:hyperlink>
            <w:r>
              <w:rPr>
                <w:rFonts w:ascii="Arial" w:eastAsia="Arial" w:hAnsi="Arial" w:cs="Arial"/>
                <w:color w:val="000000"/>
                <w:sz w:val="20"/>
              </w:rPr>
              <w:t xml:space="preserve"> </w:t>
            </w:r>
            <w:r>
              <w:rPr>
                <w:rFonts w:ascii="Arial" w:eastAsia="Arial" w:hAnsi="Arial" w:cs="Arial"/>
                <w:i/>
                <w:color w:val="000000"/>
                <w:sz w:val="20"/>
              </w:rPr>
              <w:t xml:space="preserve">see also </w:t>
            </w:r>
            <w:hyperlink r:id="rId2357" w:history="1">
              <w:r>
                <w:rPr>
                  <w:rFonts w:ascii="Arial" w:eastAsia="Arial" w:hAnsi="Arial" w:cs="Arial"/>
                  <w:i/>
                  <w:color w:val="0077CC"/>
                  <w:sz w:val="20"/>
                  <w:u w:val="single"/>
                </w:rPr>
                <w:t>Wright v. State, 72 Md. App. 215, 528 A.2d 498,</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311 Md. 287, 533 A.2d 1308 (1987).</w:t>
            </w:r>
          </w:p>
          <w:p w:rsidR="004729FB" w:rsidRDefault="004729FB" w:rsidP="00713DA5">
            <w:pPr>
              <w:spacing w:before="240" w:line="260" w:lineRule="atLeast"/>
              <w:ind w:left="60" w:right="360"/>
              <w:jc w:val="both"/>
            </w:pPr>
            <w:r>
              <w:rPr>
                <w:rFonts w:ascii="Arial" w:eastAsia="Arial" w:hAnsi="Arial" w:cs="Arial"/>
                <w:color w:val="000000"/>
                <w:sz w:val="20"/>
              </w:rPr>
              <w:t xml:space="preserve">To establish a prima facie case, the State must produce evidence that the defendant wore or carried a </w:t>
            </w:r>
            <w:r>
              <w:rPr>
                <w:rFonts w:ascii="Arial" w:eastAsia="Arial" w:hAnsi="Arial" w:cs="Arial"/>
                <w:color w:val="000000"/>
                <w:sz w:val="20"/>
              </w:rPr>
              <w:lastRenderedPageBreak/>
              <w:t xml:space="preserve">dangerous weapon. </w:t>
            </w:r>
            <w:hyperlink r:id="rId2358" w:history="1">
              <w:r>
                <w:rPr>
                  <w:rFonts w:ascii="Arial" w:eastAsia="Arial" w:hAnsi="Arial" w:cs="Arial"/>
                  <w:i/>
                  <w:color w:val="0077CC"/>
                  <w:sz w:val="20"/>
                  <w:u w:val="single"/>
                </w:rPr>
                <w:t>In re Colby H., 362 Md. at 714, 766 A.2d at 645</w:t>
              </w:r>
            </w:hyperlink>
            <w:r>
              <w:rPr>
                <w:rFonts w:ascii="Arial" w:eastAsia="Arial" w:hAnsi="Arial" w:cs="Arial"/>
                <w:color w:val="000000"/>
                <w:sz w:val="20"/>
              </w:rPr>
              <w:t xml:space="preserve"> (finding that evidence that the loaded shotgun was hidden under the defendant's mattress was insufficient to establish that the defendant wore, carried, or transported the weapon).</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4-101(b) provides exceptions to the statute for certain individuals, as follows: (1) officers who are entitled or required to carry a weapon as part of the officer's official equipment, (2) special agents of a railroad, (3) permit holders, and (4) individuals who carry weapons as a reasonable precaution against apprehended danger. The exceptions are not elements but affirmative defenses. </w:t>
            </w:r>
            <w:hyperlink r:id="rId2359" w:history="1">
              <w:r>
                <w:rPr>
                  <w:rFonts w:ascii="Arial" w:eastAsia="Arial" w:hAnsi="Arial" w:cs="Arial"/>
                  <w:i/>
                  <w:color w:val="0077CC"/>
                  <w:sz w:val="20"/>
                  <w:u w:val="single"/>
                </w:rPr>
                <w:t>Mackall, 283 Md. at 109-11, 387 A.2d at 767-68;</w:t>
              </w:r>
            </w:hyperlink>
            <w:r>
              <w:rPr>
                <w:rFonts w:ascii="Arial" w:eastAsia="Arial" w:hAnsi="Arial" w:cs="Arial"/>
                <w:color w:val="000000"/>
                <w:sz w:val="20"/>
              </w:rPr>
              <w:t xml:space="preserve"> </w:t>
            </w:r>
            <w:hyperlink r:id="rId2360" w:history="1">
              <w:r>
                <w:rPr>
                  <w:rFonts w:ascii="Arial" w:eastAsia="Arial" w:hAnsi="Arial" w:cs="Arial"/>
                  <w:i/>
                  <w:color w:val="0077CC"/>
                  <w:sz w:val="20"/>
                  <w:u w:val="single"/>
                </w:rPr>
                <w:t>Spurrier v. State, 229 Md. 110, 182 A.2d 358 (1962)</w:t>
              </w:r>
            </w:hyperlink>
            <w:r>
              <w:rPr>
                <w:rFonts w:ascii="Arial" w:eastAsia="Arial" w:hAnsi="Arial" w:cs="Arial"/>
                <w:color w:val="000000"/>
                <w:sz w:val="20"/>
              </w:rPr>
              <w:t xml:space="preserve"> (per curiam).</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400" style="position:absolute;z-index:25203302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4:35.1.</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403" style="position:absolute;left:0;text-align:left;z-index:252036096;mso-position-horizontal-relative:text;mso-position-vertical-relative:text" from="0,10pt" to="512pt,10pt" strokeweight="1pt"/>
        </w:pict>
      </w:r>
      <w:r>
        <w:rPr>
          <w:b/>
          <w:color w:val="767676"/>
          <w:sz w:val="16"/>
        </w:rPr>
        <w:t>End of Document</w:t>
      </w:r>
    </w:p>
    <w:p w:rsidR="004729FB" w:rsidRDefault="004729FB" w:rsidP="004729FB">
      <w:r>
        <w:br w:type="page"/>
      </w:r>
      <w:r>
        <w:rPr>
          <w:noProof/>
        </w:rPr>
        <w:lastRenderedPageBreak/>
        <w:drawing>
          <wp:inline distT="0" distB="0" distL="0" distR="0">
            <wp:extent cx="1876425" cy="381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p>
    <w:p w:rsidR="004729FB" w:rsidRDefault="004729FB" w:rsidP="004729FB">
      <w:pPr>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Michael Fiorenza</w:t>
      </w:r>
    </w:p>
    <w:p w:rsidR="004729FB" w:rsidRDefault="004729FB" w:rsidP="004729FB">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November 19, 2018 10:54:00 PM EST</w:t>
      </w:r>
    </w:p>
    <w:p w:rsidR="004729FB" w:rsidRDefault="004729FB" w:rsidP="004729FB">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77923741</w:t>
      </w:r>
    </w:p>
    <w:p w:rsidR="004729FB" w:rsidRDefault="004729FB" w:rsidP="004729FB">
      <w:pPr>
        <w:spacing w:before="360" w:line="360" w:lineRule="atLeast"/>
        <w:jc w:val="both"/>
      </w:pPr>
      <w:r>
        <w:rPr>
          <w:rFonts w:ascii="Arial" w:eastAsia="Arial" w:hAnsi="Arial" w:cs="Arial"/>
          <w:b/>
          <w:color w:val="000000"/>
        </w:rPr>
        <w:t>Documents (7)</w:t>
      </w:r>
    </w:p>
    <w:p w:rsidR="004729FB" w:rsidRDefault="004729FB" w:rsidP="004729FB">
      <w:pPr>
        <w:spacing w:before="200" w:line="300" w:lineRule="atLeast"/>
        <w:ind w:left="440" w:hanging="290"/>
      </w:pPr>
      <w:r>
        <w:rPr>
          <w:rFonts w:ascii="Arial" w:eastAsia="Arial" w:hAnsi="Arial" w:cs="Arial"/>
          <w:sz w:val="20"/>
        </w:rPr>
        <w:t>1.</w:t>
      </w:r>
      <w:hyperlink r:id="rId2361" w:history="1">
        <w:r>
          <w:rPr>
            <w:rFonts w:ascii="Arial" w:eastAsia="Arial" w:hAnsi="Arial" w:cs="Arial"/>
            <w:color w:val="000000"/>
            <w:sz w:val="20"/>
            <w:u w:val="single"/>
          </w:rPr>
          <w:t xml:space="preserve"> </w:t>
        </w:r>
      </w:hyperlink>
      <w:hyperlink r:id="rId2362" w:history="1">
        <w:r>
          <w:rPr>
            <w:rFonts w:ascii="Arial" w:eastAsia="Arial" w:hAnsi="Arial" w:cs="Arial"/>
            <w:i/>
            <w:color w:val="0077CC"/>
            <w:sz w:val="20"/>
            <w:u w:val="single"/>
          </w:rPr>
          <w:t>Weapons--Carrying a Concealed Dangerous Weapon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2.</w:t>
      </w:r>
      <w:hyperlink r:id="rId2363" w:history="1">
        <w:r>
          <w:rPr>
            <w:rFonts w:ascii="Arial" w:eastAsia="Arial" w:hAnsi="Arial" w:cs="Arial"/>
            <w:color w:val="000000"/>
            <w:sz w:val="20"/>
            <w:u w:val="single"/>
          </w:rPr>
          <w:t xml:space="preserve"> </w:t>
        </w:r>
      </w:hyperlink>
      <w:hyperlink r:id="rId2364" w:history="1">
        <w:r>
          <w:rPr>
            <w:rFonts w:ascii="Arial" w:eastAsia="Arial" w:hAnsi="Arial" w:cs="Arial"/>
            <w:i/>
            <w:color w:val="0077CC"/>
            <w:sz w:val="20"/>
            <w:u w:val="single"/>
          </w:rPr>
          <w:t>Weapons--Carrying a Handgun Concealed or Openly</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3.</w:t>
      </w:r>
      <w:hyperlink r:id="rId2365" w:history="1">
        <w:r>
          <w:rPr>
            <w:rFonts w:ascii="Arial" w:eastAsia="Arial" w:hAnsi="Arial" w:cs="Arial"/>
            <w:color w:val="000000"/>
            <w:sz w:val="20"/>
            <w:u w:val="single"/>
          </w:rPr>
          <w:t xml:space="preserve"> </w:t>
        </w:r>
      </w:hyperlink>
      <w:hyperlink r:id="rId2366" w:history="1">
        <w:r>
          <w:rPr>
            <w:rFonts w:ascii="Arial" w:eastAsia="Arial" w:hAnsi="Arial" w:cs="Arial"/>
            <w:i/>
            <w:color w:val="0077CC"/>
            <w:sz w:val="20"/>
            <w:u w:val="single"/>
          </w:rPr>
          <w:t>Weapons--Transporting a Handgun in a Vehicle [While on the Public Roads, Highways, Waterways, Airways, or Parking Lots] [While on Public School Property] [with the Purpose of Injuring or Killing Another]</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4.</w:t>
      </w:r>
      <w:hyperlink r:id="rId2367" w:history="1">
        <w:r>
          <w:rPr>
            <w:rFonts w:ascii="Arial" w:eastAsia="Arial" w:hAnsi="Arial" w:cs="Arial"/>
            <w:color w:val="000000"/>
            <w:sz w:val="20"/>
            <w:u w:val="single"/>
          </w:rPr>
          <w:t xml:space="preserve"> </w:t>
        </w:r>
      </w:hyperlink>
      <w:hyperlink r:id="rId2368" w:history="1">
        <w:r>
          <w:rPr>
            <w:rFonts w:ascii="Arial" w:eastAsia="Arial" w:hAnsi="Arial" w:cs="Arial"/>
            <w:i/>
            <w:color w:val="0077CC"/>
            <w:sz w:val="20"/>
            <w:u w:val="single"/>
          </w:rPr>
          <w:t>Weapons--Use of a Handgun or Firearm in the Commission of a Felony or Crime of Violence</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5.</w:t>
      </w:r>
      <w:hyperlink r:id="rId2369" w:history="1">
        <w:r>
          <w:rPr>
            <w:rFonts w:ascii="Arial" w:eastAsia="Arial" w:hAnsi="Arial" w:cs="Arial"/>
            <w:color w:val="000000"/>
            <w:sz w:val="20"/>
            <w:u w:val="single"/>
          </w:rPr>
          <w:t xml:space="preserve"> </w:t>
        </w:r>
      </w:hyperlink>
      <w:hyperlink r:id="rId2370" w:history="1">
        <w:r>
          <w:rPr>
            <w:rFonts w:ascii="Arial" w:eastAsia="Arial" w:hAnsi="Arial" w:cs="Arial"/>
            <w:i/>
            <w:color w:val="0077CC"/>
            <w:sz w:val="20"/>
            <w:u w:val="single"/>
          </w:rPr>
          <w:t>Weapons--Possession of Firearm Under Age of 21</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6.</w:t>
      </w:r>
      <w:hyperlink r:id="rId2371" w:history="1">
        <w:r>
          <w:rPr>
            <w:rFonts w:ascii="Arial" w:eastAsia="Arial" w:hAnsi="Arial" w:cs="Arial"/>
            <w:color w:val="000000"/>
            <w:sz w:val="20"/>
            <w:u w:val="single"/>
          </w:rPr>
          <w:t xml:space="preserve"> </w:t>
        </w:r>
      </w:hyperlink>
      <w:hyperlink r:id="rId2372" w:history="1">
        <w:r>
          <w:rPr>
            <w:rFonts w:ascii="Arial" w:eastAsia="Arial" w:hAnsi="Arial" w:cs="Arial"/>
            <w:i/>
            <w:color w:val="0077CC"/>
            <w:sz w:val="20"/>
            <w:u w:val="single"/>
          </w:rPr>
          <w:t>Weapons--Possession of Firearm/Disqualifying Conviction</w:t>
        </w:r>
      </w:hyperlink>
    </w:p>
    <w:p w:rsidR="004729FB" w:rsidRDefault="004729FB" w:rsidP="004729FB">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pacing w:line="300" w:lineRule="atLeast"/>
        <w:ind w:left="440" w:hanging="290"/>
      </w:pPr>
      <w:r>
        <w:rPr>
          <w:rFonts w:ascii="Arial" w:eastAsia="Arial" w:hAnsi="Arial" w:cs="Arial"/>
          <w:sz w:val="20"/>
        </w:rPr>
        <w:t>7.</w:t>
      </w:r>
      <w:hyperlink r:id="rId2373" w:history="1">
        <w:r>
          <w:rPr>
            <w:rFonts w:ascii="Arial" w:eastAsia="Arial" w:hAnsi="Arial" w:cs="Arial"/>
            <w:color w:val="000000"/>
            <w:sz w:val="20"/>
            <w:u w:val="single"/>
          </w:rPr>
          <w:t xml:space="preserve"> </w:t>
        </w:r>
      </w:hyperlink>
      <w:hyperlink r:id="rId2374" w:history="1">
        <w:r>
          <w:rPr>
            <w:rFonts w:ascii="Arial" w:eastAsia="Arial" w:hAnsi="Arial" w:cs="Arial"/>
            <w:i/>
            <w:color w:val="0077CC"/>
            <w:sz w:val="20"/>
            <w:u w:val="single"/>
          </w:rPr>
          <w:t>Weapons--Illegal Sale or Transfer of Firearm/Disqualifying Conviction</w:t>
        </w:r>
      </w:hyperlink>
    </w:p>
    <w:p w:rsidR="004729FB" w:rsidRDefault="004729FB" w:rsidP="004729FB">
      <w:pPr>
        <w:spacing w:before="80" w:line="240" w:lineRule="atLeast"/>
        <w:ind w:left="290"/>
        <w:sectPr w:rsidR="004729FB" w:rsidSect="004729FB">
          <w:headerReference w:type="even" r:id="rId2375"/>
          <w:headerReference w:type="default" r:id="rId2376"/>
          <w:footerReference w:type="even" r:id="rId2377"/>
          <w:footerReference w:type="default" r:id="rId2378"/>
          <w:headerReference w:type="first" r:id="rId2379"/>
          <w:footerReference w:type="first" r:id="rId2380"/>
          <w:type w:val="continuous"/>
          <w:pgSz w:w="12240" w:h="15840"/>
          <w:pgMar w:top="840" w:right="1080" w:bottom="840" w:left="1080" w:header="0" w:footer="0" w:gutter="0"/>
          <w:cols w:space="720"/>
        </w:sectPr>
      </w:pPr>
      <w:r>
        <w:rPr>
          <w:rFonts w:ascii="Arial" w:eastAsia="Arial" w:hAnsi="Arial" w:cs="Arial"/>
          <w:b/>
          <w:color w:val="000000"/>
          <w:sz w:val="20"/>
        </w:rPr>
        <w:t xml:space="preserve">Client/Matter: </w:t>
      </w:r>
      <w:r>
        <w:rPr>
          <w:rFonts w:ascii="Arial" w:eastAsia="Arial" w:hAnsi="Arial" w:cs="Arial"/>
          <w:color w:val="000000"/>
          <w:sz w:val="20"/>
        </w:rPr>
        <w:t>-None-</w:t>
      </w:r>
    </w:p>
    <w:p w:rsidR="004729FB" w:rsidRDefault="004729FB" w:rsidP="004729FB">
      <w:pPr>
        <w:sectPr w:rsidR="004729FB">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51" name="Picture 15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387" w:history="1">
        <w:r>
          <w:rPr>
            <w:rFonts w:ascii="Arial" w:eastAsia="Arial" w:hAnsi="Arial" w:cs="Arial"/>
            <w:b/>
            <w:bCs/>
            <w:i/>
            <w:color w:val="0077CC"/>
            <w:kern w:val="32"/>
            <w:sz w:val="28"/>
            <w:szCs w:val="32"/>
            <w:u w:val="single"/>
          </w:rPr>
          <w:t>MPJI-Cr 4:35.1</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WEAPONS--CARRYING A CONCEALED DANGEROUS WEAPON</w:t>
      </w:r>
    </w:p>
    <w:p w:rsidR="004729FB" w:rsidRDefault="004729FB" w:rsidP="004729FB">
      <w:pPr>
        <w:keepNext/>
        <w:spacing w:before="240" w:line="340" w:lineRule="atLeast"/>
      </w:pPr>
      <w:r>
        <w:br/>
      </w:r>
      <w:r>
        <w:rPr>
          <w:rFonts w:ascii="Arial" w:eastAsia="Arial" w:hAnsi="Arial" w:cs="Arial"/>
          <w:b/>
          <w:color w:val="000000"/>
          <w:sz w:val="28"/>
        </w:rPr>
        <w:t>4:35.1Weapons--Carrying a Concealed Dangerous Weapon</w:t>
      </w:r>
    </w:p>
    <w:p w:rsidR="004729FB" w:rsidRDefault="004729FB" w:rsidP="004729FB">
      <w:pPr>
        <w:spacing w:line="60" w:lineRule="exact"/>
      </w:pPr>
      <w:r>
        <w:pict>
          <v:line id="_x0000_s1404" style="position:absolute;z-index:25203814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PER SE WEAPON</w:t>
      </w:r>
    </w:p>
    <w:p w:rsidR="004729FB" w:rsidRDefault="004729FB" w:rsidP="004729FB">
      <w:pPr>
        <w:spacing w:before="200" w:line="260" w:lineRule="atLeast"/>
        <w:jc w:val="both"/>
      </w:pPr>
      <w:r>
        <w:rPr>
          <w:rFonts w:ascii="Arial" w:eastAsia="Arial" w:hAnsi="Arial" w:cs="Arial"/>
          <w:b/>
          <w:color w:val="000000"/>
          <w:sz w:val="20"/>
        </w:rPr>
        <w:t>The defendant is charged with the crime of carrying a concealed dangerous weapon.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wore or carried a dangerous weapon; and</w:t>
      </w:r>
    </w:p>
    <w:p w:rsidR="004729FB" w:rsidRDefault="004729FB" w:rsidP="004729FB">
      <w:pPr>
        <w:spacing w:before="200" w:line="260" w:lineRule="atLeast"/>
        <w:ind w:left="400"/>
        <w:jc w:val="both"/>
      </w:pPr>
      <w:r>
        <w:rPr>
          <w:rFonts w:ascii="Arial" w:eastAsia="Arial" w:hAnsi="Arial" w:cs="Arial"/>
          <w:b/>
          <w:color w:val="000000"/>
          <w:sz w:val="20"/>
        </w:rPr>
        <w:t>(2) that the weapon was concealed on or about the defendant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"Dangerous weapon" means a dirk knife, bowie knife, switchblade knife [except a penknife without a switchblade], star knife, a sandclub, metal knuckles, a razor, or a nunchaku</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weapon is concealed if a person close by would not see it by normal observation. A weapon is on or about a person if it is within [his] [her] reach and available for that person's immediate 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OTHER WEAPONS</w:t>
      </w:r>
    </w:p>
    <w:p w:rsidR="004729FB" w:rsidRDefault="004729FB" w:rsidP="004729FB">
      <w:pPr>
        <w:spacing w:before="200" w:line="260" w:lineRule="atLeast"/>
        <w:jc w:val="both"/>
      </w:pPr>
      <w:r>
        <w:rPr>
          <w:rFonts w:ascii="Arial" w:eastAsia="Arial" w:hAnsi="Arial" w:cs="Arial"/>
          <w:b/>
          <w:color w:val="000000"/>
          <w:sz w:val="20"/>
        </w:rPr>
        <w:t xml:space="preserve">The defendant is charged with the crime of carrying a concealed dangerous weapon. You have [heard] [seen] that the object alleged to be a dangerous weapon is [a] [an] </w:t>
      </w:r>
      <w:r>
        <w:rPr>
          <w:rFonts w:ascii="Arial" w:eastAsia="Arial" w:hAnsi="Arial" w:cs="Arial"/>
          <w:b/>
          <w:color w:val="000000"/>
          <w:sz w:val="20"/>
          <w:u w:val="single"/>
        </w:rPr>
        <w:t>(object)</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(1) that the defendant wore or carried [a] [an] </w:t>
      </w:r>
      <w:r>
        <w:rPr>
          <w:rFonts w:ascii="Arial" w:eastAsia="Arial" w:hAnsi="Arial" w:cs="Arial"/>
          <w:b/>
          <w:color w:val="000000"/>
          <w:sz w:val="20"/>
          <w:u w:val="single"/>
        </w:rPr>
        <w:t>(object)</w:t>
      </w:r>
      <w:r>
        <w:rPr>
          <w:rFonts w:ascii="Arial" w:eastAsia="Arial" w:hAnsi="Arial" w:cs="Arial"/>
          <w:b/>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(2) that </w:t>
      </w:r>
      <w:r>
        <w:rPr>
          <w:rFonts w:ascii="Arial" w:eastAsia="Arial" w:hAnsi="Arial" w:cs="Arial"/>
          <w:b/>
          <w:color w:val="000000"/>
          <w:sz w:val="20"/>
          <w:u w:val="single"/>
        </w:rPr>
        <w:t>(object)</w:t>
      </w:r>
      <w:r>
        <w:rPr>
          <w:rFonts w:ascii="Arial" w:eastAsia="Arial" w:hAnsi="Arial" w:cs="Arial"/>
          <w:b/>
          <w:color w:val="000000"/>
          <w:sz w:val="20"/>
        </w:rPr>
        <w:t xml:space="preserve"> was concealed on or about the defendant;</w:t>
      </w:r>
    </w:p>
    <w:p w:rsidR="004729FB" w:rsidRDefault="004729FB" w:rsidP="004729FB">
      <w:pPr>
        <w:spacing w:before="200" w:line="260" w:lineRule="atLeast"/>
        <w:ind w:left="400"/>
        <w:jc w:val="both"/>
      </w:pPr>
      <w:r>
        <w:rPr>
          <w:rFonts w:ascii="Arial" w:eastAsia="Arial" w:hAnsi="Arial" w:cs="Arial"/>
          <w:b/>
          <w:color w:val="000000"/>
          <w:sz w:val="20"/>
        </w:rPr>
        <w:t xml:space="preserve">(3) that the defendant had the intent to carry </w:t>
      </w:r>
      <w:r>
        <w:rPr>
          <w:rFonts w:ascii="Arial" w:eastAsia="Arial" w:hAnsi="Arial" w:cs="Arial"/>
          <w:b/>
          <w:color w:val="000000"/>
          <w:sz w:val="20"/>
          <w:u w:val="single"/>
        </w:rPr>
        <w:t>(object)</w:t>
      </w:r>
      <w:r>
        <w:rPr>
          <w:rFonts w:ascii="Arial" w:eastAsia="Arial" w:hAnsi="Arial" w:cs="Arial"/>
          <w:b/>
          <w:color w:val="000000"/>
          <w:sz w:val="20"/>
        </w:rPr>
        <w:t xml:space="preserve"> for its use as a weapon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 xml:space="preserve">(4) that </w:t>
      </w:r>
      <w:r>
        <w:rPr>
          <w:rFonts w:ascii="Arial" w:eastAsia="Arial" w:hAnsi="Arial" w:cs="Arial"/>
          <w:b/>
          <w:color w:val="000000"/>
          <w:sz w:val="20"/>
          <w:u w:val="single"/>
        </w:rPr>
        <w:t>(object)</w:t>
      </w:r>
      <w:r>
        <w:rPr>
          <w:rFonts w:ascii="Arial" w:eastAsia="Arial" w:hAnsi="Arial" w:cs="Arial"/>
          <w:b/>
          <w:color w:val="000000"/>
          <w:sz w:val="20"/>
        </w:rPr>
        <w:t xml:space="preserve"> was a dangerous weapon under the circumstances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dangerous weapon is an object that is capable of causing death or serious bodily injury, such as a knife [except a penknife without a switchblade] or a club. An object may be dangerous if it was designed or made for offensive or defensive purposes or to cause serious bodily injury or death</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weapon is concealed if a person close by would not see it by normal observation. A weapon is on or about a person if it is within [his] [her] reach and available for that person's immediate use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lastRenderedPageBreak/>
        <w:t>The State must prove that the defendant carried the object with the intent to use it as a weapon, either offensive or defensive. However, the State does not have to prove that the defendant intended to injure another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4:28.1 (Robbery with a Dangerous Weapon); MPJI-Cr 4:35 (Weapon--Carrying a Dangerous Weapon Openly with Intent to Injure).</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4-101(c)(1) prohibits wearing or carrying a dangerous weapon concealed upon or about the person. </w:t>
            </w:r>
            <w:r>
              <w:rPr>
                <w:rFonts w:ascii="Arial" w:eastAsia="Arial" w:hAnsi="Arial" w:cs="Arial"/>
                <w:i/>
                <w:color w:val="000000"/>
                <w:sz w:val="20"/>
              </w:rPr>
              <w:t xml:space="preserve">See </w:t>
            </w:r>
            <w:hyperlink r:id="rId2388" w:history="1">
              <w:r>
                <w:rPr>
                  <w:rFonts w:ascii="Arial" w:eastAsia="Arial" w:hAnsi="Arial" w:cs="Arial"/>
                  <w:i/>
                  <w:color w:val="0077CC"/>
                  <w:sz w:val="20"/>
                  <w:u w:val="single"/>
                </w:rPr>
                <w:t>Davis v. State, 202 Md. 463, 97 A.2d 303 (1953);</w:t>
              </w:r>
            </w:hyperlink>
            <w:r>
              <w:rPr>
                <w:rFonts w:ascii="Arial" w:eastAsia="Arial" w:hAnsi="Arial" w:cs="Arial"/>
                <w:color w:val="000000"/>
                <w:sz w:val="20"/>
              </w:rPr>
              <w:t xml:space="preserve"> </w:t>
            </w:r>
            <w:hyperlink r:id="rId2389" w:history="1">
              <w:r>
                <w:rPr>
                  <w:rFonts w:ascii="Arial" w:eastAsia="Arial" w:hAnsi="Arial" w:cs="Arial"/>
                  <w:i/>
                  <w:color w:val="0077CC"/>
                  <w:sz w:val="20"/>
                  <w:u w:val="single"/>
                </w:rPr>
                <w:t>Wood v. State, 192 Md. 643, 65 A.2d 316 (1949).</w:t>
              </w:r>
            </w:hyperlink>
            <w:r>
              <w:rPr>
                <w:rFonts w:ascii="Arial" w:eastAsia="Arial" w:hAnsi="Arial" w:cs="Arial"/>
                <w:color w:val="000000"/>
                <w:sz w:val="20"/>
              </w:rPr>
              <w:t xml:space="preserve"> A weapon is concealed if it is not discernible by ordinary observation by those near enough to see it, if it were not concealed. Absolute invisibility is not required because ordinary observation does not include a careful or thorough search based on suspicion that a concealed weapon may be present. </w:t>
            </w:r>
            <w:hyperlink r:id="rId2390" w:history="1">
              <w:r>
                <w:rPr>
                  <w:rFonts w:ascii="Arial" w:eastAsia="Arial" w:hAnsi="Arial" w:cs="Arial"/>
                  <w:i/>
                  <w:color w:val="0077CC"/>
                  <w:sz w:val="20"/>
                  <w:u w:val="single"/>
                </w:rPr>
                <w:t>Shipley v. State, 243 Md. 262, 220 A.2d 585 (1966)</w:t>
              </w:r>
            </w:hyperlink>
            <w:r>
              <w:rPr>
                <w:rFonts w:ascii="Arial" w:eastAsia="Arial" w:hAnsi="Arial" w:cs="Arial"/>
                <w:color w:val="000000"/>
                <w:sz w:val="20"/>
              </w:rPr>
              <w:t xml:space="preserve"> (finding that, although the blade of a dirk knife was visible when the driver was not in the automobile, it was inferable that when the defendant was in the driver's seat, the knife would have been concealed from view by the defendant's legs and feet); </w:t>
            </w:r>
            <w:hyperlink r:id="rId2391" w:history="1">
              <w:r>
                <w:rPr>
                  <w:rFonts w:ascii="Arial" w:eastAsia="Arial" w:hAnsi="Arial" w:cs="Arial"/>
                  <w:i/>
                  <w:color w:val="0077CC"/>
                  <w:sz w:val="20"/>
                  <w:u w:val="single"/>
                </w:rPr>
                <w:t>Smith v. State, 18 Md. App. 612, 308 A.2d 442</w:t>
              </w:r>
            </w:hyperlink>
            <w:r>
              <w:rPr>
                <w:rFonts w:ascii="Arial" w:eastAsia="Arial" w:hAnsi="Arial" w:cs="Arial"/>
                <w:color w:val="000000"/>
                <w:sz w:val="20"/>
              </w:rPr>
              <w:t xml:space="preserve"> (finding that a gun within the automobile was concealed by darkness even though the car light could cause visibility),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269 Md. 766 (1973);</w:t>
            </w:r>
            <w:r>
              <w:rPr>
                <w:rFonts w:ascii="Arial" w:eastAsia="Arial" w:hAnsi="Arial" w:cs="Arial"/>
                <w:color w:val="000000"/>
                <w:sz w:val="20"/>
              </w:rPr>
              <w:t xml:space="preserve"> </w:t>
            </w:r>
            <w:hyperlink r:id="rId2392" w:history="1">
              <w:r>
                <w:rPr>
                  <w:rFonts w:ascii="Arial" w:eastAsia="Arial" w:hAnsi="Arial" w:cs="Arial"/>
                  <w:i/>
                  <w:color w:val="0077CC"/>
                  <w:sz w:val="20"/>
                  <w:u w:val="single"/>
                </w:rPr>
                <w:t>Crosby v. State, 2 Md. App. 578, 236 A.2d 33 (1967)</w:t>
              </w:r>
            </w:hyperlink>
            <w:r>
              <w:rPr>
                <w:rFonts w:ascii="Arial" w:eastAsia="Arial" w:hAnsi="Arial" w:cs="Arial"/>
                <w:color w:val="000000"/>
                <w:sz w:val="20"/>
              </w:rPr>
              <w:t xml:space="preserve"> (finding that a concealed gun, with only the handle protruding from the defendant's pants, was observed only because the defendant's jacket was unbuttoned as the defendant stepped from the automobile), </w:t>
            </w:r>
            <w:r>
              <w:rPr>
                <w:rFonts w:ascii="Arial" w:eastAsia="Arial" w:hAnsi="Arial" w:cs="Arial"/>
                <w:i/>
                <w:color w:val="000000"/>
                <w:sz w:val="20"/>
              </w:rPr>
              <w:t>cert. denied</w:t>
            </w:r>
            <w:r>
              <w:rPr>
                <w:rFonts w:ascii="Arial" w:eastAsia="Arial" w:hAnsi="Arial" w:cs="Arial"/>
                <w:color w:val="000000"/>
                <w:sz w:val="20"/>
              </w:rPr>
              <w:t xml:space="preserve">, </w:t>
            </w:r>
            <w:hyperlink r:id="rId2393" w:history="1">
              <w:r>
                <w:rPr>
                  <w:rFonts w:ascii="Arial" w:eastAsia="Arial" w:hAnsi="Arial" w:cs="Arial"/>
                  <w:i/>
                  <w:color w:val="0077CC"/>
                  <w:sz w:val="20"/>
                  <w:u w:val="single"/>
                </w:rPr>
                <w:t>249 Md. 733 (1968).</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To have a weapon on or about one's person means that the weapon is in such proximity to the person as would make it available for immediate use. </w:t>
            </w:r>
            <w:hyperlink r:id="rId2394" w:history="1">
              <w:r>
                <w:rPr>
                  <w:rFonts w:ascii="Arial" w:eastAsia="Arial" w:hAnsi="Arial" w:cs="Arial"/>
                  <w:i/>
                  <w:color w:val="0077CC"/>
                  <w:sz w:val="20"/>
                  <w:u w:val="single"/>
                </w:rPr>
                <w:t>Evans v. State, 11 Md. App. 451, 459, 274 A.2d 653, 658</w:t>
              </w:r>
            </w:hyperlink>
            <w:r>
              <w:rPr>
                <w:rFonts w:ascii="Arial" w:eastAsia="Arial" w:hAnsi="Arial" w:cs="Arial"/>
                <w:color w:val="000000"/>
                <w:sz w:val="20"/>
              </w:rPr>
              <w:t xml:space="preserve"> (finding that a weapon partially under the seat on the defendant's side of the automobile was sufficient),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262 Md. 746 (1971);</w:t>
            </w:r>
            <w:r>
              <w:rPr>
                <w:rFonts w:ascii="Arial" w:eastAsia="Arial" w:hAnsi="Arial" w:cs="Arial"/>
                <w:color w:val="000000"/>
                <w:sz w:val="20"/>
              </w:rPr>
              <w:t xml:space="preserve"> </w:t>
            </w:r>
            <w:hyperlink r:id="rId2395" w:history="1">
              <w:r>
                <w:rPr>
                  <w:rFonts w:ascii="Arial" w:eastAsia="Arial" w:hAnsi="Arial" w:cs="Arial"/>
                  <w:i/>
                  <w:color w:val="0077CC"/>
                  <w:sz w:val="20"/>
                  <w:u w:val="single"/>
                </w:rPr>
                <w:t>Shifflett v. State, 3 Md. App. 550, 554, 240 A.2d 286, 288 (1968)</w:t>
              </w:r>
            </w:hyperlink>
            <w:r>
              <w:rPr>
                <w:rFonts w:ascii="Arial" w:eastAsia="Arial" w:hAnsi="Arial" w:cs="Arial"/>
                <w:color w:val="000000"/>
                <w:sz w:val="20"/>
              </w:rPr>
              <w:t xml:space="preserve"> (finding that a razor not on the defendant's person, but found "at the immediate and exact spot" where the defendant was arrested was sufficient to support a conviction for carrying a concealed weapon). </w:t>
            </w:r>
            <w:r>
              <w:rPr>
                <w:rFonts w:ascii="Arial" w:eastAsia="Arial" w:hAnsi="Arial" w:cs="Arial"/>
                <w:i/>
                <w:color w:val="000000"/>
                <w:sz w:val="20"/>
              </w:rPr>
              <w:t xml:space="preserve">But see </w:t>
            </w:r>
            <w:hyperlink r:id="rId2396" w:history="1">
              <w:r>
                <w:rPr>
                  <w:rFonts w:ascii="Arial" w:eastAsia="Arial" w:hAnsi="Arial" w:cs="Arial"/>
                  <w:i/>
                  <w:color w:val="0077CC"/>
                  <w:sz w:val="20"/>
                  <w:u w:val="single"/>
                </w:rPr>
                <w:t>Corbin v. State, 237 Md. 486, 490-91, 206 A.2d 809, 812 (1965)</w:t>
              </w:r>
            </w:hyperlink>
            <w:r>
              <w:rPr>
                <w:rFonts w:ascii="Arial" w:eastAsia="Arial" w:hAnsi="Arial" w:cs="Arial"/>
                <w:color w:val="000000"/>
                <w:sz w:val="20"/>
              </w:rPr>
              <w:t xml:space="preserve"> (stating that evidence that failed to disclose the location of the weapon within the car was insufficient to support a conviction for carrying a concealed weapon).</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2397" w:history="1">
              <w:r>
                <w:rPr>
                  <w:rFonts w:ascii="Arial" w:eastAsia="Arial" w:hAnsi="Arial" w:cs="Arial"/>
                  <w:i/>
                  <w:color w:val="0077CC"/>
                  <w:sz w:val="20"/>
                  <w:u w:val="single"/>
                </w:rPr>
                <w:t>Anderson v. State, 328 Md. 426, 614 A.2d 963 (1992),</w:t>
              </w:r>
            </w:hyperlink>
            <w:r>
              <w:rPr>
                <w:rFonts w:ascii="Arial" w:eastAsia="Arial" w:hAnsi="Arial" w:cs="Arial"/>
                <w:color w:val="000000"/>
                <w:sz w:val="20"/>
              </w:rPr>
              <w:t xml:space="preserve"> the Court of Appeals addressed whether a non-per se dangerous weapon qualifies when "it is simply carried, without actual or imminent use." </w:t>
            </w:r>
            <w:hyperlink r:id="rId2398" w:history="1">
              <w:r>
                <w:rPr>
                  <w:rFonts w:ascii="Arial" w:eastAsia="Arial" w:hAnsi="Arial" w:cs="Arial"/>
                  <w:i/>
                  <w:color w:val="0077CC"/>
                  <w:sz w:val="20"/>
                  <w:u w:val="single"/>
                </w:rPr>
                <w:t>Id. at 436, 614 A.2d at 968.</w:t>
              </w:r>
            </w:hyperlink>
            <w:r>
              <w:rPr>
                <w:rFonts w:ascii="Arial" w:eastAsia="Arial" w:hAnsi="Arial" w:cs="Arial"/>
                <w:color w:val="000000"/>
                <w:sz w:val="20"/>
              </w:rPr>
              <w:t xml:space="preserve"> The Court held as follows:</w:t>
            </w:r>
          </w:p>
          <w:p w:rsidR="004729FB" w:rsidRDefault="004729FB" w:rsidP="00713DA5">
            <w:pPr>
              <w:spacing w:before="60" w:line="260" w:lineRule="atLeast"/>
              <w:ind w:left="460" w:right="360"/>
              <w:jc w:val="both"/>
            </w:pPr>
            <w:r>
              <w:rPr>
                <w:rFonts w:ascii="Arial" w:eastAsia="Arial" w:hAnsi="Arial" w:cs="Arial"/>
                <w:color w:val="000000"/>
                <w:sz w:val="20"/>
              </w:rPr>
              <w:t>The concealed carrying prohibition in [§ 4-101(c)(1)] is not violated simply because the instrument can be used to inflict serious or deadly harm. The person carrying the object must have at least the general intent to carry the instrument for its use as a weapon, either of offense or defense. It is a question of fact, to be decided based on all of the circumstances.</w:t>
            </w:r>
          </w:p>
          <w:p w:rsidR="004729FB" w:rsidRDefault="004729FB" w:rsidP="00713DA5">
            <w:pPr>
              <w:spacing w:before="240" w:line="260" w:lineRule="atLeast"/>
              <w:ind w:left="60" w:right="360"/>
              <w:jc w:val="both"/>
            </w:pPr>
            <w:hyperlink r:id="rId2399" w:history="1">
              <w:r>
                <w:rPr>
                  <w:rFonts w:ascii="Arial" w:eastAsia="Arial" w:hAnsi="Arial" w:cs="Arial"/>
                  <w:i/>
                  <w:color w:val="0077CC"/>
                  <w:sz w:val="20"/>
                  <w:u w:val="single"/>
                </w:rPr>
                <w:t>Id. at 438, 614 A.2d at 968.</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411" style="position:absolute;z-index:252045312"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4:35.</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18" style="position:absolute;left:0;text-align:left;z-index:252052480;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50" name="Picture 15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06" w:history="1">
        <w:r>
          <w:rPr>
            <w:rFonts w:ascii="Arial" w:eastAsia="Arial" w:hAnsi="Arial" w:cs="Arial"/>
            <w:b/>
            <w:bCs/>
            <w:i/>
            <w:color w:val="0077CC"/>
            <w:kern w:val="32"/>
            <w:sz w:val="28"/>
            <w:szCs w:val="32"/>
            <w:u w:val="single"/>
          </w:rPr>
          <w:t>MPJI-Cr 4:35.2</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WEAPONS--CARRYING A HANDGUN CONCEALED OR OPENLY</w:t>
      </w:r>
    </w:p>
    <w:p w:rsidR="004729FB" w:rsidRDefault="004729FB" w:rsidP="004729FB">
      <w:pPr>
        <w:keepNext/>
        <w:spacing w:before="240" w:line="340" w:lineRule="atLeast"/>
      </w:pPr>
      <w:r>
        <w:br/>
      </w:r>
      <w:r>
        <w:rPr>
          <w:rFonts w:ascii="Arial" w:eastAsia="Arial" w:hAnsi="Arial" w:cs="Arial"/>
          <w:b/>
          <w:color w:val="000000"/>
          <w:sz w:val="28"/>
        </w:rPr>
        <w:t>4:35.2Weapons--Carrying a Handgun Concealed or Openly</w:t>
      </w:r>
    </w:p>
    <w:p w:rsidR="004729FB" w:rsidRDefault="004729FB" w:rsidP="004729FB">
      <w:pPr>
        <w:spacing w:line="60" w:lineRule="exact"/>
      </w:pPr>
      <w:r>
        <w:pict>
          <v:line id="_x0000_s1405" style="position:absolute;z-index:25203916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carrying a handgun [while on public school property] [with the purpose of injuring or killing another].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wore, carried, or transported a handgun that was within [his] [her] reach and available for [his] [her] immediate use.]]</w:t>
      </w:r>
    </w:p>
    <w:p w:rsidR="004729FB" w:rsidRDefault="004729FB" w:rsidP="004729FB">
      <w:pPr>
        <w:spacing w:before="200" w:line="260" w:lineRule="atLeast"/>
        <w:ind w:left="400"/>
        <w:jc w:val="both"/>
      </w:pPr>
      <w:r>
        <w:rPr>
          <w:rFonts w:ascii="Arial" w:eastAsia="Arial" w:hAnsi="Arial" w:cs="Arial"/>
          <w:b/>
          <w:color w:val="000000"/>
          <w:sz w:val="20"/>
        </w:rPr>
        <w:t>[[(2) that the defendant wore, carried, or transported a handgun that was within [his] [her] reach and available for [his] [her] immediate use on public school property.]]</w:t>
      </w:r>
    </w:p>
    <w:p w:rsidR="004729FB" w:rsidRDefault="004729FB" w:rsidP="004729FB">
      <w:pPr>
        <w:spacing w:before="200" w:line="260" w:lineRule="atLeast"/>
        <w:ind w:left="400"/>
        <w:jc w:val="both"/>
      </w:pPr>
      <w:r>
        <w:rPr>
          <w:rFonts w:ascii="Arial" w:eastAsia="Arial" w:hAnsi="Arial" w:cs="Arial"/>
          <w:b/>
          <w:color w:val="000000"/>
          <w:sz w:val="20"/>
        </w:rPr>
        <w:t>[[(3) that the defendant wore, carried, or transported a handgun that was within [his] [her] reach and available for [his] [her] immediate use with the deliberate purpose of injuring or killing another person.]]</w:t>
      </w:r>
    </w:p>
    <w:p w:rsidR="004729FB" w:rsidRDefault="004729FB" w:rsidP="004729FB">
      <w:pPr>
        <w:spacing w:before="200" w:line="260" w:lineRule="atLeast"/>
        <w:jc w:val="both"/>
      </w:pPr>
      <w:r>
        <w:rPr>
          <w:rFonts w:ascii="Arial" w:eastAsia="Arial" w:hAnsi="Arial" w:cs="Arial"/>
          <w:b/>
          <w:color w:val="000000"/>
          <w:sz w:val="20"/>
        </w:rPr>
        <w:t>A handgun is a pistol, revolver, or other firearm, capable of being concealed on or about the person, and which is designed to fire a bullet by the explosion of gunpowder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CRIMINAL LAW I § 4-203(a)(1)(i) prohibits wearing, carrying, or transporting a handgun, whether concealed or open, on or about the person. In 2005, the General Assembly amended § 4-203 by adding new crimes to it, including the crimes of violating § 4-203(a)(1)(i) while on public school property ( § 4-203(a)(1)(iii)) and of violating § 4- 203(a)(1)(i) with the deliberate purpose of injuring or killing another person ( § 4-203(a)(1)(iv)). Prior to this amendment, these two factors had been included in enhanced penalty provisions. </w:t>
            </w:r>
            <w:r>
              <w:rPr>
                <w:rFonts w:ascii="Arial" w:eastAsia="Arial" w:hAnsi="Arial" w:cs="Arial"/>
                <w:i/>
                <w:color w:val="000000"/>
                <w:sz w:val="20"/>
              </w:rPr>
              <w:t>See</w:t>
            </w:r>
            <w:r>
              <w:rPr>
                <w:rFonts w:ascii="Arial" w:eastAsia="Arial" w:hAnsi="Arial" w:cs="Arial"/>
                <w:color w:val="000000"/>
                <w:sz w:val="20"/>
              </w:rPr>
              <w:t xml:space="preserve"> CRIM. LAW I § 4- 203(c)(2)(ii), (3)(i)(2), (4)(i)(2)(A)-(B) (2002).</w:t>
            </w:r>
          </w:p>
          <w:p w:rsidR="004729FB" w:rsidRDefault="004729FB" w:rsidP="00713DA5">
            <w:pPr>
              <w:spacing w:before="200" w:line="260" w:lineRule="atLeast"/>
              <w:ind w:left="60" w:right="360"/>
              <w:jc w:val="both"/>
            </w:pPr>
            <w:r>
              <w:rPr>
                <w:rFonts w:ascii="Arial" w:eastAsia="Arial" w:hAnsi="Arial" w:cs="Arial"/>
                <w:color w:val="000000"/>
                <w:sz w:val="20"/>
              </w:rPr>
              <w:t>Both the statute and the name of the instruction refer to "concealed or open." However, the text of the instruction does not contain the words "concealed or open" because the handgun issue is the same for the jury whether the handgun is carried concealed or open.</w:t>
            </w:r>
          </w:p>
          <w:p w:rsidR="004729FB" w:rsidRDefault="004729FB" w:rsidP="00713DA5">
            <w:pPr>
              <w:spacing w:before="200" w:line="260" w:lineRule="atLeast"/>
              <w:ind w:left="60" w:right="360"/>
              <w:jc w:val="both"/>
            </w:pPr>
            <w:r>
              <w:rPr>
                <w:rFonts w:ascii="Arial" w:eastAsia="Arial" w:hAnsi="Arial" w:cs="Arial"/>
                <w:color w:val="000000"/>
                <w:sz w:val="20"/>
              </w:rPr>
              <w:t xml:space="preserve">Section 4-201(c) provides: "(1) 'Handgun' means a pistol, revolver, or other firearm capable of being concealed on the person ...includ[ing] a short-barreled shotgun and a short-barreled rifle." A handgun is a firearm or that which is readily convertible to a firearm, and which propels a missile or projectile by gunpowder or similar explosive. </w:t>
            </w:r>
            <w:hyperlink r:id="rId2407" w:history="1">
              <w:r>
                <w:rPr>
                  <w:rFonts w:ascii="Arial" w:eastAsia="Arial" w:hAnsi="Arial" w:cs="Arial"/>
                  <w:i/>
                  <w:color w:val="0077CC"/>
                  <w:sz w:val="20"/>
                  <w:u w:val="single"/>
                </w:rPr>
                <w:t>Howell v. State, 278 Md. 389, 395-96, 364 A.2d 797, 801 (1976).</w:t>
              </w:r>
            </w:hyperlink>
            <w:r>
              <w:rPr>
                <w:rFonts w:ascii="Arial" w:eastAsia="Arial" w:hAnsi="Arial" w:cs="Arial"/>
                <w:color w:val="000000"/>
                <w:sz w:val="20"/>
              </w:rPr>
              <w:t xml:space="preserve"> A handgun has the same meaning as firearm under the Gun Control Act of 1968, </w:t>
            </w:r>
            <w:r>
              <w:rPr>
                <w:rFonts w:ascii="Arial" w:eastAsia="Arial" w:hAnsi="Arial" w:cs="Arial"/>
                <w:i/>
                <w:color w:val="000000"/>
                <w:sz w:val="20"/>
              </w:rPr>
              <w:t>18 U.S.C. § 921</w:t>
            </w:r>
            <w:r>
              <w:rPr>
                <w:rFonts w:ascii="Arial" w:eastAsia="Arial" w:hAnsi="Arial" w:cs="Arial"/>
                <w:color w:val="000000"/>
                <w:sz w:val="20"/>
              </w:rPr>
              <w:t xml:space="preserve">(3) (1988). </w:t>
            </w:r>
            <w:r>
              <w:rPr>
                <w:rFonts w:ascii="Arial" w:eastAsia="Arial" w:hAnsi="Arial" w:cs="Arial"/>
                <w:color w:val="000000"/>
                <w:sz w:val="20"/>
              </w:rPr>
              <w:lastRenderedPageBreak/>
              <w:t xml:space="preserve">58 Op. Md. Att'y Gen. 572, 576 (1973); </w:t>
            </w:r>
            <w:r>
              <w:rPr>
                <w:rFonts w:ascii="Arial" w:eastAsia="Arial" w:hAnsi="Arial" w:cs="Arial"/>
                <w:i/>
                <w:color w:val="000000"/>
                <w:sz w:val="20"/>
              </w:rPr>
              <w:t xml:space="preserve">see, e. g., </w:t>
            </w:r>
            <w:hyperlink r:id="rId2408" w:history="1">
              <w:r>
                <w:rPr>
                  <w:rFonts w:ascii="Arial" w:eastAsia="Arial" w:hAnsi="Arial" w:cs="Arial"/>
                  <w:i/>
                  <w:color w:val="0077CC"/>
                  <w:sz w:val="20"/>
                  <w:u w:val="single"/>
                </w:rPr>
                <w:t>Moore v. State, 84 Md. App. 165, 173-75, 578 A.2d 304, 308-09</w:t>
              </w:r>
            </w:hyperlink>
            <w:r>
              <w:rPr>
                <w:rFonts w:ascii="Arial" w:eastAsia="Arial" w:hAnsi="Arial" w:cs="Arial"/>
                <w:color w:val="000000"/>
                <w:sz w:val="20"/>
              </w:rPr>
              <w:t xml:space="preserve"> (Ingram MAC- 11 is a handgun),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321 Md. 385, 582 A.2d 1256 (1990);</w:t>
            </w:r>
            <w:r>
              <w:rPr>
                <w:rFonts w:ascii="Arial" w:eastAsia="Arial" w:hAnsi="Arial" w:cs="Arial"/>
                <w:color w:val="000000"/>
                <w:sz w:val="20"/>
              </w:rPr>
              <w:t xml:space="preserve"> </w:t>
            </w:r>
            <w:hyperlink r:id="rId2409" w:history="1">
              <w:r>
                <w:rPr>
                  <w:rFonts w:ascii="Arial" w:eastAsia="Arial" w:hAnsi="Arial" w:cs="Arial"/>
                  <w:i/>
                  <w:color w:val="0077CC"/>
                  <w:sz w:val="20"/>
                  <w:u w:val="single"/>
                </w:rPr>
                <w:t>York v. State, 56 Md. App. 222, 227-30, 467 A.2d 552, 555-56 (1983)</w:t>
              </w:r>
            </w:hyperlink>
            <w:r>
              <w:rPr>
                <w:rFonts w:ascii="Arial" w:eastAsia="Arial" w:hAnsi="Arial" w:cs="Arial"/>
                <w:color w:val="000000"/>
                <w:sz w:val="20"/>
              </w:rPr>
              <w:t xml:space="preserve"> (loaded inoperable </w:t>
            </w:r>
            <w:r>
              <w:rPr>
                <w:rFonts w:ascii="Arial" w:eastAsia="Arial" w:hAnsi="Arial" w:cs="Arial"/>
                <w:i/>
                <w:color w:val="000000"/>
                <w:sz w:val="20"/>
              </w:rPr>
              <w:t>"</w:t>
            </w:r>
            <w:r>
              <w:rPr>
                <w:rFonts w:ascii="Arial" w:eastAsia="Arial" w:hAnsi="Arial" w:cs="Arial"/>
                <w:color w:val="000000"/>
                <w:sz w:val="20"/>
              </w:rPr>
              <w:t xml:space="preserve">Saturday night special" that can be made operable in about one minute with a hammer and a screwdriver or file is a handgun),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299 Md. 137, 472 A.2d 1000 (1984).</w:t>
            </w:r>
            <w:r>
              <w:rPr>
                <w:rFonts w:ascii="Arial" w:eastAsia="Arial" w:hAnsi="Arial" w:cs="Arial"/>
                <w:color w:val="000000"/>
                <w:sz w:val="20"/>
              </w:rPr>
              <w:t xml:space="preserve"> A tear gas pistol is not a handgun. </w:t>
            </w:r>
            <w:r>
              <w:rPr>
                <w:rFonts w:ascii="Arial" w:eastAsia="Arial" w:hAnsi="Arial" w:cs="Arial"/>
                <w:i/>
                <w:color w:val="000000"/>
                <w:sz w:val="20"/>
              </w:rPr>
              <w:t xml:space="preserve">See </w:t>
            </w:r>
            <w:hyperlink r:id="rId2410" w:history="1">
              <w:r>
                <w:rPr>
                  <w:rFonts w:ascii="Arial" w:eastAsia="Arial" w:hAnsi="Arial" w:cs="Arial"/>
                  <w:i/>
                  <w:color w:val="0077CC"/>
                  <w:sz w:val="20"/>
                  <w:u w:val="single"/>
                </w:rPr>
                <w:t>Howell, 278 Md. at 395-96, 364 A.2d at 801;</w:t>
              </w:r>
            </w:hyperlink>
            <w:r>
              <w:rPr>
                <w:rFonts w:ascii="Arial" w:eastAsia="Arial" w:hAnsi="Arial" w:cs="Arial"/>
                <w:color w:val="000000"/>
                <w:sz w:val="20"/>
              </w:rPr>
              <w:t xml:space="preserve"> </w:t>
            </w:r>
            <w:hyperlink r:id="rId2411" w:history="1">
              <w:r>
                <w:rPr>
                  <w:rFonts w:ascii="Arial" w:eastAsia="Arial" w:hAnsi="Arial" w:cs="Arial"/>
                  <w:i/>
                  <w:color w:val="0077CC"/>
                  <w:sz w:val="20"/>
                  <w:u w:val="single"/>
                </w:rPr>
                <w:t>Grant v. State, 65 Md. App. 547, 554-57, 501 A.2d 475, 478-80 (1985)</w:t>
              </w:r>
            </w:hyperlink>
            <w:r>
              <w:rPr>
                <w:rFonts w:ascii="Arial" w:eastAsia="Arial" w:hAnsi="Arial" w:cs="Arial"/>
                <w:color w:val="000000"/>
                <w:sz w:val="20"/>
              </w:rPr>
              <w:t xml:space="preserve"> (a BB gun is not a handgun),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306 Md. 70, 507 A.2d 184 (1986);</w:t>
            </w:r>
            <w:r>
              <w:rPr>
                <w:rFonts w:ascii="Arial" w:eastAsia="Arial" w:hAnsi="Arial" w:cs="Arial"/>
                <w:color w:val="000000"/>
                <w:sz w:val="20"/>
              </w:rPr>
              <w:t xml:space="preserve"> </w:t>
            </w:r>
            <w:hyperlink r:id="rId2412" w:history="1">
              <w:r>
                <w:rPr>
                  <w:rFonts w:ascii="Arial" w:eastAsia="Arial" w:hAnsi="Arial" w:cs="Arial"/>
                  <w:i/>
                  <w:color w:val="0077CC"/>
                  <w:sz w:val="20"/>
                  <w:u w:val="single"/>
                </w:rPr>
                <w:t>Douglas v. State, 37 Md. App. 557, 378 A.2d 189 (1977)</w:t>
              </w:r>
            </w:hyperlink>
            <w:r>
              <w:rPr>
                <w:rFonts w:ascii="Arial" w:eastAsia="Arial" w:hAnsi="Arial" w:cs="Arial"/>
                <w:color w:val="000000"/>
                <w:sz w:val="20"/>
              </w:rPr>
              <w:t xml:space="preserve"> (a CO2 pellet gun is not a handgun); </w:t>
            </w:r>
            <w:r>
              <w:rPr>
                <w:rFonts w:ascii="Arial" w:eastAsia="Arial" w:hAnsi="Arial" w:cs="Arial"/>
                <w:i/>
                <w:color w:val="000000"/>
                <w:sz w:val="20"/>
              </w:rPr>
              <w:t xml:space="preserve">see also </w:t>
            </w:r>
            <w:hyperlink r:id="rId2413" w:history="1">
              <w:r>
                <w:rPr>
                  <w:rFonts w:ascii="Arial" w:eastAsia="Arial" w:hAnsi="Arial" w:cs="Arial"/>
                  <w:i/>
                  <w:color w:val="0077CC"/>
                  <w:sz w:val="20"/>
                  <w:u w:val="single"/>
                </w:rPr>
                <w:t>Mangum v. State, 342 Md. 392, 676 A.2d 80 (1996)</w:t>
              </w:r>
            </w:hyperlink>
            <w:r>
              <w:rPr>
                <w:rFonts w:ascii="Arial" w:eastAsia="Arial" w:hAnsi="Arial" w:cs="Arial"/>
                <w:color w:val="000000"/>
                <w:sz w:val="20"/>
              </w:rPr>
              <w:t xml:space="preserve"> (stating that, when the weapon is recovered, operability may be established by circumstantial evidence); </w:t>
            </w:r>
            <w:hyperlink r:id="rId2414" w:history="1">
              <w:r>
                <w:rPr>
                  <w:rFonts w:ascii="Arial" w:eastAsia="Arial" w:hAnsi="Arial" w:cs="Arial"/>
                  <w:i/>
                  <w:color w:val="0077CC"/>
                  <w:sz w:val="20"/>
                  <w:u w:val="single"/>
                </w:rPr>
                <w:t>Wright v. State, 70 Md. App. 616, 621, 522 A.2d 401, 403 (1987)</w:t>
              </w:r>
            </w:hyperlink>
            <w:r>
              <w:rPr>
                <w:rFonts w:ascii="Arial" w:eastAsia="Arial" w:hAnsi="Arial" w:cs="Arial"/>
                <w:color w:val="000000"/>
                <w:sz w:val="20"/>
              </w:rPr>
              <w:t xml:space="preserve"> (finding that when there was evidence that the defendant threatened to kill the victim and pulled the trigger, which caused the gun to "click" but not fire, the defendant generated an issue as to inoperability and the general instruction on the definition of a handgun was insufficient); </w:t>
            </w:r>
            <w:hyperlink r:id="rId2415" w:history="1">
              <w:r>
                <w:rPr>
                  <w:rFonts w:ascii="Arial" w:eastAsia="Arial" w:hAnsi="Arial" w:cs="Arial"/>
                  <w:i/>
                  <w:color w:val="0077CC"/>
                  <w:sz w:val="20"/>
                  <w:u w:val="single"/>
                </w:rPr>
                <w:t>Couplin v. State, 37 Md. App. 567, 576-78, 378 A.2d 197, 202-03 (1977)</w:t>
              </w:r>
            </w:hyperlink>
            <w:r>
              <w:rPr>
                <w:rFonts w:ascii="Arial" w:eastAsia="Arial" w:hAnsi="Arial" w:cs="Arial"/>
                <w:color w:val="000000"/>
                <w:sz w:val="20"/>
              </w:rPr>
              <w:t xml:space="preserve"> (stating that, when the weapon is not recovered, operability may be inferred from extrinsic evidence as to the nature of the weapon),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281 Md. 735 (1978).</w:t>
            </w:r>
          </w:p>
          <w:p w:rsidR="004729FB" w:rsidRDefault="004729FB" w:rsidP="00713DA5">
            <w:pPr>
              <w:spacing w:before="240" w:line="260" w:lineRule="atLeast"/>
              <w:ind w:left="60" w:right="360"/>
              <w:jc w:val="both"/>
            </w:pPr>
            <w:r>
              <w:rPr>
                <w:rFonts w:ascii="Arial" w:eastAsia="Arial" w:hAnsi="Arial" w:cs="Arial"/>
                <w:color w:val="000000"/>
                <w:sz w:val="20"/>
              </w:rPr>
              <w:t xml:space="preserve">Section 4-203(b) exempts certain officials, persons with permits, certain business, recreational, and other travel, persons at home, and certain persons at work. </w:t>
            </w:r>
            <w:r>
              <w:rPr>
                <w:rFonts w:ascii="Arial" w:eastAsia="Arial" w:hAnsi="Arial" w:cs="Arial"/>
                <w:i/>
                <w:color w:val="000000"/>
                <w:sz w:val="20"/>
              </w:rPr>
              <w:t>E.</w:t>
            </w:r>
            <w:hyperlink r:id="rId2416" w:history="1">
              <w:r>
                <w:rPr>
                  <w:rFonts w:ascii="Arial" w:eastAsia="Arial" w:hAnsi="Arial" w:cs="Arial"/>
                  <w:i/>
                  <w:color w:val="0077CC"/>
                  <w:sz w:val="20"/>
                  <w:u w:val="single"/>
                </w:rPr>
                <w:t>g., Wieland v. State, 101 Md. App. 1, 28-31, 643 A.2d 446, 459-61 (1994)</w:t>
              </w:r>
            </w:hyperlink>
            <w:r>
              <w:rPr>
                <w:rFonts w:ascii="Arial" w:eastAsia="Arial" w:hAnsi="Arial" w:cs="Arial"/>
                <w:color w:val="000000"/>
                <w:sz w:val="20"/>
              </w:rPr>
              <w:t xml:space="preserve"> (finding insufficient evidence of transporting when the conduct occurred within the confines of the defendant's residence). The defendant must generate the issue that she or he comes within the statutory exception. </w:t>
            </w:r>
            <w:hyperlink r:id="rId2417" w:history="1">
              <w:r>
                <w:rPr>
                  <w:rFonts w:ascii="Arial" w:eastAsia="Arial" w:hAnsi="Arial" w:cs="Arial"/>
                  <w:i/>
                  <w:color w:val="0077CC"/>
                  <w:sz w:val="20"/>
                  <w:u w:val="single"/>
                </w:rPr>
                <w:t>Sproates v. State, 58 Md. App. 547, 568, 473 A.2d 1289, 1299 (1984);</w:t>
              </w:r>
            </w:hyperlink>
            <w:r>
              <w:rPr>
                <w:rFonts w:ascii="Arial" w:eastAsia="Arial" w:hAnsi="Arial" w:cs="Arial"/>
                <w:color w:val="000000"/>
                <w:sz w:val="20"/>
              </w:rPr>
              <w:t xml:space="preserve"> </w:t>
            </w:r>
            <w:hyperlink r:id="rId2418" w:history="1">
              <w:r>
                <w:rPr>
                  <w:rFonts w:ascii="Arial" w:eastAsia="Arial" w:hAnsi="Arial" w:cs="Arial"/>
                  <w:i/>
                  <w:color w:val="0077CC"/>
                  <w:sz w:val="20"/>
                  <w:u w:val="single"/>
                </w:rPr>
                <w:t>Jordan v. State, 24 Md. App. 267, 274, 330 A.2d 496, 501 (1975);</w:t>
              </w:r>
            </w:hyperlink>
            <w:r>
              <w:rPr>
                <w:rFonts w:ascii="Arial" w:eastAsia="Arial" w:hAnsi="Arial" w:cs="Arial"/>
                <w:color w:val="000000"/>
                <w:sz w:val="20"/>
              </w:rPr>
              <w:t xml:space="preserve"> </w:t>
            </w:r>
            <w:r>
              <w:rPr>
                <w:rFonts w:ascii="Arial" w:eastAsia="Arial" w:hAnsi="Arial" w:cs="Arial"/>
                <w:i/>
                <w:color w:val="000000"/>
                <w:sz w:val="20"/>
              </w:rPr>
              <w:t xml:space="preserve">see </w:t>
            </w:r>
            <w:hyperlink r:id="rId2419" w:history="1">
              <w:r>
                <w:rPr>
                  <w:rFonts w:ascii="Arial" w:eastAsia="Arial" w:hAnsi="Arial" w:cs="Arial"/>
                  <w:i/>
                  <w:color w:val="0077CC"/>
                  <w:sz w:val="20"/>
                  <w:u w:val="single"/>
                </w:rPr>
                <w:t>Spurrier v. State, 229 Md. 110, 182 A.2d 358 (1962)</w:t>
              </w:r>
            </w:hyperlink>
            <w:r>
              <w:rPr>
                <w:rFonts w:ascii="Arial" w:eastAsia="Arial" w:hAnsi="Arial" w:cs="Arial"/>
                <w:color w:val="000000"/>
                <w:sz w:val="20"/>
              </w:rPr>
              <w:t xml:space="preserve"> (per curiam). In </w:t>
            </w:r>
            <w:hyperlink r:id="rId2420" w:history="1">
              <w:r>
                <w:rPr>
                  <w:rFonts w:ascii="Arial" w:eastAsia="Arial" w:hAnsi="Arial" w:cs="Arial"/>
                  <w:i/>
                  <w:color w:val="0077CC"/>
                  <w:sz w:val="20"/>
                  <w:u w:val="single"/>
                </w:rPr>
                <w:t>Brogden v. State, 384 Md. 631, 644, 866 A.2d 129 (2005),</w:t>
              </w:r>
            </w:hyperlink>
            <w:r>
              <w:rPr>
                <w:rFonts w:ascii="Arial" w:eastAsia="Arial" w:hAnsi="Arial" w:cs="Arial"/>
                <w:color w:val="000000"/>
                <w:sz w:val="20"/>
              </w:rPr>
              <w:t xml:space="preserve"> the Court of Appeals held that it is error for the trial court to give an instruction regarding any of these affirmative defenses if not generated by the evidence and requested by the defendant.</w:t>
            </w:r>
          </w:p>
          <w:p w:rsidR="004729FB" w:rsidRDefault="004729FB" w:rsidP="00713DA5">
            <w:pPr>
              <w:spacing w:before="240" w:line="260" w:lineRule="atLeast"/>
              <w:ind w:left="60" w:right="360"/>
              <w:jc w:val="both"/>
            </w:pPr>
            <w:r>
              <w:rPr>
                <w:rFonts w:ascii="Arial" w:eastAsia="Arial" w:hAnsi="Arial" w:cs="Arial"/>
                <w:color w:val="000000"/>
                <w:sz w:val="20"/>
              </w:rPr>
              <w:t xml:space="preserve">In </w:t>
            </w:r>
            <w:hyperlink r:id="rId2421" w:history="1">
              <w:r>
                <w:rPr>
                  <w:rFonts w:ascii="Arial" w:eastAsia="Arial" w:hAnsi="Arial" w:cs="Arial"/>
                  <w:i/>
                  <w:color w:val="0077CC"/>
                  <w:sz w:val="20"/>
                  <w:u w:val="single"/>
                </w:rPr>
                <w:t>Medley v. State, 52 Md. App. 225, 232-36, 448 A.2d 363, 366-69,</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hyperlink r:id="rId2422" w:history="1">
              <w:r>
                <w:rPr>
                  <w:rFonts w:ascii="Arial" w:eastAsia="Arial" w:hAnsi="Arial" w:cs="Arial"/>
                  <w:i/>
                  <w:color w:val="0077CC"/>
                  <w:sz w:val="20"/>
                  <w:u w:val="single"/>
                </w:rPr>
                <w:t>294 Md. 544 (1982),</w:t>
              </w:r>
            </w:hyperlink>
            <w:r>
              <w:rPr>
                <w:rFonts w:ascii="Arial" w:eastAsia="Arial" w:hAnsi="Arial" w:cs="Arial"/>
                <w:color w:val="000000"/>
                <w:sz w:val="20"/>
              </w:rPr>
              <w:t xml:space="preserve"> the Court of Special Appeals held that any common law right to arm oneself in reasonable anticipation of attack is not a defense to wearing, carrying, or transporting a handgun. In </w:t>
            </w:r>
            <w:hyperlink r:id="rId2423" w:history="1">
              <w:r>
                <w:rPr>
                  <w:rFonts w:ascii="Arial" w:eastAsia="Arial" w:hAnsi="Arial" w:cs="Arial"/>
                  <w:i/>
                  <w:color w:val="0077CC"/>
                  <w:sz w:val="20"/>
                  <w:u w:val="single"/>
                </w:rPr>
                <w:t>State v. Crawford, 308 Md. 683, 521 A.2d 1193 (1987),</w:t>
              </w:r>
            </w:hyperlink>
            <w:r>
              <w:rPr>
                <w:rFonts w:ascii="Arial" w:eastAsia="Arial" w:hAnsi="Arial" w:cs="Arial"/>
                <w:color w:val="000000"/>
                <w:sz w:val="20"/>
              </w:rPr>
              <w:t xml:space="preserve"> the Court of Appeals stated that the defense of necessity is not a defense to a charge of unlawful possession of a handgun if the handgun is used to defend property, even imminently threatened, or to defend against future personal injury. </w:t>
            </w:r>
            <w:hyperlink r:id="rId2424" w:history="1">
              <w:r>
                <w:rPr>
                  <w:rFonts w:ascii="Arial" w:eastAsia="Arial" w:hAnsi="Arial" w:cs="Arial"/>
                  <w:i/>
                  <w:color w:val="0077CC"/>
                  <w:sz w:val="20"/>
                  <w:u w:val="single"/>
                </w:rPr>
                <w:t>Id. at 698-99, 521 A.2d at 1201.</w:t>
              </w:r>
            </w:hyperlink>
            <w:r>
              <w:rPr>
                <w:rFonts w:ascii="Arial" w:eastAsia="Arial" w:hAnsi="Arial" w:cs="Arial"/>
                <w:color w:val="000000"/>
                <w:sz w:val="20"/>
              </w:rPr>
              <w:t xml:space="preserve"> However, the Court held that the common law defense of necessity does survive the statute if the defendant or another comes into imminent danger of death or serious bodily harm, provided the defendant (1) did not intentionally or recklessly get into the predicament, (2) has no legal alternative, (3) had no preconceived design to possess a handgun that suddenly becomes available, and (4) gives up possession as soon as the necessity ends. </w:t>
            </w:r>
            <w:hyperlink r:id="rId2425" w:history="1">
              <w:r>
                <w:rPr>
                  <w:rFonts w:ascii="Arial" w:eastAsia="Arial" w:hAnsi="Arial" w:cs="Arial"/>
                  <w:i/>
                  <w:color w:val="0077CC"/>
                  <w:sz w:val="20"/>
                  <w:u w:val="single"/>
                </w:rPr>
                <w:t>Id. at 691-99, 521 A.2d at 1197-1201.</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412" style="position:absolute;z-index:252046336"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4:35.3, MPJI-Cr 4:34.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lastRenderedPageBreak/>
        <w:br/>
      </w:r>
      <w:r>
        <w:pict>
          <v:line id="_x0000_s1419" style="position:absolute;left:0;text-align:left;z-index:252053504;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9" name="Picture 14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32" w:history="1">
        <w:r>
          <w:rPr>
            <w:rFonts w:ascii="Arial" w:eastAsia="Arial" w:hAnsi="Arial" w:cs="Arial"/>
            <w:b/>
            <w:bCs/>
            <w:i/>
            <w:color w:val="0077CC"/>
            <w:kern w:val="32"/>
            <w:sz w:val="28"/>
            <w:szCs w:val="32"/>
            <w:u w:val="single"/>
          </w:rPr>
          <w:t>MPJI-Cr 4:35.3</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WEAPONS--TRANSPORTING A HANDGUN IN A VEHICLE [WHILE ON THE PUBLIC ROADS, HIGHWAYS, WATERWAYS, AIRWAYS, OR PARKING LOTS] [WHILE ON PUBLIC SCHOOL PROPERTY] [WITH THE PURPOSE OF INJURING OR KILLING ANOTHER]</w:t>
      </w:r>
    </w:p>
    <w:p w:rsidR="004729FB" w:rsidRDefault="004729FB" w:rsidP="004729FB">
      <w:pPr>
        <w:keepNext/>
        <w:spacing w:before="240" w:line="340" w:lineRule="atLeast"/>
      </w:pPr>
      <w:r>
        <w:br/>
      </w:r>
      <w:r>
        <w:rPr>
          <w:rFonts w:ascii="Arial" w:eastAsia="Arial" w:hAnsi="Arial" w:cs="Arial"/>
          <w:b/>
          <w:color w:val="000000"/>
          <w:sz w:val="28"/>
        </w:rPr>
        <w:t>4:35.3Weapons--Transporting a Handgun in a Vehicle [While on the Public Roads, Highways, Waterways, Airways, or Parking Lots] [While on Public School Property] [with the Purpose of Injuring or Killing Another]</w:t>
      </w:r>
    </w:p>
    <w:p w:rsidR="004729FB" w:rsidRDefault="004729FB" w:rsidP="004729FB">
      <w:pPr>
        <w:spacing w:line="60" w:lineRule="exact"/>
      </w:pPr>
      <w:r>
        <w:pict>
          <v:line id="_x0000_s1406" style="position:absolute;z-index:252040192"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the crime of carrying or transporting a handgun in a vehicle [while on the public roads, highways, waterways, airways, or parking lots] [while on public school property] [with the purpose of injuring or killing another].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wore, carried, or knowingly transported a handgun in a vehicle; and</w:t>
      </w:r>
    </w:p>
    <w:p w:rsidR="004729FB" w:rsidRDefault="004729FB" w:rsidP="004729FB">
      <w:pPr>
        <w:spacing w:before="200" w:line="260" w:lineRule="atLeast"/>
        <w:ind w:left="400"/>
        <w:jc w:val="both"/>
      </w:pPr>
      <w:r>
        <w:rPr>
          <w:rFonts w:ascii="Arial" w:eastAsia="Arial" w:hAnsi="Arial" w:cs="Arial"/>
          <w:b/>
          <w:color w:val="000000"/>
          <w:sz w:val="20"/>
        </w:rPr>
        <w:t>[[(2) that the defendant did so while traveling on the public roads, highways, waterways, airways, or parking lots [; and] [.]]]</w:t>
      </w:r>
    </w:p>
    <w:p w:rsidR="004729FB" w:rsidRDefault="004729FB" w:rsidP="004729FB">
      <w:pPr>
        <w:spacing w:before="200" w:line="260" w:lineRule="atLeast"/>
        <w:ind w:left="400"/>
        <w:jc w:val="both"/>
      </w:pPr>
      <w:r>
        <w:rPr>
          <w:rFonts w:ascii="Arial" w:eastAsia="Arial" w:hAnsi="Arial" w:cs="Arial"/>
          <w:b/>
          <w:color w:val="000000"/>
          <w:sz w:val="20"/>
        </w:rPr>
        <w:t>[(3) that the defendant did so while traveling on a road or parking lot on public school property.]</w:t>
      </w:r>
    </w:p>
    <w:p w:rsidR="004729FB" w:rsidRDefault="004729FB" w:rsidP="004729FB">
      <w:pPr>
        <w:spacing w:before="200" w:line="260" w:lineRule="atLeast"/>
        <w:ind w:left="400"/>
        <w:jc w:val="both"/>
      </w:pPr>
      <w:r>
        <w:rPr>
          <w:rFonts w:ascii="Arial" w:eastAsia="Arial" w:hAnsi="Arial" w:cs="Arial"/>
          <w:b/>
          <w:color w:val="000000"/>
          <w:sz w:val="20"/>
        </w:rPr>
        <w:t>[(4) that the defendant did so with the deliberate purpose of injuring or killing another person.]</w:t>
      </w:r>
    </w:p>
    <w:p w:rsidR="004729FB" w:rsidRDefault="004729FB" w:rsidP="004729FB">
      <w:pPr>
        <w:spacing w:before="200" w:line="260" w:lineRule="atLeast"/>
        <w:jc w:val="both"/>
      </w:pPr>
      <w:r>
        <w:rPr>
          <w:rFonts w:ascii="Arial" w:eastAsia="Arial" w:hAnsi="Arial" w:cs="Arial"/>
          <w:b/>
          <w:color w:val="000000"/>
          <w:sz w:val="20"/>
        </w:rPr>
        <w:t>A handgun is a pistol, revolver, or other firearm, capable of being concealed on or about the person, and which is designed to fire a bullet by the explosion of gunpowder</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 to MPJI-Cr 4:35.2 (Weapons--Carrying a Handgun Concealed or Openly).</w:t>
            </w:r>
          </w:p>
          <w:p w:rsidR="004729FB" w:rsidRDefault="004729FB" w:rsidP="00713DA5">
            <w:pPr>
              <w:spacing w:before="200" w:line="260" w:lineRule="atLeast"/>
              <w:ind w:left="60" w:right="360"/>
              <w:jc w:val="both"/>
            </w:pPr>
            <w:r>
              <w:rPr>
                <w:rFonts w:ascii="Arial" w:eastAsia="Arial" w:hAnsi="Arial" w:cs="Arial"/>
                <w:color w:val="000000"/>
                <w:sz w:val="20"/>
              </w:rPr>
              <w:t>CRIMINAL LAW I § 4-203(a)(1)(ii) makes it a misdemeanor to "wear, carry, or knowingly transport a handgun, whether concealed or open, in a vehicle traveling on a road or parking lot generally used by the public, highway, waterway, or airway of the State."</w:t>
            </w:r>
          </w:p>
          <w:p w:rsidR="004729FB" w:rsidRDefault="004729FB" w:rsidP="00713DA5">
            <w:pPr>
              <w:spacing w:before="200" w:line="260" w:lineRule="atLeast"/>
              <w:ind w:left="60" w:right="360"/>
              <w:jc w:val="both"/>
            </w:pPr>
            <w:r>
              <w:rPr>
                <w:rFonts w:ascii="Arial" w:eastAsia="Arial" w:hAnsi="Arial" w:cs="Arial"/>
                <w:color w:val="000000"/>
                <w:sz w:val="20"/>
              </w:rPr>
              <w:t xml:space="preserve">In 2005, the General Assembly amended § 4-203 by adding new crimes to it, including the crimes of violating § 4-203(a)(1)(ii) while on a public school road or parking lot (§ 4-203(a)(1)(iii)), and of violating § 4-203(a)(1)(ii) with the deliberate purpose of injuring or killing another person (§ 4-203(a)(1)(iv)). </w:t>
            </w:r>
            <w:r>
              <w:rPr>
                <w:rFonts w:ascii="Arial" w:eastAsia="Arial" w:hAnsi="Arial" w:cs="Arial"/>
                <w:i/>
                <w:color w:val="000000"/>
                <w:sz w:val="20"/>
              </w:rPr>
              <w:t>See</w:t>
            </w:r>
            <w:r>
              <w:rPr>
                <w:rFonts w:ascii="Arial" w:eastAsia="Arial" w:hAnsi="Arial" w:cs="Arial"/>
                <w:color w:val="000000"/>
                <w:sz w:val="20"/>
              </w:rPr>
              <w:t xml:space="preserve"> Comment to MPJI-Cr 4:35.2 (Weapons--Carrying a Handgun Concealed or Openly).</w:t>
            </w:r>
          </w:p>
          <w:p w:rsidR="004729FB" w:rsidRDefault="004729FB" w:rsidP="00713DA5">
            <w:pPr>
              <w:spacing w:before="240" w:line="260" w:lineRule="atLeast"/>
              <w:ind w:left="60" w:right="360"/>
              <w:jc w:val="both"/>
            </w:pPr>
            <w:r>
              <w:rPr>
                <w:rFonts w:ascii="Arial" w:eastAsia="Arial" w:hAnsi="Arial" w:cs="Arial"/>
                <w:color w:val="000000"/>
                <w:sz w:val="20"/>
              </w:rPr>
              <w:t xml:space="preserve">Section 4-203(a)(2) creates "a rebuttable presumption" that the person who is transporting the handgun is </w:t>
            </w:r>
            <w:r>
              <w:rPr>
                <w:rFonts w:ascii="Arial" w:eastAsia="Arial" w:hAnsi="Arial" w:cs="Arial"/>
                <w:color w:val="000000"/>
                <w:sz w:val="20"/>
              </w:rPr>
              <w:lastRenderedPageBreak/>
              <w:t xml:space="preserve">doing so "knowingly." The Committee omitted any reference to the statutory presumption of knowledge, believing that it would be unconstitutional to instruct in the language of the statute. </w:t>
            </w:r>
            <w:r>
              <w:rPr>
                <w:rFonts w:ascii="Arial" w:eastAsia="Arial" w:hAnsi="Arial" w:cs="Arial"/>
                <w:i/>
                <w:color w:val="000000"/>
                <w:sz w:val="20"/>
              </w:rPr>
              <w:t xml:space="preserve">See </w:t>
            </w:r>
            <w:hyperlink r:id="rId2433" w:history="1">
              <w:r>
                <w:rPr>
                  <w:rFonts w:ascii="Arial" w:eastAsia="Arial" w:hAnsi="Arial" w:cs="Arial"/>
                  <w:i/>
                  <w:color w:val="0077CC"/>
                  <w:sz w:val="20"/>
                  <w:u w:val="single"/>
                </w:rPr>
                <w:t>Cnty. Court of Ulster Cnty. v. Allen, 442 U.S. 140 (1979).</w:t>
              </w:r>
            </w:hyperlink>
            <w:r>
              <w:rPr>
                <w:rFonts w:ascii="Arial" w:eastAsia="Arial" w:hAnsi="Arial" w:cs="Arial"/>
                <w:color w:val="000000"/>
                <w:sz w:val="20"/>
              </w:rPr>
              <w:t xml:space="preserve"> Any instruction, if given, should be drafted as a permitted inference and be couched in terms of "the jury may, but need not, infer … ." </w:t>
            </w:r>
            <w:r>
              <w:rPr>
                <w:rFonts w:ascii="Arial" w:eastAsia="Arial" w:hAnsi="Arial" w:cs="Arial"/>
                <w:i/>
                <w:color w:val="000000"/>
                <w:sz w:val="20"/>
              </w:rPr>
              <w:t>See also</w:t>
            </w:r>
            <w:r>
              <w:rPr>
                <w:rFonts w:ascii="Arial" w:eastAsia="Arial" w:hAnsi="Arial" w:cs="Arial"/>
                <w:color w:val="000000"/>
                <w:sz w:val="20"/>
              </w:rPr>
              <w:t xml:space="preserve"> 57 Op. Md. Att'y Gen. 288 (1972). Transporting a handgun in a vehicle is not limited to the owner-operator of a vehicle. A passenger who is both the owner of the handgun and the vehicle comes within the statute if the requisite knowledge is present. </w:t>
            </w:r>
            <w:r>
              <w:rPr>
                <w:rFonts w:ascii="Arial" w:eastAsia="Arial" w:hAnsi="Arial" w:cs="Arial"/>
                <w:i/>
                <w:color w:val="000000"/>
                <w:sz w:val="20"/>
              </w:rPr>
              <w:t>Id.</w:t>
            </w:r>
            <w:r>
              <w:rPr>
                <w:rFonts w:ascii="Arial" w:eastAsia="Arial" w:hAnsi="Arial" w:cs="Arial"/>
                <w:color w:val="000000"/>
                <w:sz w:val="20"/>
              </w:rPr>
              <w:t xml:space="preserve"> at 289; </w:t>
            </w:r>
            <w:r>
              <w:rPr>
                <w:rFonts w:ascii="Arial" w:eastAsia="Arial" w:hAnsi="Arial" w:cs="Arial"/>
                <w:i/>
                <w:color w:val="000000"/>
                <w:sz w:val="20"/>
              </w:rPr>
              <w:t xml:space="preserve">see </w:t>
            </w:r>
            <w:hyperlink r:id="rId2434" w:history="1">
              <w:r>
                <w:rPr>
                  <w:rFonts w:ascii="Arial" w:eastAsia="Arial" w:hAnsi="Arial" w:cs="Arial"/>
                  <w:i/>
                  <w:color w:val="0077CC"/>
                  <w:sz w:val="20"/>
                  <w:u w:val="single"/>
                </w:rPr>
                <w:t>Ruffin v. State, 77 Md. App. 93, 103-04, 549 A.2d 411, 416 (1988)</w:t>
              </w:r>
            </w:hyperlink>
            <w:r>
              <w:rPr>
                <w:rFonts w:ascii="Arial" w:eastAsia="Arial" w:hAnsi="Arial" w:cs="Arial"/>
                <w:color w:val="000000"/>
                <w:sz w:val="20"/>
              </w:rPr>
              <w:t xml:space="preserve"> (inferring port).</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413" style="position:absolute;z-index:252047360"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4:35.2, MPJI-Cr 4:34.</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20" style="position:absolute;left:0;text-align:left;z-index:25205452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8" name="Picture 14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41" w:history="1">
        <w:r>
          <w:rPr>
            <w:rFonts w:ascii="Arial" w:eastAsia="Arial" w:hAnsi="Arial" w:cs="Arial"/>
            <w:b/>
            <w:bCs/>
            <w:i/>
            <w:color w:val="0077CC"/>
            <w:kern w:val="32"/>
            <w:sz w:val="28"/>
            <w:szCs w:val="32"/>
            <w:u w:val="single"/>
          </w:rPr>
          <w:t>MPJI-Cr 4:35.4</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WEAPONS--USE OF A HANDGUN OR FIREARM IN THE COMMISSION OF A FELONY OR CRIME OF VIOLENCE</w:t>
      </w:r>
    </w:p>
    <w:p w:rsidR="004729FB" w:rsidRDefault="004729FB" w:rsidP="004729FB">
      <w:pPr>
        <w:keepNext/>
        <w:spacing w:before="240" w:line="340" w:lineRule="atLeast"/>
      </w:pPr>
      <w:r>
        <w:br/>
      </w:r>
      <w:r>
        <w:rPr>
          <w:rFonts w:ascii="Arial" w:eastAsia="Arial" w:hAnsi="Arial" w:cs="Arial"/>
          <w:b/>
          <w:color w:val="000000"/>
          <w:sz w:val="28"/>
        </w:rPr>
        <w:t>4:35.4Weapons--Use of a Handgun or Firearm in the Commission of a Felony or Crime of Violence</w:t>
      </w:r>
    </w:p>
    <w:p w:rsidR="004729FB" w:rsidRDefault="004729FB" w:rsidP="004729FB">
      <w:pPr>
        <w:spacing w:line="60" w:lineRule="exact"/>
      </w:pPr>
      <w:r>
        <w:pict>
          <v:line id="_x0000_s1407" style="position:absolute;z-index:252041216"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A</w:t>
      </w:r>
    </w:p>
    <w:p w:rsidR="004729FB" w:rsidRDefault="004729FB" w:rsidP="004729FB">
      <w:pPr>
        <w:spacing w:before="200" w:line="260" w:lineRule="atLeast"/>
        <w:jc w:val="both"/>
      </w:pPr>
      <w:r>
        <w:rPr>
          <w:rFonts w:ascii="Arial" w:eastAsia="Arial" w:hAnsi="Arial" w:cs="Arial"/>
          <w:b/>
          <w:color w:val="000000"/>
          <w:sz w:val="20"/>
        </w:rPr>
        <w:t>WEAPONS--USE OF A HANDGUN IN THE COMMISSION OF A FELONY OR CRIME OF VIOLENCE</w:t>
      </w:r>
    </w:p>
    <w:p w:rsidR="004729FB" w:rsidRDefault="004729FB" w:rsidP="004729FB">
      <w:pPr>
        <w:spacing w:before="200" w:line="260" w:lineRule="atLeast"/>
        <w:jc w:val="both"/>
      </w:pPr>
      <w:r>
        <w:rPr>
          <w:rFonts w:ascii="Arial" w:eastAsia="Arial" w:hAnsi="Arial" w:cs="Arial"/>
          <w:b/>
          <w:color w:val="000000"/>
          <w:sz w:val="20"/>
        </w:rPr>
        <w:t>(For Acts Committed Prior to October 1, 2011)</w:t>
      </w:r>
    </w:p>
    <w:p w:rsidR="004729FB" w:rsidRDefault="004729FB" w:rsidP="004729FB">
      <w:pPr>
        <w:spacing w:before="200" w:line="260" w:lineRule="atLeast"/>
        <w:jc w:val="both"/>
      </w:pPr>
      <w:r>
        <w:rPr>
          <w:rFonts w:ascii="Arial" w:eastAsia="Arial" w:hAnsi="Arial" w:cs="Arial"/>
          <w:b/>
          <w:color w:val="000000"/>
          <w:sz w:val="20"/>
        </w:rPr>
        <w:t>The defendant is charged with the crime of use of a handgun in the commission of a [felony] [crime of violence]. The [felony(ies)] [crime(s) of violence] in this case [is] [are] (</w:t>
      </w:r>
      <w:r>
        <w:rPr>
          <w:rFonts w:ascii="Arial" w:eastAsia="Arial" w:hAnsi="Arial" w:cs="Arial"/>
          <w:b/>
          <w:color w:val="000000"/>
          <w:sz w:val="20"/>
          <w:u w:val="single"/>
        </w:rPr>
        <w:t>felony(ies) or crime(s) of violence</w:t>
      </w:r>
      <w:r>
        <w:rPr>
          <w:rFonts w:ascii="Arial" w:eastAsia="Arial" w:hAnsi="Arial" w:cs="Arial"/>
          <w:b/>
          <w:color w:val="000000"/>
          <w:sz w:val="20"/>
        </w:rPr>
        <w:t>).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committed the [felony( ies)] [crime(s) of violence] of (</w:t>
      </w:r>
      <w:r>
        <w:rPr>
          <w:rFonts w:ascii="Arial" w:eastAsia="Arial" w:hAnsi="Arial" w:cs="Arial"/>
          <w:b/>
          <w:color w:val="000000"/>
          <w:sz w:val="20"/>
          <w:u w:val="single"/>
        </w:rPr>
        <w:t>felony(ies) or crime(s) of violence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used a handgun in the commission of the (</w:t>
      </w:r>
      <w:r>
        <w:rPr>
          <w:rFonts w:ascii="Arial" w:eastAsia="Arial" w:hAnsi="Arial" w:cs="Arial"/>
          <w:b/>
          <w:color w:val="000000"/>
          <w:sz w:val="20"/>
          <w:u w:val="single"/>
        </w:rPr>
        <w:t>felony(ies) or crime(s) of violence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handgun is a pistol, revolver, or other firearm capable of being concealed on or about the person, and which is designed to fire a bullet by the explosion of gunpowder</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Use of a handgun means that the defendant actively employed a handgun. Mere possession of a handgun at or near the crime, without active employment, is not sufficient. Although the term use connotes something more than potential for use, there need not be conduct that actually produces harm, but only conduct that produces a fear of harm or force by some means</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Such means include brandishing, displaying, striking with, firing, or attempting to fire a handgun in furtherance of the [felony(ies)] [crimes of violence]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B</w:t>
      </w:r>
    </w:p>
    <w:p w:rsidR="004729FB" w:rsidRDefault="004729FB" w:rsidP="004729FB">
      <w:pPr>
        <w:spacing w:before="200" w:line="260" w:lineRule="atLeast"/>
        <w:jc w:val="both"/>
      </w:pPr>
      <w:r>
        <w:rPr>
          <w:rFonts w:ascii="Arial" w:eastAsia="Arial" w:hAnsi="Arial" w:cs="Arial"/>
          <w:b/>
          <w:color w:val="000000"/>
          <w:sz w:val="20"/>
        </w:rPr>
        <w:t>WEAPONS--USE OF A FIREARM IN THE COMMISSION OF A FELONY OR CRIME OF VIOLENCE</w:t>
      </w:r>
    </w:p>
    <w:p w:rsidR="004729FB" w:rsidRDefault="004729FB" w:rsidP="004729FB">
      <w:pPr>
        <w:spacing w:before="200" w:line="260" w:lineRule="atLeast"/>
        <w:jc w:val="both"/>
      </w:pPr>
      <w:r>
        <w:rPr>
          <w:rFonts w:ascii="Arial" w:eastAsia="Arial" w:hAnsi="Arial" w:cs="Arial"/>
          <w:b/>
          <w:color w:val="000000"/>
          <w:sz w:val="20"/>
        </w:rPr>
        <w:t>(For Acts Committed On or After October 1, 2011)</w:t>
      </w:r>
    </w:p>
    <w:p w:rsidR="004729FB" w:rsidRDefault="004729FB" w:rsidP="004729FB">
      <w:pPr>
        <w:spacing w:before="200" w:line="260" w:lineRule="atLeast"/>
        <w:jc w:val="both"/>
      </w:pPr>
      <w:r>
        <w:rPr>
          <w:rFonts w:ascii="Arial" w:eastAsia="Arial" w:hAnsi="Arial" w:cs="Arial"/>
          <w:b/>
          <w:color w:val="000000"/>
          <w:sz w:val="20"/>
        </w:rPr>
        <w:t>The defendant is charged with the crime of use of a firearm in the commission of a [felony] [crime of violence]. The [felony(ies)] [crime(s) of violence] in this case [is] [are] (</w:t>
      </w:r>
      <w:r>
        <w:rPr>
          <w:rFonts w:ascii="Arial" w:eastAsia="Arial" w:hAnsi="Arial" w:cs="Arial"/>
          <w:b/>
          <w:color w:val="000000"/>
          <w:sz w:val="20"/>
          <w:u w:val="single"/>
        </w:rPr>
        <w:t>felony(ies) or crime(s) of violence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lastRenderedPageBreak/>
        <w:t>(1) that the defendant committed the [felony( ies)] [crime(s) of violence] of (</w:t>
      </w:r>
      <w:r>
        <w:rPr>
          <w:rFonts w:ascii="Arial" w:eastAsia="Arial" w:hAnsi="Arial" w:cs="Arial"/>
          <w:b/>
          <w:color w:val="000000"/>
          <w:sz w:val="20"/>
          <w:u w:val="single"/>
        </w:rPr>
        <w:t>felony(ies) or crime(s) of violence</w:t>
      </w:r>
      <w:r>
        <w:rPr>
          <w:rFonts w:ascii="Arial" w:eastAsia="Arial" w:hAnsi="Arial" w:cs="Arial"/>
          <w:b/>
          <w:color w:val="000000"/>
          <w:sz w:val="20"/>
        </w:rPr>
        <w:t>); and</w:t>
      </w:r>
    </w:p>
    <w:p w:rsidR="004729FB" w:rsidRDefault="004729FB" w:rsidP="004729FB">
      <w:pPr>
        <w:spacing w:before="200" w:line="260" w:lineRule="atLeast"/>
        <w:ind w:left="400"/>
        <w:jc w:val="both"/>
      </w:pPr>
      <w:r>
        <w:rPr>
          <w:rFonts w:ascii="Arial" w:eastAsia="Arial" w:hAnsi="Arial" w:cs="Arial"/>
          <w:b/>
          <w:color w:val="000000"/>
          <w:sz w:val="20"/>
        </w:rPr>
        <w:t>(2) that the defendant used a firearm in the commission of the (</w:t>
      </w:r>
      <w:r>
        <w:rPr>
          <w:rFonts w:ascii="Arial" w:eastAsia="Arial" w:hAnsi="Arial" w:cs="Arial"/>
          <w:b/>
          <w:color w:val="000000"/>
          <w:sz w:val="20"/>
          <w:u w:val="single"/>
        </w:rPr>
        <w:t>felony(ies) or crime(s) of violence</w:t>
      </w:r>
      <w:r>
        <w:rPr>
          <w:rFonts w:ascii="Arial" w:eastAsia="Arial" w:hAnsi="Arial" w:cs="Arial"/>
          <w:b/>
          <w:color w:val="000000"/>
          <w:sz w:val="20"/>
        </w:rPr>
        <w:t>)</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firearm is</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a weapon that fires, is designed to fire, or may readily be converted to fire a projectile by the action of an explosive; or</w:t>
      </w:r>
    </w:p>
    <w:p w:rsidR="004729FB" w:rsidRDefault="004729FB" w:rsidP="004729FB">
      <w:pPr>
        <w:spacing w:before="200" w:line="260" w:lineRule="atLeast"/>
        <w:ind w:left="400"/>
        <w:jc w:val="both"/>
      </w:pPr>
      <w:r>
        <w:rPr>
          <w:rFonts w:ascii="Arial" w:eastAsia="Arial" w:hAnsi="Arial" w:cs="Arial"/>
          <w:b/>
          <w:color w:val="000000"/>
          <w:sz w:val="20"/>
        </w:rPr>
        <w:t>(2) the frame or receiver of such a weapon</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A firearm includes an antique firearm, handgun, rifle, shotgun, short-barreled rifle, short-barreled shotgun, starter gun, or any other firearm, whether loaded or unloaded</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Use of a firearm includes brandishing, displaying, striking with, firing, or attempting to fire a firearm in furtherance of the [felony(ies)] [crime(s) of violence]. A person uses a firearm when [he] [she] uses it to create fear of harm. The defendant need not injure anyone with the firearm. Mere possession of a firearm at or near the crime is not sufficient</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i/>
                <w:color w:val="000000"/>
                <w:sz w:val="20"/>
              </w:rPr>
              <w:t>See</w:t>
            </w:r>
            <w:r>
              <w:rPr>
                <w:rFonts w:ascii="Arial" w:eastAsia="Arial" w:hAnsi="Arial" w:cs="Arial"/>
                <w:color w:val="000000"/>
                <w:sz w:val="20"/>
              </w:rPr>
              <w:t xml:space="preserve"> Comments to MPJI-Cr 3:06 (Separate Consideration of Multiple Counts as to One Defendant); MPJI-Cr 4:35.2 (Weapons--Carrying a Handgun Concealed or Openly).</w:t>
            </w:r>
          </w:p>
          <w:p w:rsidR="004729FB" w:rsidRDefault="004729FB" w:rsidP="00713DA5">
            <w:pPr>
              <w:spacing w:before="240" w:line="260" w:lineRule="atLeast"/>
              <w:ind w:left="60" w:right="360"/>
              <w:jc w:val="both"/>
            </w:pPr>
            <w:r>
              <w:rPr>
                <w:rFonts w:ascii="Arial" w:eastAsia="Arial" w:hAnsi="Arial" w:cs="Arial"/>
                <w:color w:val="000000"/>
                <w:sz w:val="20"/>
              </w:rPr>
              <w:t xml:space="preserve">CRIMINAL LAW I § 4-204 (2012 &amp; Supp. 2016), prohibits the use of a firearm in a felony or crime of violence. MARYLAND CODE ANNOTATED, PUBLIC SAFETY § 5-101(c) (2011 &amp; Supp. 2018) defines a "crime of violence" by listing crimes that qualify as such. Felony and crime of violence are stated disjunctively. Therefore, the State can prove the underlying offense for which the handgun was used by proving (1) any felony, even if it is not a crime of violence, or (2) any crime of violence, even if it is a misdemeanor. </w:t>
            </w:r>
            <w:hyperlink r:id="rId2442" w:history="1">
              <w:r>
                <w:rPr>
                  <w:rFonts w:ascii="Arial" w:eastAsia="Arial" w:hAnsi="Arial" w:cs="Arial"/>
                  <w:i/>
                  <w:color w:val="0077CC"/>
                  <w:sz w:val="20"/>
                  <w:u w:val="single"/>
                </w:rPr>
                <w:t>Browne v. State, 321 Md. 583, 583 A.2d 1042 (1991)</w:t>
              </w:r>
            </w:hyperlink>
            <w:r>
              <w:rPr>
                <w:rFonts w:ascii="Arial" w:eastAsia="Arial" w:hAnsi="Arial" w:cs="Arial"/>
                <w:color w:val="000000"/>
                <w:sz w:val="20"/>
              </w:rPr>
              <w:t xml:space="preserve"> (holding that involuntary manslaughter is a felony and thus included even though it is expressly excluded from the crimes of violence list); </w:t>
            </w:r>
            <w:hyperlink r:id="rId2443" w:history="1">
              <w:r>
                <w:rPr>
                  <w:rFonts w:ascii="Arial" w:eastAsia="Arial" w:hAnsi="Arial" w:cs="Arial"/>
                  <w:i/>
                  <w:color w:val="0077CC"/>
                  <w:sz w:val="20"/>
                  <w:u w:val="single"/>
                </w:rPr>
                <w:t>State v. Vincent, 321 Md. 313, 321-23, 582 A.2d 1220, 1224-25 (1990)</w:t>
              </w:r>
            </w:hyperlink>
            <w:r>
              <w:rPr>
                <w:rFonts w:ascii="Arial" w:eastAsia="Arial" w:hAnsi="Arial" w:cs="Arial"/>
                <w:color w:val="000000"/>
                <w:sz w:val="20"/>
              </w:rPr>
              <w:t xml:space="preserve"> (holding that assault with intent to disable is a felony and thus included regardless of whether it is a crime of violence); </w:t>
            </w:r>
            <w:r>
              <w:rPr>
                <w:rFonts w:ascii="Arial" w:eastAsia="Arial" w:hAnsi="Arial" w:cs="Arial"/>
                <w:i/>
                <w:color w:val="000000"/>
                <w:sz w:val="20"/>
              </w:rPr>
              <w:t xml:space="preserve">see </w:t>
            </w:r>
            <w:hyperlink r:id="rId2444" w:history="1">
              <w:r>
                <w:rPr>
                  <w:rFonts w:ascii="Arial" w:eastAsia="Arial" w:hAnsi="Arial" w:cs="Arial"/>
                  <w:i/>
                  <w:color w:val="0077CC"/>
                  <w:sz w:val="20"/>
                  <w:u w:val="single"/>
                </w:rPr>
                <w:t>Wilson v. State, 28 Md. App. 168, 178-79, 343 A.2d 537, 543 (1975).</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Crimes of violence include an attempted or actual abduction, first degree arson, common law or statutory burglary-related offense, carjacking and armed carjacking, first degree escape, kidnapping, voluntary manslaughter, maiming, mayhem, first or second degree murder, first or second degree rape, robbery, robbery with a dangerous weapon, first, second, and third degree sexual offense, and assault with intent to commit any of the previously mentioned offenses. PUB. SAFETY § 5-101(c); </w:t>
            </w:r>
            <w:r>
              <w:rPr>
                <w:rFonts w:ascii="Arial" w:eastAsia="Arial" w:hAnsi="Arial" w:cs="Arial"/>
                <w:i/>
                <w:color w:val="000000"/>
                <w:sz w:val="20"/>
              </w:rPr>
              <w:t xml:space="preserve">see </w:t>
            </w:r>
            <w:hyperlink r:id="rId2445" w:history="1">
              <w:r>
                <w:rPr>
                  <w:rFonts w:ascii="Arial" w:eastAsia="Arial" w:hAnsi="Arial" w:cs="Arial"/>
                  <w:i/>
                  <w:color w:val="0077CC"/>
                  <w:sz w:val="20"/>
                  <w:u w:val="single"/>
                </w:rPr>
                <w:t>Hall v. State, 69 Md. App. 37, 48-50, 516 A.2d 204, 209-10 (1986)</w:t>
              </w:r>
            </w:hyperlink>
            <w:r>
              <w:rPr>
                <w:rFonts w:ascii="Arial" w:eastAsia="Arial" w:hAnsi="Arial" w:cs="Arial"/>
                <w:color w:val="000000"/>
                <w:sz w:val="20"/>
              </w:rPr>
              <w:t xml:space="preserve"> (stating that assault with intent to prevent lawful apprehension is a crime of violence),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308 Md. 382, 519 A.2d 1283 (1987);</w:t>
            </w:r>
            <w:r>
              <w:rPr>
                <w:rFonts w:ascii="Arial" w:eastAsia="Arial" w:hAnsi="Arial" w:cs="Arial"/>
                <w:color w:val="000000"/>
                <w:sz w:val="20"/>
              </w:rPr>
              <w:t xml:space="preserve"> </w:t>
            </w:r>
            <w:r>
              <w:rPr>
                <w:rFonts w:ascii="Arial" w:eastAsia="Arial" w:hAnsi="Arial" w:cs="Arial"/>
                <w:i/>
                <w:color w:val="000000"/>
                <w:sz w:val="20"/>
              </w:rPr>
              <w:t xml:space="preserve">accord </w:t>
            </w:r>
            <w:hyperlink r:id="rId2446" w:history="1">
              <w:r>
                <w:rPr>
                  <w:rFonts w:ascii="Arial" w:eastAsia="Arial" w:hAnsi="Arial" w:cs="Arial"/>
                  <w:i/>
                  <w:color w:val="0077CC"/>
                  <w:sz w:val="20"/>
                  <w:u w:val="single"/>
                </w:rPr>
                <w:t>Sangster v. State, 70 Md. App. 456, 477-78, 521 A.2d 811, 821 (1987),</w:t>
              </w:r>
            </w:hyperlink>
            <w:r>
              <w:rPr>
                <w:rFonts w:ascii="Arial" w:eastAsia="Arial" w:hAnsi="Arial" w:cs="Arial"/>
                <w:color w:val="000000"/>
                <w:sz w:val="20"/>
              </w:rPr>
              <w:t xml:space="preserve"> </w:t>
            </w:r>
            <w:r>
              <w:rPr>
                <w:rFonts w:ascii="Arial" w:eastAsia="Arial" w:hAnsi="Arial" w:cs="Arial"/>
                <w:i/>
                <w:color w:val="000000"/>
                <w:sz w:val="20"/>
              </w:rPr>
              <w:t>aff'd</w:t>
            </w:r>
            <w:r>
              <w:rPr>
                <w:rFonts w:ascii="Arial" w:eastAsia="Arial" w:hAnsi="Arial" w:cs="Arial"/>
                <w:color w:val="000000"/>
                <w:sz w:val="20"/>
              </w:rPr>
              <w:t xml:space="preserve">, </w:t>
            </w:r>
            <w:hyperlink r:id="rId2447" w:history="1">
              <w:r>
                <w:rPr>
                  <w:rFonts w:ascii="Arial" w:eastAsia="Arial" w:hAnsi="Arial" w:cs="Arial"/>
                  <w:i/>
                  <w:color w:val="0077CC"/>
                  <w:sz w:val="20"/>
                  <w:u w:val="single"/>
                </w:rPr>
                <w:t>312 Md. 560, 541 A.2d 637 (1988).</w:t>
              </w:r>
            </w:hyperlink>
          </w:p>
          <w:p w:rsidR="004729FB" w:rsidRDefault="004729FB" w:rsidP="00713DA5">
            <w:pPr>
              <w:spacing w:before="200" w:line="260" w:lineRule="atLeast"/>
              <w:ind w:left="60" w:right="360"/>
              <w:jc w:val="both"/>
            </w:pPr>
            <w:r>
              <w:rPr>
                <w:rFonts w:ascii="Arial" w:eastAsia="Arial" w:hAnsi="Arial" w:cs="Arial"/>
                <w:color w:val="000000"/>
                <w:sz w:val="20"/>
              </w:rPr>
              <w:t xml:space="preserve">Much of the case law interpreting CRIM. LAW I § 4-204 should apply equally to firearms. The State can prove that a handgun was used without recovering the handgun. </w:t>
            </w:r>
            <w:hyperlink r:id="rId2448" w:history="1">
              <w:r>
                <w:rPr>
                  <w:rFonts w:ascii="Arial" w:eastAsia="Arial" w:hAnsi="Arial" w:cs="Arial"/>
                  <w:i/>
                  <w:color w:val="0077CC"/>
                  <w:sz w:val="20"/>
                  <w:u w:val="single"/>
                </w:rPr>
                <w:t>Brown v. State, 64 Md. App. 324, 335-37, 494 A.2d 999, 1004-05</w:t>
              </w:r>
            </w:hyperlink>
            <w:r>
              <w:rPr>
                <w:rFonts w:ascii="Arial" w:eastAsia="Arial" w:hAnsi="Arial" w:cs="Arial"/>
                <w:color w:val="000000"/>
                <w:sz w:val="20"/>
              </w:rPr>
              <w:t xml:space="preserve"> (the officer described the weapon used as a .38 caliber revolver),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304 Md. 296, 498 A.2d 1183 (1985);</w:t>
            </w:r>
            <w:r>
              <w:rPr>
                <w:rFonts w:ascii="Arial" w:eastAsia="Arial" w:hAnsi="Arial" w:cs="Arial"/>
                <w:color w:val="000000"/>
                <w:sz w:val="20"/>
              </w:rPr>
              <w:t xml:space="preserve"> </w:t>
            </w:r>
            <w:hyperlink r:id="rId2449" w:history="1">
              <w:r>
                <w:rPr>
                  <w:rFonts w:ascii="Arial" w:eastAsia="Arial" w:hAnsi="Arial" w:cs="Arial"/>
                  <w:i/>
                  <w:color w:val="0077CC"/>
                  <w:sz w:val="20"/>
                  <w:u w:val="single"/>
                </w:rPr>
                <w:t>Couplin v. State, 37 Md. App. 567, 378 A.2d 197 (1977)</w:t>
              </w:r>
            </w:hyperlink>
            <w:r>
              <w:rPr>
                <w:rFonts w:ascii="Arial" w:eastAsia="Arial" w:hAnsi="Arial" w:cs="Arial"/>
                <w:color w:val="000000"/>
                <w:sz w:val="20"/>
              </w:rPr>
              <w:t xml:space="preserve"> (the victim described the weapon as a handgun), </w:t>
            </w:r>
            <w:r>
              <w:rPr>
                <w:rFonts w:ascii="Arial" w:eastAsia="Arial" w:hAnsi="Arial" w:cs="Arial"/>
                <w:i/>
                <w:color w:val="000000"/>
                <w:sz w:val="20"/>
              </w:rPr>
              <w:t xml:space="preserve">overruled on other grounds by </w:t>
            </w:r>
            <w:hyperlink r:id="rId2450" w:history="1">
              <w:r>
                <w:rPr>
                  <w:rFonts w:ascii="Arial" w:eastAsia="Arial" w:hAnsi="Arial" w:cs="Arial"/>
                  <w:i/>
                  <w:color w:val="0077CC"/>
                  <w:sz w:val="20"/>
                  <w:u w:val="single"/>
                </w:rPr>
                <w:t>State v. Ferrell, 313 Md. 291, 545 A.2d 653 (1988);</w:t>
              </w:r>
            </w:hyperlink>
            <w:r>
              <w:rPr>
                <w:rFonts w:ascii="Arial" w:eastAsia="Arial" w:hAnsi="Arial" w:cs="Arial"/>
                <w:color w:val="000000"/>
                <w:sz w:val="20"/>
              </w:rPr>
              <w:t xml:space="preserve"> </w:t>
            </w:r>
            <w:r>
              <w:rPr>
                <w:rFonts w:ascii="Arial" w:eastAsia="Arial" w:hAnsi="Arial" w:cs="Arial"/>
                <w:i/>
                <w:color w:val="000000"/>
                <w:sz w:val="20"/>
              </w:rPr>
              <w:t>cf.</w:t>
            </w:r>
            <w:hyperlink r:id="rId2451" w:history="1">
              <w:r>
                <w:rPr>
                  <w:rFonts w:ascii="Arial" w:eastAsia="Arial" w:hAnsi="Arial" w:cs="Arial"/>
                  <w:i/>
                  <w:color w:val="0077CC"/>
                  <w:sz w:val="20"/>
                  <w:u w:val="single"/>
                </w:rPr>
                <w:t>Brown v. State, 182 Md. App. 138, 957 A.2d 654 (2008)</w:t>
              </w:r>
            </w:hyperlink>
            <w:r>
              <w:rPr>
                <w:rFonts w:ascii="Arial" w:eastAsia="Arial" w:hAnsi="Arial" w:cs="Arial"/>
                <w:color w:val="000000"/>
                <w:sz w:val="20"/>
              </w:rPr>
              <w:t xml:space="preserve"> (holding that ballistic evidence of the type of bullet found, which could have come from a handgun or a rifle, without further testimony or evidence </w:t>
            </w:r>
            <w:r>
              <w:rPr>
                <w:rFonts w:ascii="Arial" w:eastAsia="Arial" w:hAnsi="Arial" w:cs="Arial"/>
                <w:color w:val="000000"/>
                <w:sz w:val="20"/>
              </w:rPr>
              <w:lastRenderedPageBreak/>
              <w:t xml:space="preserve">regarding what type of gun was used, was insufficient to support the inference that a handgun was used in the commission of the crime). Although it is probably not necessary that the handgun be held by the defendant, </w:t>
            </w:r>
            <w:r>
              <w:rPr>
                <w:rFonts w:ascii="Arial" w:eastAsia="Arial" w:hAnsi="Arial" w:cs="Arial"/>
                <w:i/>
                <w:color w:val="000000"/>
                <w:sz w:val="20"/>
              </w:rPr>
              <w:t xml:space="preserve">see </w:t>
            </w:r>
            <w:hyperlink r:id="rId2452" w:history="1">
              <w:r>
                <w:rPr>
                  <w:rFonts w:ascii="Arial" w:eastAsia="Arial" w:hAnsi="Arial" w:cs="Arial"/>
                  <w:i/>
                  <w:color w:val="0077CC"/>
                  <w:sz w:val="20"/>
                  <w:u w:val="single"/>
                </w:rPr>
                <w:t>Broadway v. State, 23 Md. App. 68, 79, 326 A.2d 212, 219 (1974),</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273 Md. 719 (1975),</w:t>
            </w:r>
            <w:r>
              <w:rPr>
                <w:rFonts w:ascii="Arial" w:eastAsia="Arial" w:hAnsi="Arial" w:cs="Arial"/>
                <w:color w:val="000000"/>
                <w:sz w:val="20"/>
              </w:rPr>
              <w:t xml:space="preserve"> "the legislature considered the use of a handgun to be something more than mere illegal possession of a handgun and … contemplated </w:t>
            </w:r>
            <w:r>
              <w:rPr>
                <w:rFonts w:ascii="Arial" w:eastAsia="Arial" w:hAnsi="Arial" w:cs="Arial"/>
                <w:i/>
                <w:color w:val="000000"/>
                <w:sz w:val="20"/>
              </w:rPr>
              <w:t>use</w:t>
            </w:r>
            <w:r>
              <w:rPr>
                <w:rFonts w:ascii="Arial" w:eastAsia="Arial" w:hAnsi="Arial" w:cs="Arial"/>
                <w:color w:val="000000"/>
                <w:sz w:val="20"/>
              </w:rPr>
              <w:t xml:space="preserve"> of a handgun in an active as opposed to a passive manner." </w:t>
            </w:r>
            <w:hyperlink r:id="rId2453" w:history="1">
              <w:r>
                <w:rPr>
                  <w:rFonts w:ascii="Arial" w:eastAsia="Arial" w:hAnsi="Arial" w:cs="Arial"/>
                  <w:i/>
                  <w:color w:val="0077CC"/>
                  <w:sz w:val="20"/>
                  <w:u w:val="single"/>
                </w:rPr>
                <w:t>Wynn v. State, 313 Md. 533, 541, 546 A.2d 465, 469 (1988)</w:t>
              </w:r>
            </w:hyperlink>
            <w:r>
              <w:rPr>
                <w:rFonts w:ascii="Arial" w:eastAsia="Arial" w:hAnsi="Arial" w:cs="Arial"/>
                <w:color w:val="000000"/>
                <w:sz w:val="20"/>
              </w:rPr>
              <w:t xml:space="preserve"> (emphasis in original). CRIMINAL LAW I § 4-204(b) is explicit, prohibiting the "use" of a firearm in a felony or crime of violence. The State does not have to prove that the defendant </w:t>
            </w:r>
            <w:r>
              <w:rPr>
                <w:rFonts w:ascii="Arial" w:eastAsia="Arial" w:hAnsi="Arial" w:cs="Arial"/>
                <w:i/>
                <w:color w:val="000000"/>
                <w:sz w:val="20"/>
              </w:rPr>
              <w:t>specifically</w:t>
            </w:r>
            <w:r>
              <w:rPr>
                <w:rFonts w:ascii="Arial" w:eastAsia="Arial" w:hAnsi="Arial" w:cs="Arial"/>
                <w:color w:val="000000"/>
                <w:sz w:val="20"/>
              </w:rPr>
              <w:t xml:space="preserve"> intended to use the handgun in the commission of a felony or crime of violence. The offense is a general intent crime and thus the State need only prove that the defendant intended to do the forbidden act, i.e., "intended to use a handgun in what was, in fact and in law, a felony or a crime of violence." </w:t>
            </w:r>
            <w:hyperlink r:id="rId2454" w:history="1">
              <w:r>
                <w:rPr>
                  <w:rFonts w:ascii="Arial" w:eastAsia="Arial" w:hAnsi="Arial" w:cs="Arial"/>
                  <w:i/>
                  <w:color w:val="0077CC"/>
                  <w:sz w:val="20"/>
                  <w:u w:val="single"/>
                </w:rPr>
                <w:t>Biggs v. State, 56 Md. App. 638, 649, 468 A.2d 669, 674 (1983),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299 Md. 425, 474 A.2d 218 (1984).</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keepNext/>
        <w:spacing w:before="240" w:line="340" w:lineRule="atLeast"/>
      </w:pPr>
      <w:r>
        <w:br/>
      </w:r>
      <w:r>
        <w:rPr>
          <w:rFonts w:ascii="Arial" w:eastAsia="Arial" w:hAnsi="Arial" w:cs="Arial"/>
          <w:b/>
          <w:color w:val="000000"/>
          <w:sz w:val="28"/>
        </w:rPr>
        <w:t>Reference</w:t>
      </w:r>
    </w:p>
    <w:p w:rsidR="004729FB" w:rsidRDefault="004729FB" w:rsidP="004729FB">
      <w:pPr>
        <w:spacing w:line="60" w:lineRule="exact"/>
      </w:pPr>
      <w:r>
        <w:pict>
          <v:line id="_x0000_s1414" style="position:absolute;z-index:252048384" from="0,2pt" to="512pt,2pt" strokecolor="#009ddb" strokeweight="2pt">
            <w10:wrap type="topAndBottom"/>
          </v:line>
        </w:pict>
      </w:r>
    </w:p>
    <w:p w:rsidR="004729FB" w:rsidRDefault="004729FB" w:rsidP="004729FB">
      <w:pPr>
        <w:spacing w:line="120" w:lineRule="exact"/>
      </w:pPr>
    </w:p>
    <w:p w:rsidR="004729FB" w:rsidRDefault="004729FB" w:rsidP="004729FB">
      <w:pPr>
        <w:spacing w:before="120" w:line="260" w:lineRule="atLeast"/>
      </w:pPr>
      <w:r>
        <w:rPr>
          <w:rFonts w:ascii="Arial" w:eastAsia="Arial" w:hAnsi="Arial" w:cs="Arial"/>
          <w:color w:val="000000"/>
          <w:sz w:val="20"/>
        </w:rPr>
        <w:t>MPJI-Cr 3:05, MPJI-Cr 4:35.2, MPJI-Cr 4:35.3.</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21" style="position:absolute;left:0;text-align:left;z-index:25205555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7" name="Picture 14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61" w:history="1">
        <w:r>
          <w:rPr>
            <w:rFonts w:ascii="Arial" w:eastAsia="Arial" w:hAnsi="Arial" w:cs="Arial"/>
            <w:b/>
            <w:bCs/>
            <w:i/>
            <w:color w:val="0077CC"/>
            <w:kern w:val="32"/>
            <w:sz w:val="28"/>
            <w:szCs w:val="32"/>
            <w:u w:val="single"/>
          </w:rPr>
          <w:t>MPJI-Cr 4:35.5</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WEAPONS--POSSESSION OF FIREARM UNDER AGE OF 21</w:t>
      </w:r>
    </w:p>
    <w:p w:rsidR="004729FB" w:rsidRDefault="004729FB" w:rsidP="004729FB">
      <w:pPr>
        <w:keepNext/>
        <w:spacing w:before="240" w:line="340" w:lineRule="atLeast"/>
      </w:pPr>
      <w:r>
        <w:br/>
      </w:r>
      <w:r>
        <w:rPr>
          <w:rFonts w:ascii="Arial" w:eastAsia="Arial" w:hAnsi="Arial" w:cs="Arial"/>
          <w:b/>
          <w:color w:val="000000"/>
          <w:sz w:val="28"/>
        </w:rPr>
        <w:t>4:35.5Weapons--Possession of Firearm Under Age of 21</w:t>
      </w:r>
    </w:p>
    <w:p w:rsidR="004729FB" w:rsidRDefault="004729FB" w:rsidP="004729FB">
      <w:pPr>
        <w:spacing w:line="60" w:lineRule="exact"/>
      </w:pPr>
      <w:r>
        <w:pict>
          <v:line id="_x0000_s1408" style="position:absolute;z-index:252042240"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possessing a regulated firearm when [he] [she] was under the age of 21.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possessed a regulated firearm; and</w:t>
      </w:r>
    </w:p>
    <w:p w:rsidR="004729FB" w:rsidRDefault="004729FB" w:rsidP="004729FB">
      <w:pPr>
        <w:spacing w:before="200" w:line="260" w:lineRule="atLeast"/>
        <w:ind w:left="400"/>
        <w:jc w:val="both"/>
      </w:pPr>
      <w:r>
        <w:rPr>
          <w:rFonts w:ascii="Arial" w:eastAsia="Arial" w:hAnsi="Arial" w:cs="Arial"/>
          <w:b/>
          <w:color w:val="000000"/>
          <w:sz w:val="20"/>
        </w:rPr>
        <w:t>(2) that the defendant was under 21 years of age at the time of that possession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and defendant agree and stipulate that the defendant was under the age of 21 on (</w:t>
      </w:r>
      <w:r>
        <w:rPr>
          <w:rFonts w:ascii="Arial" w:eastAsia="Arial" w:hAnsi="Arial" w:cs="Arial"/>
          <w:b/>
          <w:color w:val="000000"/>
          <w:sz w:val="20"/>
          <w:u w:val="single"/>
        </w:rPr>
        <w:t>insert date of offense</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and the defendant agree and stipulate that the gun at issue is a regulated firearm.]</w:t>
      </w:r>
    </w:p>
    <w:p w:rsidR="004729FB" w:rsidRDefault="004729FB" w:rsidP="004729FB">
      <w:pPr>
        <w:spacing w:before="200" w:line="260" w:lineRule="atLeast"/>
        <w:jc w:val="both"/>
      </w:pPr>
      <w:r>
        <w:rPr>
          <w:rFonts w:ascii="Arial" w:eastAsia="Arial" w:hAnsi="Arial" w:cs="Arial"/>
          <w:b/>
          <w:color w:val="000000"/>
          <w:sz w:val="20"/>
        </w:rPr>
        <w:t>[A regulated firearm means a handgun, which is a firearm with a barrel less than 16 inches in length, and includes a signal pistol, a starter pistol, or a blank pistol.]</w:t>
      </w:r>
    </w:p>
    <w:p w:rsidR="004729FB" w:rsidRDefault="004729FB" w:rsidP="004729FB">
      <w:pPr>
        <w:spacing w:before="200" w:line="260" w:lineRule="atLeast"/>
        <w:jc w:val="both"/>
      </w:pPr>
      <w:r>
        <w:rPr>
          <w:rFonts w:ascii="Arial" w:eastAsia="Arial" w:hAnsi="Arial" w:cs="Arial"/>
          <w:b/>
          <w:color w:val="000000"/>
          <w:sz w:val="20"/>
        </w:rPr>
        <w:t>[A regulated firearm means the following assault weapon or its copy, regardless of which company produced or manufactured it: (</w:t>
      </w:r>
      <w:r>
        <w:rPr>
          <w:rFonts w:ascii="Arial" w:eastAsia="Arial" w:hAnsi="Arial" w:cs="Arial"/>
          <w:b/>
          <w:color w:val="000000"/>
          <w:sz w:val="20"/>
          <w:u w:val="single"/>
        </w:rPr>
        <w:t>insert assault weapon from MD. CODE ANN., PUBLIC SAFETY § 5-101(r)(2) generated by the evidence</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Possession means having control over the firearm, whether actual or indirect. More than one person can be in possession of the same firearm at the same time. A person not in actual possession, who knowingly has both the power and the intention to exercise control over a firearm, has indirect possession of that firearm. In determining whether the defendant has indirect possession of a firearm, you should consider all of the surrounding circumstances. These circumstances include the distance between the defendant and the firearm, and whether the defendant had some ownership or possessory interest in the location where the firearm was found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40" w:line="260" w:lineRule="atLeast"/>
              <w:ind w:left="60" w:right="360"/>
              <w:jc w:val="both"/>
            </w:pPr>
            <w:r>
              <w:rPr>
                <w:rFonts w:ascii="Arial" w:eastAsia="Arial" w:hAnsi="Arial" w:cs="Arial"/>
                <w:color w:val="000000"/>
                <w:sz w:val="20"/>
              </w:rPr>
              <w:t xml:space="preserve">It is not a defense under PUB. SAFETY § 5-133 that a regulated firearm is not operable. </w:t>
            </w:r>
            <w:hyperlink r:id="rId2462" w:history="1">
              <w:r>
                <w:rPr>
                  <w:rFonts w:ascii="Arial" w:eastAsia="Arial" w:hAnsi="Arial" w:cs="Arial"/>
                  <w:i/>
                  <w:color w:val="0077CC"/>
                  <w:sz w:val="20"/>
                  <w:u w:val="single"/>
                </w:rPr>
                <w:t>Moore v. State, 424 Md. 118, 34 A.3d 513 (2011)</w:t>
              </w:r>
            </w:hyperlink>
            <w:r>
              <w:rPr>
                <w:rFonts w:ascii="Arial" w:eastAsia="Arial" w:hAnsi="Arial" w:cs="Arial"/>
                <w:color w:val="000000"/>
                <w:sz w:val="20"/>
              </w:rPr>
              <w:t xml:space="preserve"> (noting that the definition of "firearm" in PUB. SAFETY § 5-101(h) does not include the requirement of "operability").</w:t>
            </w:r>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lastRenderedPageBreak/>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15" style="position:absolute;left:0;text-align:left;z-index:252049408;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6" name="Picture 14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69" w:history="1">
        <w:r>
          <w:rPr>
            <w:rFonts w:ascii="Arial" w:eastAsia="Arial" w:hAnsi="Arial" w:cs="Arial"/>
            <w:b/>
            <w:bCs/>
            <w:i/>
            <w:color w:val="0077CC"/>
            <w:kern w:val="32"/>
            <w:sz w:val="28"/>
            <w:szCs w:val="32"/>
            <w:u w:val="single"/>
          </w:rPr>
          <w:t>MPJI-Cr 4:35.6</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WEAPONS--POSSESSION OF FIREARM/DISQUALIFYING CONVICTION</w:t>
      </w:r>
    </w:p>
    <w:p w:rsidR="004729FB" w:rsidRDefault="004729FB" w:rsidP="004729FB">
      <w:pPr>
        <w:keepNext/>
        <w:spacing w:before="240" w:line="340" w:lineRule="atLeast"/>
      </w:pPr>
      <w:r>
        <w:br/>
      </w:r>
      <w:r>
        <w:rPr>
          <w:rFonts w:ascii="Arial" w:eastAsia="Arial" w:hAnsi="Arial" w:cs="Arial"/>
          <w:b/>
          <w:color w:val="000000"/>
          <w:sz w:val="28"/>
        </w:rPr>
        <w:t>4:35.6Weapons--Possession of Firearm/Disqualifying Conviction</w:t>
      </w:r>
    </w:p>
    <w:p w:rsidR="004729FB" w:rsidRDefault="004729FB" w:rsidP="004729FB">
      <w:pPr>
        <w:spacing w:line="60" w:lineRule="exact"/>
      </w:pPr>
      <w:r>
        <w:pict>
          <v:line id="_x0000_s1409" style="position:absolute;z-index:252043264"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possessing a regulated firearm after having been convicted of a crime that disqualified [him] [her] from possessing a regulated firearm. 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knowingly possessed a regulated firearm; and</w:t>
      </w:r>
    </w:p>
    <w:p w:rsidR="004729FB" w:rsidRDefault="004729FB" w:rsidP="004729FB">
      <w:pPr>
        <w:spacing w:before="200" w:line="260" w:lineRule="atLeast"/>
        <w:ind w:left="400"/>
        <w:jc w:val="both"/>
      </w:pPr>
      <w:r>
        <w:rPr>
          <w:rFonts w:ascii="Arial" w:eastAsia="Arial" w:hAnsi="Arial" w:cs="Arial"/>
          <w:b/>
          <w:color w:val="000000"/>
          <w:sz w:val="20"/>
        </w:rPr>
        <w:t>(2) that the defendant was previously convicted of a crime that disqualified [him] [her] from possessing a regulated firearm</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and the defendant agree and stipulate that the gun in this case is a regulated firearm.]</w:t>
      </w:r>
    </w:p>
    <w:p w:rsidR="004729FB" w:rsidRDefault="004729FB" w:rsidP="004729FB">
      <w:pPr>
        <w:spacing w:before="200" w:line="260" w:lineRule="atLeast"/>
        <w:jc w:val="both"/>
      </w:pPr>
      <w:r>
        <w:rPr>
          <w:rFonts w:ascii="Arial" w:eastAsia="Arial" w:hAnsi="Arial" w:cs="Arial"/>
          <w:b/>
          <w:color w:val="000000"/>
          <w:sz w:val="20"/>
        </w:rPr>
        <w:t>[A regulated firearm means a handgun, which is a firearm with a barrel less than 16 inches in length, and includes a signal pistol, a starter pistol, or a blank pistol.]</w:t>
      </w:r>
    </w:p>
    <w:p w:rsidR="004729FB" w:rsidRDefault="004729FB" w:rsidP="004729FB">
      <w:pPr>
        <w:spacing w:before="200" w:line="260" w:lineRule="atLeast"/>
        <w:jc w:val="both"/>
      </w:pPr>
      <w:r>
        <w:rPr>
          <w:rFonts w:ascii="Arial" w:eastAsia="Arial" w:hAnsi="Arial" w:cs="Arial"/>
          <w:b/>
          <w:color w:val="000000"/>
          <w:sz w:val="20"/>
        </w:rPr>
        <w:t>[A regulated firearm means the following assault weapon or its copy, regardless of which company produced or manufactured it: (</w:t>
      </w:r>
      <w:r>
        <w:rPr>
          <w:rFonts w:ascii="Arial" w:eastAsia="Arial" w:hAnsi="Arial" w:cs="Arial"/>
          <w:b/>
          <w:color w:val="000000"/>
          <w:sz w:val="20"/>
          <w:u w:val="single"/>
        </w:rPr>
        <w:t>insert assault weapon from MD. CODE ANN., PUBLIC SAFETY § 5-101(r)(2) generated by the evidence</w:t>
      </w:r>
      <w:r>
        <w:rPr>
          <w:rFonts w:ascii="Arial" w:eastAsia="Arial" w:hAnsi="Arial" w:cs="Arial"/>
          <w:b/>
          <w:color w:val="000000"/>
          <w:sz w:val="20"/>
        </w:rPr>
        <w:t>).]</w:t>
      </w:r>
    </w:p>
    <w:p w:rsidR="004729FB" w:rsidRDefault="004729FB" w:rsidP="004729FB">
      <w:pPr>
        <w:spacing w:before="200" w:line="260" w:lineRule="atLeast"/>
        <w:jc w:val="both"/>
      </w:pPr>
      <w:r>
        <w:rPr>
          <w:rFonts w:ascii="Arial" w:eastAsia="Arial" w:hAnsi="Arial" w:cs="Arial"/>
          <w:b/>
          <w:color w:val="000000"/>
          <w:sz w:val="20"/>
        </w:rPr>
        <w:t>[[The State and the defendant agree and stipulate that the defendant was previously convicted of a crime that disqualifies [him] [her] from possessing a regulated firearm.]]</w:t>
      </w:r>
    </w:p>
    <w:p w:rsidR="004729FB" w:rsidRDefault="004729FB" w:rsidP="004729FB">
      <w:pPr>
        <w:spacing w:before="200" w:line="260" w:lineRule="atLeast"/>
        <w:jc w:val="both"/>
      </w:pPr>
      <w:r>
        <w:rPr>
          <w:rFonts w:ascii="Arial" w:eastAsia="Arial" w:hAnsi="Arial" w:cs="Arial"/>
          <w:b/>
          <w:color w:val="000000"/>
          <w:sz w:val="20"/>
        </w:rPr>
        <w:t>Possession means having control over the firearm, whether actual or indirect. More than one person can be in possession of the same firearm at the same time. A person not in actual possession, who knowingly has both the power and the intention to exercise control over a firearm, has indirect possession of that firearm. In determining whether the defendant has indirect possession of a firearm, you should consider all of the surrounding circumstances. These circumstances include the distance between the defendant and the firearm, and whether the defendant has some ownership or possessory interest in the location where the firearm was found</w:t>
      </w:r>
      <w:r>
        <w:rPr>
          <w:rFonts w:ascii="Arial" w:eastAsia="Arial" w:hAnsi="Arial" w:cs="Arial"/>
          <w:color w:val="000000"/>
          <w:sz w:val="20"/>
        </w:rPr>
        <w:t>.</w:t>
      </w:r>
    </w:p>
    <w:p w:rsidR="004729FB" w:rsidRDefault="004729FB" w:rsidP="004729FB"/>
    <w:tbl>
      <w:tblPr>
        <w:tblW w:w="0" w:type="auto"/>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Look w:val="04A0" w:firstRow="1" w:lastRow="0" w:firstColumn="1" w:lastColumn="0" w:noHBand="0" w:noVBand="1"/>
      </w:tblPr>
      <w:tblGrid>
        <w:gridCol w:w="10240"/>
      </w:tblGrid>
      <w:tr w:rsidR="004729FB" w:rsidTr="00713DA5">
        <w:tc>
          <w:tcPr>
            <w:tcW w:w="10240" w:type="dxa"/>
            <w:vAlign w:val="center"/>
          </w:tcPr>
          <w:p w:rsidR="004729FB" w:rsidRDefault="004729FB" w:rsidP="00713DA5">
            <w:pPr>
              <w:spacing w:before="240" w:line="260" w:lineRule="atLeast"/>
              <w:ind w:left="60" w:right="360"/>
            </w:pPr>
            <w:r>
              <w:rPr>
                <w:rFonts w:ascii="Arial" w:eastAsia="Arial" w:hAnsi="Arial" w:cs="Arial"/>
                <w:b/>
                <w:color w:val="000000"/>
                <w:sz w:val="20"/>
              </w:rPr>
              <w:t> </w:t>
            </w:r>
          </w:p>
          <w:p w:rsidR="004729FB" w:rsidRDefault="004729FB" w:rsidP="00713DA5">
            <w:pPr>
              <w:spacing w:before="200" w:line="260" w:lineRule="atLeast"/>
              <w:ind w:left="60" w:right="360"/>
              <w:jc w:val="both"/>
            </w:pPr>
            <w:r>
              <w:rPr>
                <w:rFonts w:ascii="Arial" w:eastAsia="Arial" w:hAnsi="Arial" w:cs="Arial"/>
                <w:color w:val="000000"/>
                <w:sz w:val="20"/>
              </w:rPr>
              <w:t>COMMENT</w:t>
            </w:r>
          </w:p>
          <w:p w:rsidR="004729FB" w:rsidRDefault="004729FB" w:rsidP="00713DA5">
            <w:pPr>
              <w:spacing w:before="200" w:line="260" w:lineRule="atLeast"/>
              <w:ind w:left="60" w:right="360"/>
              <w:jc w:val="both"/>
            </w:pPr>
            <w:r>
              <w:rPr>
                <w:rFonts w:ascii="Arial" w:eastAsia="Arial" w:hAnsi="Arial" w:cs="Arial"/>
                <w:color w:val="000000"/>
                <w:sz w:val="20"/>
              </w:rPr>
              <w:t xml:space="preserve">A trial court is not required to sever a criminal-in-possession charge from other related charges or to bifurcate the trial of that charge, trying the possession-of-firearm element first, and only trying the disqualifying-conviction element if the jury finds the first element. </w:t>
            </w:r>
            <w:hyperlink r:id="rId2470" w:history="1">
              <w:r>
                <w:rPr>
                  <w:rFonts w:ascii="Arial" w:eastAsia="Arial" w:hAnsi="Arial" w:cs="Arial"/>
                  <w:i/>
                  <w:color w:val="0077CC"/>
                  <w:sz w:val="20"/>
                  <w:u w:val="single"/>
                </w:rPr>
                <w:t>Carter v. State, 374 Md. 693, 824 A.2d 123 (2003).</w:t>
              </w:r>
            </w:hyperlink>
            <w:r>
              <w:rPr>
                <w:rFonts w:ascii="Arial" w:eastAsia="Arial" w:hAnsi="Arial" w:cs="Arial"/>
                <w:color w:val="000000"/>
                <w:sz w:val="20"/>
              </w:rPr>
              <w:t xml:space="preserve"> However, when requested by the defendant, "the trial court must accept a stipulation or admission </w:t>
            </w:r>
            <w:r>
              <w:rPr>
                <w:rFonts w:ascii="Arial" w:eastAsia="Arial" w:hAnsi="Arial" w:cs="Arial"/>
                <w:color w:val="000000"/>
                <w:sz w:val="20"/>
              </w:rPr>
              <w:lastRenderedPageBreak/>
              <w:t xml:space="preserve">that the defendant was convicted of a crime that qualifies under the criminal-in-possession statute … . [I]n such situations, the name or nature of the previous conviction should not be disclosed to the jury." </w:t>
            </w:r>
            <w:hyperlink r:id="rId2471" w:history="1">
              <w:r>
                <w:rPr>
                  <w:rFonts w:ascii="Arial" w:eastAsia="Arial" w:hAnsi="Arial" w:cs="Arial"/>
                  <w:i/>
                  <w:color w:val="0077CC"/>
                  <w:sz w:val="20"/>
                  <w:u w:val="single"/>
                </w:rPr>
                <w:t>Id. at 720, 824 A.2d at 139.</w:t>
              </w:r>
            </w:hyperlink>
            <w:r>
              <w:rPr>
                <w:rFonts w:ascii="Arial" w:eastAsia="Arial" w:hAnsi="Arial" w:cs="Arial"/>
                <w:color w:val="000000"/>
                <w:sz w:val="20"/>
              </w:rPr>
              <w:t xml:space="preserve"> The Court in </w:t>
            </w:r>
            <w:r>
              <w:rPr>
                <w:rFonts w:ascii="Arial" w:eastAsia="Arial" w:hAnsi="Arial" w:cs="Arial"/>
                <w:i/>
                <w:color w:val="000000"/>
                <w:sz w:val="20"/>
              </w:rPr>
              <w:t>Carter</w:t>
            </w:r>
            <w:r>
              <w:rPr>
                <w:rFonts w:ascii="Arial" w:eastAsia="Arial" w:hAnsi="Arial" w:cs="Arial"/>
                <w:color w:val="000000"/>
                <w:sz w:val="20"/>
              </w:rPr>
              <w:t xml:space="preserve"> summarized a trial court's duties:</w:t>
            </w:r>
          </w:p>
          <w:p w:rsidR="004729FB" w:rsidRDefault="004729FB" w:rsidP="00713DA5">
            <w:pPr>
              <w:spacing w:before="60" w:line="260" w:lineRule="atLeast"/>
              <w:ind w:left="460" w:right="360"/>
              <w:jc w:val="both"/>
            </w:pPr>
            <w:r>
              <w:rPr>
                <w:rFonts w:ascii="Arial" w:eastAsia="Arial" w:hAnsi="Arial" w:cs="Arial"/>
                <w:color w:val="000000"/>
                <w:sz w:val="20"/>
              </w:rPr>
              <w:t>[T]he trial judge should inform the jury that the defendant admits that he or she has been convicted of a crime for which he or she is prohibited from possessing a regulated firearm under the law. The judge should not describe the previous conviction with any more particularity or by using the categories of [disqualifying] crimes … .A description of the conviction by its statutory category carries with it a high potential to lure jurors "into a sequence of bad character reasoning," just as if the judge described the crime by its name or nature (i.e., robbery with a deadly weapon). Moreover, describing the crime with particularity is no more probative that the previous-conviction element exists than if the judge were to use the general language set forth above. This general description also avoids any potential confusion in determining how to characterize a previous conviction that fits more than one of the [disqualifying] categories.</w:t>
            </w:r>
          </w:p>
          <w:p w:rsidR="004729FB" w:rsidRDefault="004729FB" w:rsidP="00713DA5">
            <w:pPr>
              <w:spacing w:before="240" w:line="260" w:lineRule="atLeast"/>
              <w:ind w:left="60" w:right="360"/>
              <w:jc w:val="both"/>
            </w:pPr>
            <w:hyperlink r:id="rId2472" w:history="1">
              <w:r>
                <w:rPr>
                  <w:rFonts w:ascii="Arial" w:eastAsia="Arial" w:hAnsi="Arial" w:cs="Arial"/>
                  <w:i/>
                  <w:color w:val="0077CC"/>
                  <w:sz w:val="20"/>
                  <w:u w:val="single"/>
                </w:rPr>
                <w:t>Id. at 722, 824 A.2d at 141.</w:t>
              </w:r>
            </w:hyperlink>
          </w:p>
          <w:p w:rsidR="004729FB" w:rsidRDefault="004729FB" w:rsidP="00713DA5">
            <w:pPr>
              <w:spacing w:before="240" w:line="260" w:lineRule="atLeast"/>
              <w:ind w:left="60" w:right="360"/>
              <w:jc w:val="both"/>
            </w:pPr>
            <w:r>
              <w:rPr>
                <w:rFonts w:ascii="Arial" w:eastAsia="Arial" w:hAnsi="Arial" w:cs="Arial"/>
                <w:color w:val="000000"/>
                <w:sz w:val="20"/>
              </w:rPr>
              <w:t xml:space="preserve">The Court of Special Appeals has recognized that the </w:t>
            </w:r>
            <w:r>
              <w:rPr>
                <w:rFonts w:ascii="Arial" w:eastAsia="Arial" w:hAnsi="Arial" w:cs="Arial"/>
                <w:i/>
                <w:color w:val="000000"/>
                <w:sz w:val="20"/>
              </w:rPr>
              <w:t>Carter</w:t>
            </w:r>
            <w:r>
              <w:rPr>
                <w:rFonts w:ascii="Arial" w:eastAsia="Arial" w:hAnsi="Arial" w:cs="Arial"/>
                <w:color w:val="000000"/>
                <w:sz w:val="20"/>
              </w:rPr>
              <w:t xml:space="preserve"> procedure is required "when a defendant is charged with the crime of possession of a regulated firearm by a person with a prior conviction of a crime of violence." </w:t>
            </w:r>
            <w:hyperlink r:id="rId2473" w:history="1">
              <w:r>
                <w:rPr>
                  <w:rFonts w:ascii="Arial" w:eastAsia="Arial" w:hAnsi="Arial" w:cs="Arial"/>
                  <w:i/>
                  <w:color w:val="0077CC"/>
                  <w:sz w:val="20"/>
                  <w:u w:val="single"/>
                </w:rPr>
                <w:t>Nash v. State, 191 Md. App. 386, 397, 991 A.2d 831, 838</w:t>
              </w:r>
            </w:hyperlink>
            <w:r>
              <w:rPr>
                <w:rFonts w:ascii="Arial" w:eastAsia="Arial" w:hAnsi="Arial" w:cs="Arial"/>
                <w:color w:val="000000"/>
                <w:sz w:val="20"/>
              </w:rPr>
              <w:t xml:space="preserve"> (citing </w:t>
            </w:r>
            <w:hyperlink r:id="rId2474" w:history="1">
              <w:r>
                <w:rPr>
                  <w:rFonts w:ascii="Arial" w:eastAsia="Arial" w:hAnsi="Arial" w:cs="Arial"/>
                  <w:i/>
                  <w:color w:val="0077CC"/>
                  <w:sz w:val="20"/>
                  <w:u w:val="single"/>
                </w:rPr>
                <w:t>Carter v. State, 374 Md. 693, 716-18, 824 A.2d 123, 137-39 (2003)),</w:t>
              </w:r>
            </w:hyperlink>
            <w:r>
              <w:rPr>
                <w:rFonts w:ascii="Arial" w:eastAsia="Arial" w:hAnsi="Arial" w:cs="Arial"/>
                <w:color w:val="000000"/>
                <w:sz w:val="20"/>
              </w:rPr>
              <w:t xml:space="preserve"> </w:t>
            </w:r>
            <w:r>
              <w:rPr>
                <w:rFonts w:ascii="Arial" w:eastAsia="Arial" w:hAnsi="Arial" w:cs="Arial"/>
                <w:i/>
                <w:color w:val="000000"/>
                <w:sz w:val="20"/>
              </w:rPr>
              <w:t>cert. denied</w:t>
            </w:r>
            <w:r>
              <w:rPr>
                <w:rFonts w:ascii="Arial" w:eastAsia="Arial" w:hAnsi="Arial" w:cs="Arial"/>
                <w:color w:val="000000"/>
                <w:sz w:val="20"/>
              </w:rPr>
              <w:t xml:space="preserve">, </w:t>
            </w:r>
            <w:r>
              <w:rPr>
                <w:rFonts w:ascii="Arial" w:eastAsia="Arial" w:hAnsi="Arial" w:cs="Arial"/>
                <w:i/>
                <w:color w:val="000000"/>
                <w:sz w:val="20"/>
              </w:rPr>
              <w:t>415 Md. 42, 997 A.2d 792 (2010).</w:t>
            </w:r>
            <w:r>
              <w:rPr>
                <w:rFonts w:ascii="Arial" w:eastAsia="Arial" w:hAnsi="Arial" w:cs="Arial"/>
                <w:color w:val="000000"/>
                <w:sz w:val="20"/>
              </w:rPr>
              <w:t xml:space="preserve"> In </w:t>
            </w:r>
            <w:r>
              <w:rPr>
                <w:rFonts w:ascii="Arial" w:eastAsia="Arial" w:hAnsi="Arial" w:cs="Arial"/>
                <w:i/>
                <w:color w:val="000000"/>
                <w:sz w:val="20"/>
              </w:rPr>
              <w:t>Nash</w:t>
            </w:r>
            <w:r>
              <w:rPr>
                <w:rFonts w:ascii="Arial" w:eastAsia="Arial" w:hAnsi="Arial" w:cs="Arial"/>
                <w:color w:val="000000"/>
                <w:sz w:val="20"/>
              </w:rPr>
              <w:t xml:space="preserve">, the Court of Special Appeals added that a "bifurcation of elements of the offense of possession of a regulated firearm by a person previously convicted of a crime of violence is improper, even if agreed to by the parties." </w:t>
            </w:r>
            <w:hyperlink r:id="rId2475" w:history="1">
              <w:r>
                <w:rPr>
                  <w:rFonts w:ascii="Arial" w:eastAsia="Arial" w:hAnsi="Arial" w:cs="Arial"/>
                  <w:i/>
                  <w:color w:val="0077CC"/>
                  <w:sz w:val="20"/>
                  <w:u w:val="single"/>
                </w:rPr>
                <w:t>Id. at 699-701, 991 A.2d at 840.</w:t>
              </w:r>
            </w:hyperlink>
          </w:p>
          <w:p w:rsidR="004729FB" w:rsidRDefault="004729FB" w:rsidP="00713DA5">
            <w:pPr>
              <w:spacing w:after="120"/>
            </w:pPr>
          </w:p>
        </w:tc>
      </w:tr>
    </w:tbl>
    <w:p w:rsidR="004729FB" w:rsidRDefault="004729FB" w:rsidP="004729FB">
      <w:pPr>
        <w:spacing w:before="60" w:line="260" w:lineRule="atLeast"/>
        <w:ind w:left="720"/>
        <w:jc w:val="both"/>
      </w:pPr>
      <w:r>
        <w:rPr>
          <w:rFonts w:ascii="Arial" w:eastAsia="Arial" w:hAnsi="Arial" w:cs="Arial"/>
          <w:color w:val="000000"/>
          <w:sz w:val="20"/>
        </w:rPr>
        <w:lastRenderedPageBreak/>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sectPr w:rsidR="004729FB">
          <w:type w:val="continuous"/>
          <w:pgSz w:w="12240" w:h="15840"/>
          <w:pgMar w:top="840" w:right="1000" w:bottom="840" w:left="1000" w:header="400" w:footer="400" w:gutter="0"/>
          <w:cols w:space="720"/>
        </w:sectPr>
      </w:pPr>
      <w:r>
        <w:br/>
      </w:r>
      <w:r>
        <w:pict>
          <v:line id="_x0000_s1416" style="position:absolute;left:0;text-align:left;z-index:252050432;mso-position-horizontal-relative:text;mso-position-vertical-relative:text" from="0,10pt" to="512pt,10pt" strokeweight="1pt"/>
        </w:pict>
      </w:r>
      <w:r>
        <w:rPr>
          <w:b/>
          <w:color w:val="767676"/>
          <w:sz w:val="16"/>
        </w:rPr>
        <w:t>End of Document</w:t>
      </w:r>
    </w:p>
    <w:p w:rsidR="004729FB" w:rsidRDefault="004729FB" w:rsidP="004729FB">
      <w:pPr>
        <w:sectPr w:rsidR="004729FB">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gutter="0"/>
          <w:cols w:space="720"/>
          <w:titlePg/>
        </w:sectPr>
      </w:pPr>
    </w:p>
    <w:p w:rsidR="004729FB" w:rsidRDefault="004729FB" w:rsidP="004729FB"/>
    <w:p w:rsidR="004729FB" w:rsidRDefault="004729FB" w:rsidP="004729FB">
      <w:r>
        <w:rPr>
          <w:noProof/>
        </w:rPr>
        <w:drawing>
          <wp:inline distT="0" distB="0" distL="0" distR="0">
            <wp:extent cx="1876425" cy="381000"/>
            <wp:effectExtent l="0" t="0" r="0" b="0"/>
            <wp:docPr id="145" name="Picture 14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LexisNexi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876425" cy="381000"/>
                    </a:xfrm>
                    <a:prstGeom prst="rect">
                      <a:avLst/>
                    </a:prstGeom>
                    <a:noFill/>
                    <a:ln>
                      <a:noFill/>
                    </a:ln>
                  </pic:spPr>
                </pic:pic>
              </a:graphicData>
            </a:graphic>
          </wp:inline>
        </w:drawing>
      </w:r>
      <w:r>
        <w:cr/>
      </w:r>
    </w:p>
    <w:p w:rsidR="004729FB" w:rsidRDefault="004729FB" w:rsidP="004729FB">
      <w:pPr>
        <w:spacing w:before="240" w:after="200" w:line="340" w:lineRule="atLeast"/>
        <w:jc w:val="center"/>
        <w:outlineLvl w:val="0"/>
        <w:rPr>
          <w:rFonts w:ascii="Arial" w:hAnsi="Arial" w:cs="Arial"/>
          <w:b/>
          <w:bCs/>
          <w:kern w:val="32"/>
          <w:sz w:val="32"/>
          <w:szCs w:val="32"/>
        </w:rPr>
      </w:pPr>
      <w:hyperlink r:id="rId2482" w:history="1">
        <w:r>
          <w:rPr>
            <w:rFonts w:ascii="Arial" w:eastAsia="Arial" w:hAnsi="Arial" w:cs="Arial"/>
            <w:b/>
            <w:bCs/>
            <w:i/>
            <w:color w:val="0077CC"/>
            <w:kern w:val="32"/>
            <w:sz w:val="28"/>
            <w:szCs w:val="32"/>
            <w:u w:val="single"/>
          </w:rPr>
          <w:t>MPJI-Cr 4:35.7</w:t>
        </w:r>
      </w:hyperlink>
    </w:p>
    <w:p w:rsidR="004729FB" w:rsidRDefault="004729FB" w:rsidP="004729FB">
      <w:pPr>
        <w:spacing w:line="240" w:lineRule="atLeast"/>
        <w:jc w:val="both"/>
      </w:pPr>
    </w:p>
    <w:p w:rsidR="004729FB" w:rsidRDefault="004729FB" w:rsidP="004729FB">
      <w:pPr>
        <w:spacing w:before="200" w:line="280" w:lineRule="atLeast"/>
      </w:pPr>
      <w:r>
        <w:rPr>
          <w:rFonts w:ascii="Arial" w:eastAsia="Arial" w:hAnsi="Arial" w:cs="Arial"/>
          <w:b/>
          <w:i/>
          <w:color w:val="000000"/>
          <w:sz w:val="22"/>
        </w:rPr>
        <w:t>Maryland Criminal Pattern Jury Instructions</w:t>
      </w:r>
      <w:r>
        <w:rPr>
          <w:rFonts w:ascii="Arial" w:eastAsia="Arial" w:hAnsi="Arial" w:cs="Arial"/>
          <w:b/>
          <w:color w:val="000000"/>
          <w:sz w:val="22"/>
        </w:rPr>
        <w:t xml:space="preserve">  &gt;  </w:t>
      </w:r>
      <w:r>
        <w:rPr>
          <w:rFonts w:ascii="Arial" w:eastAsia="Arial" w:hAnsi="Arial" w:cs="Arial"/>
          <w:b/>
          <w:i/>
          <w:color w:val="000000"/>
          <w:sz w:val="22"/>
        </w:rPr>
        <w:t>CHAPTER 4 CRIMINAL OFFENSES</w:t>
      </w:r>
      <w:r>
        <w:rPr>
          <w:rFonts w:ascii="Arial" w:eastAsia="Arial" w:hAnsi="Arial" w:cs="Arial"/>
          <w:b/>
          <w:color w:val="000000"/>
          <w:sz w:val="22"/>
        </w:rPr>
        <w:t xml:space="preserve">  &gt;  </w:t>
      </w:r>
      <w:r>
        <w:rPr>
          <w:rFonts w:ascii="Arial" w:eastAsia="Arial" w:hAnsi="Arial" w:cs="Arial"/>
          <w:b/>
          <w:i/>
          <w:color w:val="000000"/>
          <w:sz w:val="22"/>
        </w:rPr>
        <w:t>WEAPONS--ILLEGAL SALE OR TRANSFER OF FIREARM/DISQUALIFYING CONVICTION</w:t>
      </w:r>
    </w:p>
    <w:p w:rsidR="004729FB" w:rsidRDefault="004729FB" w:rsidP="004729FB">
      <w:pPr>
        <w:keepNext/>
        <w:spacing w:before="240" w:line="340" w:lineRule="atLeast"/>
      </w:pPr>
      <w:r>
        <w:br/>
      </w:r>
      <w:r>
        <w:rPr>
          <w:rFonts w:ascii="Arial" w:eastAsia="Arial" w:hAnsi="Arial" w:cs="Arial"/>
          <w:b/>
          <w:color w:val="000000"/>
          <w:sz w:val="28"/>
        </w:rPr>
        <w:t>4:35.7Weapons--Illegal Sale or Transfer of Firearm/Disqualifying Conviction</w:t>
      </w:r>
    </w:p>
    <w:p w:rsidR="004729FB" w:rsidRDefault="004729FB" w:rsidP="004729FB">
      <w:pPr>
        <w:spacing w:line="60" w:lineRule="exact"/>
      </w:pPr>
      <w:r>
        <w:pict>
          <v:line id="_x0000_s1410" style="position:absolute;z-index:252044288" from="0,2pt" to="512pt,2pt" strokecolor="#009ddb" strokeweight="2pt">
            <w10:wrap type="topAndBottom"/>
          </v:line>
        </w:pict>
      </w:r>
    </w:p>
    <w:p w:rsidR="004729FB" w:rsidRDefault="004729FB" w:rsidP="004729FB"/>
    <w:p w:rsidR="004729FB" w:rsidRDefault="004729FB" w:rsidP="004729FB">
      <w:pPr>
        <w:spacing w:before="200" w:line="260" w:lineRule="atLeast"/>
        <w:jc w:val="both"/>
      </w:pPr>
      <w:r>
        <w:rPr>
          <w:rFonts w:ascii="Arial" w:eastAsia="Arial" w:hAnsi="Arial" w:cs="Arial"/>
          <w:b/>
          <w:color w:val="000000"/>
          <w:sz w:val="20"/>
        </w:rPr>
        <w:t>The defendant is charged with participating in a [sale] [rental] [transfer] of a firearm to a [purchaser] [lessee] [transferee] whom the defendant had reasonable cause to believe was prohibited from possessing that firearm based upon a prior conviction</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In order to convict the defendant, the State must prove</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(1) that the defendant [sold] [rented] [transferred] a regulated firearm to another</w:t>
      </w:r>
      <w:r>
        <w:rPr>
          <w:rFonts w:ascii="Arial" w:eastAsia="Arial" w:hAnsi="Arial" w:cs="Arial"/>
          <w:color w:val="000000"/>
          <w:sz w:val="20"/>
        </w:rPr>
        <w:t>;</w:t>
      </w:r>
    </w:p>
    <w:p w:rsidR="004729FB" w:rsidRDefault="004729FB" w:rsidP="004729FB">
      <w:pPr>
        <w:spacing w:before="200" w:line="260" w:lineRule="atLeast"/>
        <w:ind w:left="400"/>
        <w:jc w:val="both"/>
      </w:pPr>
      <w:r>
        <w:rPr>
          <w:rFonts w:ascii="Arial" w:eastAsia="Arial" w:hAnsi="Arial" w:cs="Arial"/>
          <w:b/>
          <w:color w:val="000000"/>
          <w:sz w:val="20"/>
        </w:rPr>
        <w:t>(2) that the individual who received the firearm was prohibited from possessing the firearm because that individual had previously been convicted of an offense that disqualified [him] [her] from possessing a regulated firearm; and</w:t>
      </w:r>
    </w:p>
    <w:p w:rsidR="004729FB" w:rsidRDefault="004729FB" w:rsidP="004729FB">
      <w:pPr>
        <w:spacing w:before="200" w:line="260" w:lineRule="atLeast"/>
        <w:ind w:left="400"/>
        <w:jc w:val="both"/>
      </w:pPr>
      <w:r>
        <w:rPr>
          <w:rFonts w:ascii="Arial" w:eastAsia="Arial" w:hAnsi="Arial" w:cs="Arial"/>
          <w:b/>
          <w:color w:val="000000"/>
          <w:sz w:val="20"/>
        </w:rPr>
        <w:t>(3) at the time of the [sale] [rental] [transfer] the defendant knew or had reasonable cause to believe that the person who received the firearm was prohibited from possessing the firearm</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An individual is prohibited from possessing a firearm if [he] [she] was previously [convicted of conspiracy to commit (specify felony)] [convicted of a crime and received a sentence of imprisonment of more than two years] [convicted of a disqualifying crime]</w:t>
      </w:r>
      <w:r>
        <w:rPr>
          <w:rFonts w:ascii="Arial" w:eastAsia="Arial" w:hAnsi="Arial" w:cs="Arial"/>
          <w:color w:val="000000"/>
          <w:sz w:val="20"/>
        </w:rPr>
        <w:t>.</w:t>
      </w:r>
    </w:p>
    <w:p w:rsidR="004729FB" w:rsidRDefault="004729FB" w:rsidP="004729FB">
      <w:pPr>
        <w:spacing w:before="200" w:line="260" w:lineRule="atLeast"/>
        <w:jc w:val="both"/>
      </w:pPr>
      <w:r>
        <w:rPr>
          <w:rFonts w:ascii="Arial" w:eastAsia="Arial" w:hAnsi="Arial" w:cs="Arial"/>
          <w:b/>
          <w:color w:val="000000"/>
          <w:sz w:val="20"/>
        </w:rPr>
        <w:t>[[A disqualifying crime is [specify disqualifying crime of violence] [specify felony] [specify misdemeanor that carries a maximum possible penalty of more than two years].]]</w:t>
      </w:r>
    </w:p>
    <w:p w:rsidR="004729FB" w:rsidRDefault="004729FB" w:rsidP="004729FB">
      <w:pPr>
        <w:spacing w:before="60" w:line="260" w:lineRule="atLeast"/>
        <w:ind w:left="720"/>
        <w:jc w:val="both"/>
      </w:pPr>
      <w:r>
        <w:rPr>
          <w:rFonts w:ascii="Arial" w:eastAsia="Arial" w:hAnsi="Arial" w:cs="Arial"/>
          <w:color w:val="000000"/>
          <w:sz w:val="20"/>
        </w:rPr>
        <w:t>#MICPEL#</w:t>
      </w:r>
    </w:p>
    <w:p w:rsidR="004729FB" w:rsidRDefault="004729FB" w:rsidP="004729FB">
      <w:pPr>
        <w:spacing w:before="240" w:line="260" w:lineRule="atLeast"/>
      </w:pPr>
      <w:r>
        <w:br/>
      </w:r>
      <w:r>
        <w:rPr>
          <w:rFonts w:ascii="Arial" w:eastAsia="Arial" w:hAnsi="Arial" w:cs="Arial"/>
          <w:b/>
          <w:color w:val="000000"/>
          <w:sz w:val="20"/>
        </w:rPr>
        <w:t>Source:</w:t>
      </w:r>
      <w:r>
        <w:rPr>
          <w:rFonts w:ascii="Arial" w:eastAsia="Arial" w:hAnsi="Arial" w:cs="Arial"/>
          <w:color w:val="000000"/>
          <w:sz w:val="20"/>
        </w:rPr>
        <w:t> MICPEL</w:t>
      </w:r>
    </w:p>
    <w:p w:rsidR="004729FB" w:rsidRDefault="004729FB" w:rsidP="004729FB">
      <w:pPr>
        <w:spacing w:before="240" w:line="220" w:lineRule="atLeast"/>
      </w:pPr>
      <w:r>
        <w:rPr>
          <w:rFonts w:ascii="Arial" w:eastAsia="Arial" w:hAnsi="Arial" w:cs="Arial"/>
          <w:color w:val="000000"/>
          <w:sz w:val="16"/>
        </w:rPr>
        <w:t>Maryland Criminal Pattern Jury Instructions</w:t>
      </w:r>
    </w:p>
    <w:p w:rsidR="004729FB" w:rsidRDefault="004729FB" w:rsidP="004729FB">
      <w:pPr>
        <w:spacing w:line="220" w:lineRule="atLeast"/>
      </w:pPr>
      <w:r>
        <w:rPr>
          <w:rFonts w:ascii="Arial" w:eastAsia="Arial" w:hAnsi="Arial" w:cs="Arial"/>
          <w:color w:val="000000"/>
          <w:sz w:val="16"/>
        </w:rPr>
        <w:t>Copyright 2018 by The Maryland State Bar Association, Inc.</w:t>
      </w:r>
    </w:p>
    <w:p w:rsidR="004729FB" w:rsidRDefault="004729FB" w:rsidP="004729FB"/>
    <w:p w:rsidR="004729FB" w:rsidRDefault="004729FB" w:rsidP="004729FB">
      <w:pPr>
        <w:ind w:left="200"/>
      </w:pPr>
      <w:r>
        <w:br/>
      </w:r>
      <w:r>
        <w:pict>
          <v:line id="_x0000_s1417" style="position:absolute;left:0;text-align:left;z-index:252051456;mso-position-horizontal-relative:text;mso-position-vertical-relative:text" from="0,10pt" to="512pt,10pt" strokeweight="1pt"/>
        </w:pict>
      </w:r>
      <w:r>
        <w:rPr>
          <w:b/>
          <w:color w:val="767676"/>
          <w:sz w:val="16"/>
        </w:rPr>
        <w:t>End of Document</w:t>
      </w:r>
    </w:p>
    <w:p w:rsidR="004D60A9" w:rsidRDefault="004D60A9">
      <w:pPr>
        <w:ind w:left="200"/>
      </w:pPr>
      <w:bookmarkStart w:id="11" w:name="_GoBack"/>
      <w:bookmarkEnd w:id="11"/>
    </w:p>
    <w:sectPr w:rsidR="004D60A9">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1367" w:rsidRDefault="00851367">
      <w:r>
        <w:separator/>
      </w:r>
    </w:p>
  </w:endnote>
  <w:endnote w:type="continuationSeparator" w:id="0">
    <w:p w:rsidR="00851367" w:rsidRDefault="0085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D60A9">
      <w:trPr>
        <w:trHeight w:val="15"/>
        <w:jc w:val="center"/>
      </w:trPr>
      <w:tc>
        <w:tcPr>
          <w:tcW w:w="10240" w:type="dxa"/>
          <w:shd w:val="solid" w:color="000000" w:fill="000000"/>
        </w:tcPr>
        <w:p w:rsidR="004D60A9" w:rsidRDefault="004D60A9">
          <w:pPr>
            <w:spacing w:line="40" w:lineRule="exact"/>
            <w:jc w:val="both"/>
          </w:pPr>
        </w:p>
      </w:tc>
    </w:tr>
  </w:tbl>
  <w:p w:rsidR="004D60A9" w:rsidRDefault="004D60A9">
    <w:pPr>
      <w:spacing w:line="40" w:lineRule="exact"/>
      <w:jc w:val="both"/>
    </w:pPr>
  </w:p>
  <w:tbl>
    <w:tblPr>
      <w:tblW w:w="10240" w:type="dxa"/>
      <w:jc w:val="center"/>
      <w:tblLayout w:type="fixed"/>
      <w:tblLook w:val="04A0" w:firstRow="1" w:lastRow="0" w:firstColumn="1" w:lastColumn="0" w:noHBand="0" w:noVBand="1"/>
    </w:tblPr>
    <w:tblGrid>
      <w:gridCol w:w="10240"/>
    </w:tblGrid>
    <w:tr w:rsidR="004D60A9">
      <w:trPr>
        <w:trHeight w:val="480"/>
        <w:jc w:val="center"/>
      </w:trPr>
      <w:tc>
        <w:tcPr>
          <w:tcW w:w="10240" w:type="dxa"/>
          <w:vAlign w:val="center"/>
        </w:tcPr>
        <w:p w:rsidR="004D60A9" w:rsidRDefault="00851367">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w:t>
            </w:r>
            <w:r>
              <w:rPr>
                <w:rFonts w:ascii="Arial" w:eastAsia="Arial" w:hAnsi="Arial" w:cs="Arial"/>
                <w:color w:val="0077CC"/>
                <w:position w:val="10"/>
                <w:sz w:val="18"/>
                <w:u w:val="single"/>
              </w:rPr>
              <w:t>Nexis</w:t>
            </w:r>
          </w:hyperlink>
        </w:p>
      </w:tc>
    </w:tr>
    <w:tr w:rsidR="004D60A9">
      <w:trPr>
        <w:trHeight w:val="620"/>
        <w:jc w:val="center"/>
      </w:trPr>
      <w:tc>
        <w:tcPr>
          <w:tcW w:w="10240" w:type="dxa"/>
        </w:tcPr>
        <w:p w:rsidR="004D60A9" w:rsidRDefault="00851367">
          <w:pPr>
            <w:spacing w:line="260" w:lineRule="atLeast"/>
            <w:jc w:val="center"/>
          </w:pPr>
          <w:r>
            <w:rPr>
              <w:rFonts w:ascii="Arial" w:eastAsia="Arial" w:hAnsi="Arial" w:cs="Arial"/>
              <w:color w:val="000000"/>
              <w:position w:val="10"/>
              <w:sz w:val="18"/>
            </w:rPr>
            <w:t>Michael Fiorenza</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 xml:space="preserve">Michael </w:t>
          </w:r>
          <w:r>
            <w:rPr>
              <w:rFonts w:ascii="Arial" w:eastAsia="Arial" w:hAnsi="Arial" w:cs="Arial"/>
              <w:sz w:val="20"/>
            </w:rPr>
            <w:t>Fiorenza</w:t>
          </w:r>
        </w:p>
      </w:tc>
      <w:tc>
        <w:tcPr>
          <w:tcW w:w="2600" w:type="dxa"/>
          <w:tcMar>
            <w:top w:w="200" w:type="dxa"/>
          </w:tcMar>
          <w:vAlign w:val="center"/>
        </w:tcPr>
        <w:p w:rsidR="004D60A9" w:rsidRDefault="004D60A9"/>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 xml:space="preserve">Michael </w:t>
          </w:r>
          <w:r>
            <w:rPr>
              <w:rFonts w:ascii="Arial" w:eastAsia="Arial" w:hAnsi="Arial" w:cs="Arial"/>
              <w:sz w:val="20"/>
            </w:rPr>
            <w:t>Fiorenza</w:t>
          </w:r>
        </w:p>
      </w:tc>
      <w:tc>
        <w:tcPr>
          <w:tcW w:w="2600" w:type="dxa"/>
          <w:tcMar>
            <w:top w:w="200" w:type="dxa"/>
          </w:tcMar>
          <w:vAlign w:val="center"/>
        </w:tcPr>
        <w:p w:rsidR="004D60A9" w:rsidRDefault="004D60A9"/>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 xml:space="preserve">Michael </w:t>
    </w:r>
    <w:r>
      <w:rPr>
        <w:rFonts w:ascii="Arial" w:eastAsia="Arial" w:hAnsi="Arial" w:cs="Arial"/>
        <w:sz w:val="20"/>
      </w:rPr>
      <w:t>Fiorenza</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D60A9">
      <w:trPr>
        <w:jc w:val="center"/>
      </w:trPr>
      <w:tc>
        <w:tcPr>
          <w:tcW w:w="2600" w:type="dxa"/>
          <w:tcMar>
            <w:top w:w="200" w:type="dxa"/>
          </w:tcMar>
          <w:vAlign w:val="center"/>
        </w:tcPr>
        <w:p w:rsidR="004D60A9" w:rsidRDefault="004D60A9"/>
      </w:tc>
      <w:tc>
        <w:tcPr>
          <w:tcW w:w="4880" w:type="dxa"/>
          <w:tcMar>
            <w:top w:w="200" w:type="dxa"/>
          </w:tcMar>
          <w:vAlign w:val="center"/>
        </w:tcPr>
        <w:p w:rsidR="004D60A9" w:rsidRDefault="00851367">
          <w:pPr>
            <w:jc w:val="center"/>
          </w:pPr>
          <w:r>
            <w:rPr>
              <w:rFonts w:ascii="Arial" w:eastAsia="Arial" w:hAnsi="Arial" w:cs="Arial"/>
              <w:sz w:val="20"/>
            </w:rPr>
            <w:t>Michael Fiorenza</w:t>
          </w:r>
        </w:p>
      </w:tc>
      <w:tc>
        <w:tcPr>
          <w:tcW w:w="2600" w:type="dxa"/>
          <w:tcMar>
            <w:top w:w="200" w:type="dxa"/>
          </w:tcMar>
          <w:vAlign w:val="center"/>
        </w:tcPr>
        <w:p w:rsidR="004D60A9" w:rsidRDefault="004D60A9"/>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851367">
    <w:pPr>
      <w:spacing w:before="200"/>
      <w:jc w:val="center"/>
    </w:pPr>
    <w:r>
      <w:rPr>
        <w:rFonts w:ascii="Arial" w:eastAsia="Arial" w:hAnsi="Arial" w:cs="Arial"/>
        <w:sz w:val="20"/>
      </w:rPr>
      <w:t>Michael Fiorenza</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2"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5"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9"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3"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8"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3"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40" w:type="dxa"/>
      <w:jc w:val="center"/>
      <w:tblLayout w:type="fixed"/>
      <w:tblLook w:val="04A0" w:firstRow="1" w:lastRow="0" w:firstColumn="1" w:lastColumn="0" w:noHBand="0" w:noVBand="1"/>
    </w:tblPr>
    <w:tblGrid>
      <w:gridCol w:w="10240"/>
    </w:tblGrid>
    <w:tr w:rsidR="004729FB">
      <w:trPr>
        <w:trHeight w:val="15"/>
        <w:jc w:val="center"/>
      </w:trPr>
      <w:tc>
        <w:tcPr>
          <w:tcW w:w="10240" w:type="dxa"/>
          <w:shd w:val="solid" w:color="000000" w:fill="000000"/>
        </w:tcPr>
        <w:p w:rsidR="004729FB" w:rsidRDefault="004729FB">
          <w:pPr>
            <w:spacing w:line="40" w:lineRule="exact"/>
            <w:jc w:val="both"/>
          </w:pPr>
        </w:p>
      </w:tc>
    </w:tr>
  </w:tbl>
  <w:p w:rsidR="004729FB" w:rsidRDefault="004729FB">
    <w:pPr>
      <w:spacing w:line="40" w:lineRule="exact"/>
      <w:jc w:val="both"/>
    </w:pPr>
  </w:p>
  <w:tbl>
    <w:tblPr>
      <w:tblW w:w="10240" w:type="dxa"/>
      <w:jc w:val="center"/>
      <w:tblLayout w:type="fixed"/>
      <w:tblLook w:val="04A0" w:firstRow="1" w:lastRow="0" w:firstColumn="1" w:lastColumn="0" w:noHBand="0" w:noVBand="1"/>
    </w:tblPr>
    <w:tblGrid>
      <w:gridCol w:w="10240"/>
    </w:tblGrid>
    <w:tr w:rsidR="004729FB">
      <w:trPr>
        <w:trHeight w:val="480"/>
        <w:jc w:val="center"/>
      </w:trPr>
      <w:tc>
        <w:tcPr>
          <w:tcW w:w="10240" w:type="dxa"/>
          <w:vAlign w:val="center"/>
        </w:tcPr>
        <w:p w:rsidR="004729FB" w:rsidRDefault="004729FB">
          <w:pPr>
            <w:spacing w:line="260" w:lineRule="atLeas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4" type="#_x0000_t75" style="width:69pt;height:15.75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2018 LexisNexis</w:t>
            </w:r>
          </w:hyperlink>
        </w:p>
      </w:tc>
    </w:tr>
    <w:tr w:rsidR="004729FB">
      <w:trPr>
        <w:trHeight w:val="620"/>
        <w:jc w:val="center"/>
      </w:trPr>
      <w:tc>
        <w:tcPr>
          <w:tcW w:w="10240" w:type="dxa"/>
        </w:tcPr>
        <w:p w:rsidR="004729FB" w:rsidRDefault="004729FB">
          <w:pPr>
            <w:spacing w:line="260" w:lineRule="atLeast"/>
            <w:jc w:val="center"/>
          </w:pPr>
          <w:r>
            <w:rPr>
              <w:rFonts w:ascii="Arial" w:eastAsia="Arial" w:hAnsi="Arial" w:cs="Arial"/>
              <w:color w:val="000000"/>
              <w:position w:val="10"/>
              <w:sz w:val="18"/>
            </w:rPr>
            <w:t>Michael Fiorenza</w:t>
          </w:r>
        </w:p>
      </w:tc>
    </w:tr>
  </w:tbl>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4729FB">
      <w:trPr>
        <w:jc w:val="center"/>
      </w:trPr>
      <w:tc>
        <w:tcPr>
          <w:tcW w:w="2600" w:type="dxa"/>
          <w:tcMar>
            <w:top w:w="200" w:type="dxa"/>
          </w:tcMar>
          <w:vAlign w:val="center"/>
        </w:tcPr>
        <w:p w:rsidR="004729FB" w:rsidRDefault="004729FB"/>
      </w:tc>
      <w:tc>
        <w:tcPr>
          <w:tcW w:w="4880" w:type="dxa"/>
          <w:tcMar>
            <w:top w:w="200" w:type="dxa"/>
          </w:tcMar>
          <w:vAlign w:val="center"/>
        </w:tcPr>
        <w:p w:rsidR="004729FB" w:rsidRDefault="004729FB">
          <w:pPr>
            <w:jc w:val="center"/>
          </w:pPr>
          <w:r>
            <w:rPr>
              <w:rFonts w:ascii="Arial" w:eastAsia="Arial" w:hAnsi="Arial" w:cs="Arial"/>
              <w:sz w:val="20"/>
            </w:rPr>
            <w:t>Michael Fiorenza</w:t>
          </w:r>
        </w:p>
      </w:tc>
      <w:tc>
        <w:tcPr>
          <w:tcW w:w="2600" w:type="dxa"/>
          <w:tcMar>
            <w:top w:w="200" w:type="dxa"/>
          </w:tcMar>
          <w:vAlign w:val="center"/>
        </w:tcPr>
        <w:p w:rsidR="004729FB" w:rsidRDefault="004729FB"/>
      </w:tc>
    </w:tr>
  </w:tbl>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pPr>
      <w:spacing w:before="200"/>
      <w:jc w:val="center"/>
    </w:pPr>
    <w:r>
      <w:rPr>
        <w:rFonts w:ascii="Arial" w:eastAsia="Arial" w:hAnsi="Arial" w:cs="Arial"/>
        <w:sz w:val="20"/>
      </w:rPr>
      <w:t>Michael Fiorenza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1367" w:rsidRDefault="00851367">
      <w:r>
        <w:separator/>
      </w:r>
    </w:p>
  </w:footnote>
  <w:footnote w:type="continuationSeparator" w:id="0">
    <w:p w:rsidR="00851367" w:rsidRDefault="00851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3</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4:00</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5</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4:00.1</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7</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4:00.2</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9</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4:00.3</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11</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4:00.4</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13</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4:01</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17</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4:01.1</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19</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4:02</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22</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4:03</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D60A9">
      <w:trPr>
        <w:jc w:val="center"/>
      </w:trPr>
      <w:tc>
        <w:tcPr>
          <w:tcW w:w="10080" w:type="dxa"/>
          <w:vAlign w:val="center"/>
        </w:tcPr>
        <w:p w:rsidR="004D60A9" w:rsidRDefault="0085136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sidR="004729FB">
            <w:rPr>
              <w:rFonts w:ascii="Arial" w:eastAsia="Arial" w:hAnsi="Arial" w:cs="Arial"/>
              <w:sz w:val="20"/>
            </w:rPr>
            <w:fldChar w:fldCharType="separate"/>
          </w:r>
          <w:r w:rsidR="004729FB">
            <w:rPr>
              <w:rFonts w:ascii="Arial" w:eastAsia="Arial" w:hAnsi="Arial" w:cs="Arial"/>
              <w:noProof/>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sidR="004729FB">
            <w:rPr>
              <w:rFonts w:ascii="Arial" w:eastAsia="Arial" w:hAnsi="Arial" w:cs="Arial"/>
              <w:sz w:val="20"/>
            </w:rPr>
            <w:fldChar w:fldCharType="separate"/>
          </w:r>
          <w:r w:rsidR="004729FB">
            <w:rPr>
              <w:rFonts w:ascii="Arial" w:eastAsia="Arial" w:hAnsi="Arial" w:cs="Arial"/>
              <w:noProof/>
              <w:sz w:val="20"/>
            </w:rPr>
            <w:t>25</w:t>
          </w:r>
          <w:r>
            <w:rPr>
              <w:rFonts w:ascii="Arial" w:eastAsia="Arial" w:hAnsi="Arial" w:cs="Arial"/>
              <w:sz w:val="20"/>
            </w:rPr>
            <w:fldChar w:fldCharType="end"/>
          </w:r>
        </w:p>
      </w:tc>
    </w:tr>
    <w:tr w:rsidR="004D60A9">
      <w:trPr>
        <w:jc w:val="center"/>
      </w:trPr>
      <w:tc>
        <w:tcPr>
          <w:tcW w:w="10080" w:type="dxa"/>
        </w:tcPr>
        <w:p w:rsidR="004D60A9" w:rsidRDefault="00851367">
          <w:pPr>
            <w:spacing w:before="60" w:after="200"/>
            <w:jc w:val="center"/>
          </w:pPr>
          <w:r>
            <w:rPr>
              <w:rFonts w:ascii="Arial" w:eastAsia="Arial" w:hAnsi="Arial" w:cs="Arial"/>
              <w:sz w:val="20"/>
            </w:rPr>
            <w:t>MPJI-Cr 4:01.2</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0A9" w:rsidRDefault="004D60A9"/>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4:07.5</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4:07.6</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72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4:07.7</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74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4:07.8</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76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4:08</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80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4:09</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82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4:09.1</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84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4:09.2</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86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88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4:09.3</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4:10.1</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4:10.2</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94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4:10.3</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96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4:10.4</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99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4:10.5</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101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4:10.6</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103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4:11</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105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4:11.1</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4:12.1</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108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4:12</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4:12.2</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115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4:13</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117</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4:14</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120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4:14.1</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122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4:14.2</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125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4:14.3</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127</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4:15</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131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4:15.1</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4:15.2</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134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4:15.3</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4:15.4</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138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4:16</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142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4:16.1</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144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149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4:17.0</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151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155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4:17.2</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161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4:17.3</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164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4:17.4</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169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4:17.5</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4:17.6</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4:17.7</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179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4:17.7.1</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181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4:17.7.2</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183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4:17.8</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186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4:17.9</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190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4:17.10</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194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4:17.12</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198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4:17.11</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202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4:17.13</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4:17.14</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209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4:17.15</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4:17.16</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4:17.17</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4:17.18</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4:17.19</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215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4:18.2</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217</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219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4:18.1</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221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4:18.3</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224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4:18.4</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226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4:18.5</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4:18.6</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229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4:18.7</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231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4:19</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234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4:19.1</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236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4:20</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238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4:22</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240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244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4:23</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250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4:24.2</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252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4:24.3</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254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4:24.4</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257</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4:24.5</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259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4:24.7</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261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4:24.8</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264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4:24.6</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266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4:24.9</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268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4:24.10</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4:24.11</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4:24.12</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275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4:24.13</w:t>
          </w:r>
        </w:p>
      </w:tc>
    </w:tr>
  </w:tbl>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277</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4:24.14</w:t>
          </w:r>
        </w:p>
      </w:tc>
    </w:tr>
  </w:tbl>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4:24.15</w:t>
          </w:r>
        </w:p>
      </w:tc>
    </w:tr>
  </w:tbl>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4:24.16</w:t>
          </w:r>
        </w:p>
      </w:tc>
    </w:tr>
  </w:tbl>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281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4:24.17</w:t>
          </w:r>
        </w:p>
      </w:tc>
    </w:tr>
  </w:tbl>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283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4:26</w:t>
          </w:r>
        </w:p>
      </w:tc>
    </w:tr>
  </w:tbl>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286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4:26.1</w:t>
          </w:r>
        </w:p>
      </w:tc>
    </w:tr>
  </w:tbl>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288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4:25</w:t>
          </w:r>
        </w:p>
      </w:tc>
    </w:tr>
  </w:tbl>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4:29.10A</w:t>
          </w:r>
        </w:p>
      </w:tc>
    </w:tr>
  </w:tbl>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4:29.11</w:t>
          </w:r>
        </w:p>
      </w:tc>
    </w:tr>
  </w:tbl>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294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4:29.12</w:t>
          </w:r>
        </w:p>
      </w:tc>
    </w:tr>
  </w:tbl>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296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4:29.13</w:t>
          </w:r>
        </w:p>
      </w:tc>
    </w:tr>
  </w:tbl>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298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4:29.14</w:t>
          </w:r>
        </w:p>
      </w:tc>
    </w:tr>
  </w:tbl>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300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4:30</w:t>
          </w:r>
        </w:p>
      </w:tc>
    </w:tr>
  </w:tbl>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302</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4:30.1</w:t>
          </w:r>
        </w:p>
      </w:tc>
    </w:tr>
  </w:tbl>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304</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4:31</w:t>
          </w:r>
        </w:p>
      </w:tc>
    </w:tr>
  </w:tbl>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306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4:31.1</w:t>
          </w:r>
        </w:p>
      </w:tc>
    </w:tr>
  </w:tbl>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308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w:t>
          </w:r>
        </w:p>
      </w:tc>
    </w:tr>
  </w:tbl>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311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4:32.1</w:t>
          </w:r>
        </w:p>
      </w:tc>
    </w:tr>
  </w:tbl>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4:32.2</w:t>
          </w:r>
        </w:p>
      </w:tc>
    </w:tr>
  </w:tbl>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4:32.3</w:t>
          </w:r>
        </w:p>
      </w:tc>
    </w:tr>
  </w:tbl>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319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4:32.4</w:t>
          </w:r>
        </w:p>
      </w:tc>
    </w:tr>
  </w:tbl>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321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4:32.5</w:t>
          </w:r>
        </w:p>
      </w:tc>
    </w:tr>
  </w:tbl>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4:33</w:t>
          </w:r>
        </w:p>
      </w:tc>
    </w:tr>
  </w:tbl>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326</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4:33.1</w:t>
          </w:r>
        </w:p>
      </w:tc>
    </w:tr>
  </w:tbl>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4:33.2</w:t>
          </w:r>
        </w:p>
      </w:tc>
    </w:tr>
  </w:tbl>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329</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4:34</w:t>
          </w:r>
        </w:p>
      </w:tc>
    </w:tr>
  </w:tbl>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331</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4:33.3</w:t>
          </w:r>
        </w:p>
      </w:tc>
    </w:tr>
  </w:tbl>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333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w:t>
          </w:r>
        </w:p>
      </w:tc>
    </w:tr>
  </w:tbl>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4:35.1</w:t>
          </w:r>
        </w:p>
      </w:tc>
    </w:tr>
  </w:tbl>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340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4:35.2</w:t>
          </w:r>
        </w:p>
      </w:tc>
    </w:tr>
  </w:tbl>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343</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4:35.3</w:t>
          </w:r>
        </w:p>
      </w:tc>
    </w:tr>
  </w:tbl>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345</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4:35.4</w:t>
          </w:r>
        </w:p>
      </w:tc>
    </w:tr>
  </w:tbl>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348</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4:35.5</w:t>
          </w:r>
        </w:p>
      </w:tc>
    </w:tr>
  </w:tbl>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350</w: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4:35.6</w:t>
          </w:r>
        </w:p>
      </w:tc>
    </w:tr>
  </w:tbl>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4729FB">
      <w:trPr>
        <w:jc w:val="center"/>
      </w:trPr>
      <w:tc>
        <w:tcPr>
          <w:tcW w:w="10080" w:type="dxa"/>
          <w:vAlign w:val="center"/>
        </w:tcPr>
        <w:p w:rsidR="004729FB" w:rsidRDefault="004729FB">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end"/>
          </w:r>
        </w:p>
      </w:tc>
    </w:tr>
    <w:tr w:rsidR="004729FB">
      <w:trPr>
        <w:jc w:val="center"/>
      </w:trPr>
      <w:tc>
        <w:tcPr>
          <w:tcW w:w="10080" w:type="dxa"/>
        </w:tcPr>
        <w:p w:rsidR="004729FB" w:rsidRDefault="004729FB">
          <w:pPr>
            <w:spacing w:before="60" w:after="200"/>
            <w:jc w:val="center"/>
          </w:pPr>
          <w:r>
            <w:rPr>
              <w:rFonts w:ascii="Arial" w:eastAsia="Arial" w:hAnsi="Arial" w:cs="Arial"/>
              <w:sz w:val="20"/>
            </w:rPr>
            <w:t>MPJI-Cr 4:35.7</w:t>
          </w:r>
        </w:p>
      </w:tc>
    </w:tr>
  </w:tbl>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9FB" w:rsidRDefault="004729F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4729FB"/>
    <w:rsid w:val="004D60A9"/>
    <w:rsid w:val="00851367"/>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467BB3"/>
  <w15:docId w15:val="{FDB7511E-A4A3-4CE9-A88D-7B79707A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29FB"/>
    <w:rPr>
      <w:color w:val="0563C1" w:themeColor="hyperlink"/>
      <w:u w:val="single"/>
    </w:rPr>
  </w:style>
  <w:style w:type="character" w:styleId="FollowedHyperlink">
    <w:name w:val="FollowedHyperlink"/>
    <w:basedOn w:val="DefaultParagraphFont"/>
    <w:uiPriority w:val="99"/>
    <w:semiHidden/>
    <w:unhideWhenUsed/>
    <w:rsid w:val="004729FB"/>
    <w:rPr>
      <w:color w:val="954F72" w:themeColor="followedHyperlink"/>
      <w:u w:val="single"/>
    </w:rPr>
  </w:style>
  <w:style w:type="paragraph" w:customStyle="1" w:styleId="msonormal0">
    <w:name w:val="msonormal"/>
    <w:basedOn w:val="Normal"/>
    <w:rsid w:val="004729FB"/>
    <w:pPr>
      <w:spacing w:before="100" w:beforeAutospacing="1" w:after="100" w:afterAutospacing="1"/>
    </w:pPr>
  </w:style>
  <w:style w:type="character" w:customStyle="1" w:styleId="Heading1Char">
    <w:name w:val="Heading 1 Char"/>
    <w:basedOn w:val="DefaultParagraphFont"/>
    <w:link w:val="Heading1"/>
    <w:rsid w:val="004729FB"/>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10069">
      <w:bodyDiv w:val="1"/>
      <w:marLeft w:val="0"/>
      <w:marRight w:val="0"/>
      <w:marTop w:val="0"/>
      <w:marBottom w:val="0"/>
      <w:divBdr>
        <w:top w:val="none" w:sz="0" w:space="0" w:color="auto"/>
        <w:left w:val="none" w:sz="0" w:space="0" w:color="auto"/>
        <w:bottom w:val="none" w:sz="0" w:space="0" w:color="auto"/>
        <w:right w:val="none" w:sz="0" w:space="0" w:color="auto"/>
      </w:divBdr>
    </w:div>
    <w:div w:id="792362765">
      <w:bodyDiv w:val="1"/>
      <w:marLeft w:val="0"/>
      <w:marRight w:val="0"/>
      <w:marTop w:val="0"/>
      <w:marBottom w:val="0"/>
      <w:divBdr>
        <w:top w:val="none" w:sz="0" w:space="0" w:color="auto"/>
        <w:left w:val="none" w:sz="0" w:space="0" w:color="auto"/>
        <w:bottom w:val="none" w:sz="0" w:space="0" w:color="auto"/>
        <w:right w:val="none" w:sz="0" w:space="0" w:color="auto"/>
      </w:divBdr>
    </w:div>
    <w:div w:id="951739722">
      <w:bodyDiv w:val="1"/>
      <w:marLeft w:val="0"/>
      <w:marRight w:val="0"/>
      <w:marTop w:val="0"/>
      <w:marBottom w:val="0"/>
      <w:divBdr>
        <w:top w:val="none" w:sz="0" w:space="0" w:color="auto"/>
        <w:left w:val="none" w:sz="0" w:space="0" w:color="auto"/>
        <w:bottom w:val="none" w:sz="0" w:space="0" w:color="auto"/>
        <w:right w:val="none" w:sz="0" w:space="0" w:color="auto"/>
      </w:divBdr>
    </w:div>
    <w:div w:id="1130325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522" Type="http://schemas.openxmlformats.org/officeDocument/2006/relationships/footer" Target="footer255.xml"/><Relationship Id="rId1827" Type="http://schemas.openxmlformats.org/officeDocument/2006/relationships/hyperlink" Target="https://advance.lexis.com/api/document?id=urn:contentItem:5T0Y-CDN0-01KN-B05J-00000-00&amp;idtype=PID&amp;context=1000516" TargetMode="External"/><Relationship Id="rId21" Type="http://schemas.openxmlformats.org/officeDocument/2006/relationships/hyperlink" Target="https://advance.lexis.com/api/document?id=urn:contentItem:5T0Y-CDN0-01KN-B01W-00000-00&amp;idtype=PID&amp;context=1000516" TargetMode="External"/><Relationship Id="rId2089" Type="http://schemas.openxmlformats.org/officeDocument/2006/relationships/hyperlink" Target="https://advance.lexis.com/api/document?collection=cases&amp;id=urn:contentItem:3RX4-4P00-003G-23Y8-00000-00&amp;context=" TargetMode="External"/><Relationship Id="rId170" Type="http://schemas.openxmlformats.org/officeDocument/2006/relationships/hyperlink" Target="https://advance.lexis.com/api/document?collection=cases&amp;id=urn:contentItem:4WM1-RXD0-TXFX-12GR-00000-00&amp;context=" TargetMode="External"/><Relationship Id="rId2296" Type="http://schemas.openxmlformats.org/officeDocument/2006/relationships/footer" Target="footer388.xml"/><Relationship Id="rId268" Type="http://schemas.openxmlformats.org/officeDocument/2006/relationships/hyperlink" Target="https://advance.lexis.com/api/document?collection=jury-instructions&amp;id=urn:contentItem:5T0Y-CDN0-01KN-B026-00000-00&amp;context=" TargetMode="External"/><Relationship Id="rId475" Type="http://schemas.openxmlformats.org/officeDocument/2006/relationships/hyperlink" Target="https://advance.lexis.com/api/document?collection=cases&amp;id=urn:contentItem:3RX4-3VM0-003G-225M-00000-00&amp;context=" TargetMode="External"/><Relationship Id="rId682" Type="http://schemas.openxmlformats.org/officeDocument/2006/relationships/hyperlink" Target="https://advance.lexis.com/api/document?id=urn:contentItem:5T0Y-CDN0-01KN-B03K-00000-00&amp;idtype=PID&amp;context=1000516" TargetMode="External"/><Relationship Id="rId2156" Type="http://schemas.openxmlformats.org/officeDocument/2006/relationships/footer" Target="footer365.xml"/><Relationship Id="rId2363" Type="http://schemas.openxmlformats.org/officeDocument/2006/relationships/hyperlink" Target="https://advance.lexis.com/api/document?id=urn:contentItem:5T0Y-CDN0-01KN-B07M-00000-00&amp;idtype=PID&amp;context=1000516" TargetMode="External"/><Relationship Id="rId128" Type="http://schemas.openxmlformats.org/officeDocument/2006/relationships/header" Target="header26.xml"/><Relationship Id="rId335" Type="http://schemas.openxmlformats.org/officeDocument/2006/relationships/hyperlink" Target="https://advance.lexis.com/api/document?collection=cases&amp;id=urn:contentItem:3RX4-39F0-003G-212K-00000-00&amp;context=" TargetMode="External"/><Relationship Id="rId542" Type="http://schemas.openxmlformats.org/officeDocument/2006/relationships/hyperlink" Target="https://advance.lexis.com/api/document?id=urn:contentItem:5T0Y-CDN0-01KN-B039-00000-00&amp;idtype=PID&amp;context=1000516" TargetMode="External"/><Relationship Id="rId987" Type="http://schemas.openxmlformats.org/officeDocument/2006/relationships/hyperlink" Target="https://advance.lexis.com/api/document?collection=cases&amp;id=urn:contentItem:3RX4-3K70-003G-21MV-00000-00&amp;context=" TargetMode="External"/><Relationship Id="rId1172" Type="http://schemas.openxmlformats.org/officeDocument/2006/relationships/hyperlink" Target="https://advance.lexis.com/api/document?collection=cases&amp;id=urn:contentItem:4GC9-WJV0-0039-41YX-00000-00&amp;context=" TargetMode="External"/><Relationship Id="rId2016" Type="http://schemas.openxmlformats.org/officeDocument/2006/relationships/hyperlink" Target="https://advance.lexis.com/api/document?id=urn:contentItem:5T0Y-CDN0-01KN-B076-00000-00&amp;idtype=PID&amp;context=1000516" TargetMode="External"/><Relationship Id="rId2223" Type="http://schemas.openxmlformats.org/officeDocument/2006/relationships/hyperlink" Target="https://advance.lexis.com/api/document?collection=cases&amp;id=urn:contentItem:4R3J-D8P0-TX4N-G05V-00000-00&amp;context=" TargetMode="External"/><Relationship Id="rId2430" Type="http://schemas.openxmlformats.org/officeDocument/2006/relationships/header" Target="header411.xml"/><Relationship Id="rId402" Type="http://schemas.openxmlformats.org/officeDocument/2006/relationships/footer" Target="footer36.xml"/><Relationship Id="rId847" Type="http://schemas.openxmlformats.org/officeDocument/2006/relationships/header" Target="header138.xml"/><Relationship Id="rId1032" Type="http://schemas.openxmlformats.org/officeDocument/2006/relationships/hyperlink" Target="https://advance.lexis.com/api/document?collection=cases&amp;id=urn:contentItem:7YKY-GBG1-2RHN-Y00F-00000-00&amp;context=" TargetMode="External"/><Relationship Id="rId1477" Type="http://schemas.openxmlformats.org/officeDocument/2006/relationships/hyperlink" Target="https://advance.lexis.com/api/document?collection=cases&amp;id=urn:contentItem:4NHV-9J10-0039-4361-00000-00&amp;context=" TargetMode="External"/><Relationship Id="rId1684" Type="http://schemas.openxmlformats.org/officeDocument/2006/relationships/footer" Target="footer272.xml"/><Relationship Id="rId1891" Type="http://schemas.openxmlformats.org/officeDocument/2006/relationships/header" Target="header311.xml"/><Relationship Id="rId707" Type="http://schemas.openxmlformats.org/officeDocument/2006/relationships/hyperlink" Target="https://advance.lexis.com/api/document?collection=cases&amp;id=urn:contentItem:7XWF-GVX0-YB0R-N003-00000-00&amp;context=" TargetMode="External"/><Relationship Id="rId914" Type="http://schemas.openxmlformats.org/officeDocument/2006/relationships/hyperlink" Target="https://advance.lexis.com/api/document?collection=cases&amp;id=urn:contentItem:3RX4-2W40-003G-207B-00000-00&amp;context=" TargetMode="External"/><Relationship Id="rId1337" Type="http://schemas.openxmlformats.org/officeDocument/2006/relationships/header" Target="header204.xml"/><Relationship Id="rId1544" Type="http://schemas.openxmlformats.org/officeDocument/2006/relationships/hyperlink" Target="https://advance.lexis.com/api/document?collection=cases&amp;id=urn:contentItem:3S12-3P60-003D-Y1K3-00000-00&amp;context=" TargetMode="External"/><Relationship Id="rId1751" Type="http://schemas.openxmlformats.org/officeDocument/2006/relationships/hyperlink" Target="https://advance.lexis.com/api/document?collection=cases&amp;id=urn:contentItem:3RX4-CBP0-003G-208T-00000-00&amp;context=" TargetMode="External"/><Relationship Id="rId1989" Type="http://schemas.openxmlformats.org/officeDocument/2006/relationships/hyperlink" Target="https://advance.lexis.com/api/document?collection=cases&amp;id=urn:contentItem:3RX4-9TS0-003G-21V8-00000-00&amp;context=" TargetMode="External"/><Relationship Id="rId43" Type="http://schemas.openxmlformats.org/officeDocument/2006/relationships/hyperlink" Target="https://advance.lexis.com/api/document?collection=cases&amp;id=urn:contentItem:4SR0-C740-TX4N-G0P6-00000-00&amp;context=" TargetMode="External"/><Relationship Id="rId1404" Type="http://schemas.openxmlformats.org/officeDocument/2006/relationships/header" Target="header228.xml"/><Relationship Id="rId1611" Type="http://schemas.openxmlformats.org/officeDocument/2006/relationships/hyperlink" Target="https://advance.lexis.com/api/document?collection=cases&amp;id=urn:contentItem:3RX4-BWX0-003G-24GD-00000-00&amp;context=" TargetMode="External"/><Relationship Id="rId1849" Type="http://schemas.openxmlformats.org/officeDocument/2006/relationships/footer" Target="footer298.xml"/><Relationship Id="rId192" Type="http://schemas.openxmlformats.org/officeDocument/2006/relationships/hyperlink" Target="https://advance.lexis.com/api/document?id=urn:contentItem:5T0Y-CDN0-01KN-B023-00000-00&amp;idtype=PID&amp;context=1000516" TargetMode="External"/><Relationship Id="rId1709" Type="http://schemas.openxmlformats.org/officeDocument/2006/relationships/hyperlink" Target="https://advance.lexis.com/api/document?collection=cases&amp;id=urn:contentItem:3RX4-3KD0-003G-21N7-00000-00&amp;context=" TargetMode="External"/><Relationship Id="rId1916" Type="http://schemas.openxmlformats.org/officeDocument/2006/relationships/header" Target="header320.xml"/><Relationship Id="rId497" Type="http://schemas.openxmlformats.org/officeDocument/2006/relationships/header" Target="header58.xml"/><Relationship Id="rId2080" Type="http://schemas.openxmlformats.org/officeDocument/2006/relationships/hyperlink" Target="https://advance.lexis.com/api/document?collection=cases&amp;id=urn:contentItem:3RX4-9YF0-003G-2253-00000-00&amp;context=" TargetMode="External"/><Relationship Id="rId2178" Type="http://schemas.openxmlformats.org/officeDocument/2006/relationships/hyperlink" Target="https://advance.lexis.com/api/document?id=urn:contentItem:5T0Y-CDN0-01KN-B07F-00000-00&amp;idtype=PID&amp;context=1000516" TargetMode="External"/><Relationship Id="rId2385" Type="http://schemas.openxmlformats.org/officeDocument/2006/relationships/header" Target="header405.xml"/><Relationship Id="rId357" Type="http://schemas.openxmlformats.org/officeDocument/2006/relationships/hyperlink" Target="https://advance.lexis.com/api/document?collection=jury-instructions&amp;id=urn:contentItem:5T0Y-CDN0-01KN-B025-00000-00&amp;context=" TargetMode="External"/><Relationship Id="rId1194" Type="http://schemas.openxmlformats.org/officeDocument/2006/relationships/header" Target="header183.xml"/><Relationship Id="rId2038" Type="http://schemas.openxmlformats.org/officeDocument/2006/relationships/header" Target="header340.xml"/><Relationship Id="rId217" Type="http://schemas.openxmlformats.org/officeDocument/2006/relationships/hyperlink" Target="https://advance.lexis.com/api/document?collection=cases&amp;id=urn:contentItem:3RX4-5CV0-003G-20D4-00000-00&amp;context=" TargetMode="External"/><Relationship Id="rId564" Type="http://schemas.openxmlformats.org/officeDocument/2006/relationships/hyperlink" Target="https://advance.lexis.com/api/document?collection=cases&amp;id=urn:contentItem:3RX4-36P0-003G-20W6-00000-00&amp;context=" TargetMode="External"/><Relationship Id="rId771" Type="http://schemas.openxmlformats.org/officeDocument/2006/relationships/footer" Target="footer115.xml"/><Relationship Id="rId869" Type="http://schemas.openxmlformats.org/officeDocument/2006/relationships/hyperlink" Target="https://advance.lexis.com/api/document?collection=cases&amp;id=urn:contentItem:3RX4-4G80-003G-23HC-00000-00&amp;context=" TargetMode="External"/><Relationship Id="rId1499" Type="http://schemas.openxmlformats.org/officeDocument/2006/relationships/hyperlink" Target="https://advance.lexis.com/api/document?collection=cases&amp;id=urn:contentItem:3RX4-96X0-003G-20CH-00000-00&amp;context=" TargetMode="External"/><Relationship Id="rId2245" Type="http://schemas.openxmlformats.org/officeDocument/2006/relationships/footer" Target="footer377.xml"/><Relationship Id="rId2452" Type="http://schemas.openxmlformats.org/officeDocument/2006/relationships/hyperlink" Target="https://advance.lexis.com/api/document?collection=cases&amp;id=urn:contentItem:3RX4-C6K0-003G-2006-00000-00&amp;context=" TargetMode="External"/><Relationship Id="rId424" Type="http://schemas.openxmlformats.org/officeDocument/2006/relationships/header" Target="header46.xml"/><Relationship Id="rId631" Type="http://schemas.openxmlformats.org/officeDocument/2006/relationships/hyperlink" Target="https://advance.lexis.com/api/document?collection=cases&amp;id=urn:contentItem:3RX4-5TN0-003G-21GM-00000-00&amp;context=" TargetMode="External"/><Relationship Id="rId729" Type="http://schemas.openxmlformats.org/officeDocument/2006/relationships/header" Target="header111.xml"/><Relationship Id="rId1054" Type="http://schemas.openxmlformats.org/officeDocument/2006/relationships/hyperlink" Target="https://advance.lexis.com/api/document?collection=cases&amp;id=urn:contentItem:3RX4-3GT0-003G-21FR-00000-00&amp;context=" TargetMode="External"/><Relationship Id="rId1261" Type="http://schemas.openxmlformats.org/officeDocument/2006/relationships/hyperlink" Target="https://advance.lexis.com/api/document?collection=cases&amp;id=urn:contentItem:3RX4-9950-003G-20JP-00000-00&amp;context=" TargetMode="External"/><Relationship Id="rId1359" Type="http://schemas.openxmlformats.org/officeDocument/2006/relationships/header" Target="header212.xml"/><Relationship Id="rId2105" Type="http://schemas.openxmlformats.org/officeDocument/2006/relationships/hyperlink" Target="https://advance.lexis.com/api/document?collection=cases&amp;id=urn:contentItem:3RX4-4TP0-003G-2467-00000-00&amp;context=" TargetMode="External"/><Relationship Id="rId2312" Type="http://schemas.openxmlformats.org/officeDocument/2006/relationships/hyperlink" Target="https://advance.lexis.com/api/document?collection=cases&amp;id=urn:contentItem:59PP-6911-F04G-T01R-00000-00&amp;context=" TargetMode="External"/><Relationship Id="rId936" Type="http://schemas.openxmlformats.org/officeDocument/2006/relationships/footer" Target="footer149.xml"/><Relationship Id="rId1121" Type="http://schemas.openxmlformats.org/officeDocument/2006/relationships/header" Target="header171.xml"/><Relationship Id="rId1219" Type="http://schemas.openxmlformats.org/officeDocument/2006/relationships/hyperlink" Target="https://advance.lexis.com/api/document?collection=cases&amp;id=urn:contentItem:3S12-2GS0-003D-Y1RV-00000-00&amp;context=" TargetMode="External"/><Relationship Id="rId1566" Type="http://schemas.openxmlformats.org/officeDocument/2006/relationships/hyperlink" Target="https://advance.lexis.com/api/document?collection=cases&amp;id=urn:contentItem:3RX4-98P0-003G-20HM-00000-00&amp;context=" TargetMode="External"/><Relationship Id="rId1773" Type="http://schemas.openxmlformats.org/officeDocument/2006/relationships/hyperlink" Target="https://advance.lexis.com/api/document?collection=cases&amp;id=urn:contentItem:3RX4-BB80-003G-233R-00000-00&amp;context=" TargetMode="External"/><Relationship Id="rId1980" Type="http://schemas.openxmlformats.org/officeDocument/2006/relationships/header" Target="header328.xml"/><Relationship Id="rId65" Type="http://schemas.openxmlformats.org/officeDocument/2006/relationships/hyperlink" Target="https://advance.lexis.com/api/document?collection=cases&amp;id=urn:contentItem:3RX4-4VV0-003G-248N-00000-00&amp;context=" TargetMode="External"/><Relationship Id="rId1426" Type="http://schemas.openxmlformats.org/officeDocument/2006/relationships/hyperlink" Target="https://advance.lexis.com/api/document?id=urn:contentItem:5T0Y-CDN0-01KN-B04Y-00000-00&amp;idtype=PID&amp;context=1000516" TargetMode="External"/><Relationship Id="rId1633" Type="http://schemas.openxmlformats.org/officeDocument/2006/relationships/hyperlink" Target="https://advance.lexis.com/api/document?id=urn:contentItem:5T0Y-CDN0-01KN-B05C-00000-00&amp;idtype=PID&amp;context=1000516" TargetMode="External"/><Relationship Id="rId1840" Type="http://schemas.openxmlformats.org/officeDocument/2006/relationships/hyperlink" Target="https://advance.lexis.com/api/document?id=urn:contentItem:5T0Y-CDN0-01KN-B05S-00000-00&amp;idtype=PID&amp;context=1000516" TargetMode="External"/><Relationship Id="rId1700" Type="http://schemas.openxmlformats.org/officeDocument/2006/relationships/hyperlink" Target="https://advance.lexis.com/api/document?collection=cases&amp;id=urn:contentItem:3SD8-HJM0-0039-4407-00000-00&amp;context=" TargetMode="External"/><Relationship Id="rId1938" Type="http://schemas.openxmlformats.org/officeDocument/2006/relationships/hyperlink" Target="https://advance.lexis.com/api/document?collection=cases&amp;id=urn:contentItem:3RX4-CFX0-003G-20K8-00000-00&amp;context=" TargetMode="External"/><Relationship Id="rId281" Type="http://schemas.openxmlformats.org/officeDocument/2006/relationships/hyperlink" Target="https://advance.lexis.com/api/document?id=urn:contentItem:5T0Y-CDN0-01KN-B01Y-00000-00&amp;idtype=PID&amp;context=1000516" TargetMode="External"/><Relationship Id="rId141" Type="http://schemas.openxmlformats.org/officeDocument/2006/relationships/hyperlink" Target="https://advance.lexis.com/api/document?collection=cases&amp;id=urn:contentItem:3RX4-44P0-003G-22RT-00000-00&amp;context=" TargetMode="External"/><Relationship Id="rId379" Type="http://schemas.openxmlformats.org/officeDocument/2006/relationships/hyperlink" Target="https://advance.lexis.com/api/document?id=urn:contentItem:5T0Y-CDN0-01KN-B02P-00000-00&amp;idtype=PID&amp;context=1000516" TargetMode="External"/><Relationship Id="rId586" Type="http://schemas.openxmlformats.org/officeDocument/2006/relationships/footer" Target="footer81.xml"/><Relationship Id="rId793" Type="http://schemas.openxmlformats.org/officeDocument/2006/relationships/hyperlink" Target="https://advance.lexis.com/api/document?collection=cases&amp;id=urn:contentItem:3RX4-4DD0-003G-23CB-00000-00&amp;context=" TargetMode="External"/><Relationship Id="rId2267" Type="http://schemas.openxmlformats.org/officeDocument/2006/relationships/hyperlink" Target="https://advance.lexis.com/api/document?collection=cases&amp;id=urn:contentItem:5739-2K51-F04G-S11P-00000-00&amp;context=" TargetMode="External"/><Relationship Id="rId2474" Type="http://schemas.openxmlformats.org/officeDocument/2006/relationships/hyperlink" Target="https://advance.lexis.com/api/document?collection=cases&amp;id=urn:contentItem:48KW-0TT0-0039-43WT-00000-00&amp;context=" TargetMode="External"/><Relationship Id="rId7" Type="http://schemas.openxmlformats.org/officeDocument/2006/relationships/hyperlink" Target="https://advance.lexis.com/api/document?id=urn:contentItem:5T0Y-CDN0-01KN-B01K-00000-00&amp;idtype=PID&amp;context=1000516" TargetMode="External"/><Relationship Id="rId239" Type="http://schemas.openxmlformats.org/officeDocument/2006/relationships/hyperlink" Target="https://advance.lexis.com/api/document?collection=cases&amp;id=urn:contentItem:3RX4-BW80-003G-24DX-00000-00&amp;context=" TargetMode="External"/><Relationship Id="rId446" Type="http://schemas.openxmlformats.org/officeDocument/2006/relationships/hyperlink" Target="https://advance.lexis.com/api/document?collection=cases&amp;id=urn:contentItem:3RX4-3C50-003G-2164-00000-00&amp;context=" TargetMode="External"/><Relationship Id="rId653" Type="http://schemas.openxmlformats.org/officeDocument/2006/relationships/hyperlink" Target="https://advance.lexis.com/api/document?collection=cases&amp;id=urn:contentItem:3S12-38M0-003D-Y533-00000-00&amp;context=" TargetMode="External"/><Relationship Id="rId1076" Type="http://schemas.openxmlformats.org/officeDocument/2006/relationships/hyperlink" Target="https://advance.lexis.com/api/document?collection=cases&amp;id=urn:contentItem:3RX4-9SY0-003G-21S8-00000-00&amp;context=" TargetMode="External"/><Relationship Id="rId1283" Type="http://schemas.openxmlformats.org/officeDocument/2006/relationships/hyperlink" Target="https://advance.lexis.com/api/document?collection=cases&amp;id=urn:contentItem:43BY-BPC0-0039-4036-00000-00&amp;context=" TargetMode="External"/><Relationship Id="rId1490" Type="http://schemas.openxmlformats.org/officeDocument/2006/relationships/hyperlink" Target="https://advance.lexis.com/api/document?collection=cases&amp;id=urn:contentItem:3RX4-CJB0-003G-20VK-00000-00&amp;context=" TargetMode="External"/><Relationship Id="rId2127" Type="http://schemas.openxmlformats.org/officeDocument/2006/relationships/hyperlink" Target="https://advance.lexis.com/api/document?collection=cases&amp;id=urn:contentItem:3RX4-3VP0-003G-225R-00000-00&amp;context=" TargetMode="External"/><Relationship Id="rId2334" Type="http://schemas.openxmlformats.org/officeDocument/2006/relationships/footer" Target="footer399.xml"/><Relationship Id="rId306" Type="http://schemas.openxmlformats.org/officeDocument/2006/relationships/hyperlink" Target="https://advance.lexis.com/api/document?collection=cases&amp;id=urn:contentItem:3RX4-8KD0-003G-247V-00000-00&amp;context=" TargetMode="External"/><Relationship Id="rId860" Type="http://schemas.openxmlformats.org/officeDocument/2006/relationships/hyperlink" Target="https://advance.lexis.com/api/document?collection=cases&amp;id=urn:contentItem:3RX4-4320-003G-22KX-00000-00&amp;context=" TargetMode="External"/><Relationship Id="rId958" Type="http://schemas.openxmlformats.org/officeDocument/2006/relationships/hyperlink" Target="https://advance.lexis.com/api/document?collection=cases&amp;id=urn:contentItem:3RX4-40R0-003G-22FR-00000-00&amp;context=" TargetMode="External"/><Relationship Id="rId1143" Type="http://schemas.openxmlformats.org/officeDocument/2006/relationships/hyperlink" Target="https://advance.lexis.com/api/document?collection=cases&amp;id=urn:contentItem:3RX4-74C0-003G-254V-00000-00&amp;context=" TargetMode="External"/><Relationship Id="rId1588" Type="http://schemas.openxmlformats.org/officeDocument/2006/relationships/hyperlink" Target="https://advance.lexis.com/api/document?collection=cases&amp;id=urn:contentItem:801F-XGM1-2RHN-X009-00000-00&amp;context=" TargetMode="External"/><Relationship Id="rId1795" Type="http://schemas.openxmlformats.org/officeDocument/2006/relationships/footer" Target="footer292.xml"/><Relationship Id="rId87" Type="http://schemas.openxmlformats.org/officeDocument/2006/relationships/footer" Target="footer21.xml"/><Relationship Id="rId513" Type="http://schemas.openxmlformats.org/officeDocument/2006/relationships/hyperlink" Target="https://advance.lexis.com/api/document?collection=cases&amp;id=urn:contentItem:3S4V-J560-0054-61W4-00000-00&amp;context=" TargetMode="External"/><Relationship Id="rId720" Type="http://schemas.openxmlformats.org/officeDocument/2006/relationships/hyperlink" Target="https://advance.lexis.com/api/document?collection=cases&amp;id=urn:contentItem:3S12-2SS0-003D-Y326-00000-00&amp;context=" TargetMode="External"/><Relationship Id="rId818" Type="http://schemas.openxmlformats.org/officeDocument/2006/relationships/hyperlink" Target="https://advance.lexis.com/api/document?id=urn:contentItem:5T0Y-CDN0-01KN-B03R-00000-00&amp;idtype=PID&amp;context=1000516" TargetMode="External"/><Relationship Id="rId1350" Type="http://schemas.openxmlformats.org/officeDocument/2006/relationships/hyperlink" Target="https://advance.lexis.com/api/document?collection=cases&amp;id=urn:contentItem:3RRT-99S0-003G-13RG-00000-00&amp;context=" TargetMode="External"/><Relationship Id="rId1448" Type="http://schemas.openxmlformats.org/officeDocument/2006/relationships/header" Target="header237.xml"/><Relationship Id="rId1655" Type="http://schemas.openxmlformats.org/officeDocument/2006/relationships/hyperlink" Target="https://advance.lexis.com/api/document?collection=cases&amp;id=urn:contentItem:3RX4-9970-003G-20JV-00000-00&amp;context=" TargetMode="External"/><Relationship Id="rId2401" Type="http://schemas.openxmlformats.org/officeDocument/2006/relationships/header" Target="header407.xml"/><Relationship Id="rId1003" Type="http://schemas.openxmlformats.org/officeDocument/2006/relationships/hyperlink" Target="https://advance.lexis.com/api/document?collection=cases&amp;id=urn:contentItem:3RX4-99B0-003G-20K3-00000-00&amp;context=" TargetMode="External"/><Relationship Id="rId1210" Type="http://schemas.openxmlformats.org/officeDocument/2006/relationships/footer" Target="footer184.xml"/><Relationship Id="rId1308" Type="http://schemas.openxmlformats.org/officeDocument/2006/relationships/hyperlink" Target="https://advance.lexis.com/api/document?id=urn:contentItem:5T0Y-CDN0-01KN-B04F-00000-00&amp;idtype=PID&amp;context=1000516" TargetMode="External"/><Relationship Id="rId1862" Type="http://schemas.openxmlformats.org/officeDocument/2006/relationships/hyperlink" Target="https://advance.lexis.com/api/document?collection=cases&amp;id=urn:contentItem:3RX4-36T0-003G-20WD-00000-00&amp;context=" TargetMode="External"/><Relationship Id="rId1515" Type="http://schemas.openxmlformats.org/officeDocument/2006/relationships/hyperlink" Target="https://advance.lexis.com/api/document?collection=cases&amp;id=urn:contentItem:3W6N-K9W0-0039-448C-00000-00&amp;context=" TargetMode="External"/><Relationship Id="rId1722" Type="http://schemas.openxmlformats.org/officeDocument/2006/relationships/header" Target="header280.xml"/><Relationship Id="rId14" Type="http://schemas.openxmlformats.org/officeDocument/2006/relationships/hyperlink" Target="https://advance.lexis.com/api/document?id=urn:contentItem:5T0Y-CDN0-01KN-B01P-00000-00&amp;idtype=PID&amp;context=1000516" TargetMode="External"/><Relationship Id="rId2191" Type="http://schemas.openxmlformats.org/officeDocument/2006/relationships/header" Target="header370.xml"/><Relationship Id="rId163" Type="http://schemas.openxmlformats.org/officeDocument/2006/relationships/hyperlink" Target="https://advance.lexis.com/api/document?collection=jury-instructions&amp;id=urn:contentItem:5T0Y-CDN0-01KN-B01X-00000-00&amp;context=" TargetMode="External"/><Relationship Id="rId370" Type="http://schemas.openxmlformats.org/officeDocument/2006/relationships/hyperlink" Target="https://advance.lexis.com/api/document?collection=jury-instructions&amp;id=urn:contentItem:5T0Y-CDN0-01KN-B027-00000-00&amp;context=" TargetMode="External"/><Relationship Id="rId2051" Type="http://schemas.openxmlformats.org/officeDocument/2006/relationships/hyperlink" Target="https://advance.lexis.com/api/document?collection=jury-instructions&amp;id=urn:contentItem:5T0Y-CDN0-01KN-B06Y-00000-00&amp;context=" TargetMode="External"/><Relationship Id="rId2289" Type="http://schemas.openxmlformats.org/officeDocument/2006/relationships/hyperlink" Target="https://advance.lexis.com/api/document?collection=cases&amp;id=urn:contentItem:3RX4-CJG0-003G-20W0-00000-00&amp;context=" TargetMode="External"/><Relationship Id="rId230" Type="http://schemas.openxmlformats.org/officeDocument/2006/relationships/hyperlink" Target="https://advance.lexis.com/api/document?collection=cases&amp;id=urn:contentItem:3RX4-9S80-003G-21PN-00000-00&amp;context=" TargetMode="External"/><Relationship Id="rId468" Type="http://schemas.openxmlformats.org/officeDocument/2006/relationships/hyperlink" Target="https://advance.lexis.com/api/document?collection=cases&amp;id=urn:contentItem:44WJ-KW40-0039-445R-00000-00&amp;context=" TargetMode="External"/><Relationship Id="rId675" Type="http://schemas.openxmlformats.org/officeDocument/2006/relationships/hyperlink" Target="https://advance.lexis.com/api/document?id=urn:contentItem:5T0Y-CDN0-01KN-B03F-00000-00&amp;idtype=PID&amp;context=1000516" TargetMode="External"/><Relationship Id="rId882" Type="http://schemas.openxmlformats.org/officeDocument/2006/relationships/hyperlink" Target="https://advance.lexis.com/api/document?collection=cases&amp;id=urn:contentItem:598R-RPD1-F04G-T00J-00000-00&amp;context=" TargetMode="External"/><Relationship Id="rId1098" Type="http://schemas.openxmlformats.org/officeDocument/2006/relationships/hyperlink" Target="https://advance.lexis.com/api/document?id=urn:contentItem:5T0Y-CDN0-01KN-B046-00000-00&amp;idtype=PID&amp;context=1000516" TargetMode="External"/><Relationship Id="rId2149" Type="http://schemas.openxmlformats.org/officeDocument/2006/relationships/hyperlink" Target="https://advance.lexis.com/api/document?collection=cases&amp;id=urn:contentItem:4CHS-RVX0-0039-41DM-00000-00&amp;context=" TargetMode="External"/><Relationship Id="rId2356" Type="http://schemas.openxmlformats.org/officeDocument/2006/relationships/hyperlink" Target="https://advance.lexis.com/api/document?collection=cases&amp;id=urn:contentItem:3RX4-8BS0-003G-23P9-00000-00&amp;context=" TargetMode="External"/><Relationship Id="rId328" Type="http://schemas.openxmlformats.org/officeDocument/2006/relationships/hyperlink" Target="https://advance.lexis.com/api/document?collection=cases&amp;id=urn:contentItem:3RX6-DXX0-003G-222H-00000-00&amp;context=" TargetMode="External"/><Relationship Id="rId535" Type="http://schemas.openxmlformats.org/officeDocument/2006/relationships/hyperlink" Target="https://advance.lexis.com/api/document?id=urn:contentItem:5T0Y-CDN0-01KN-B037-00000-00&amp;idtype=PID&amp;context=1000516" TargetMode="External"/><Relationship Id="rId742" Type="http://schemas.openxmlformats.org/officeDocument/2006/relationships/hyperlink" Target="https://advance.lexis.com/api/document?collection=cases&amp;id=urn:contentItem:3RX4-CPP0-003G-21C2-00000-00&amp;context=" TargetMode="External"/><Relationship Id="rId1165" Type="http://schemas.openxmlformats.org/officeDocument/2006/relationships/header" Target="header176.xml"/><Relationship Id="rId1372" Type="http://schemas.openxmlformats.org/officeDocument/2006/relationships/header" Target="header217.xml"/><Relationship Id="rId2009" Type="http://schemas.openxmlformats.org/officeDocument/2006/relationships/hyperlink" Target="https://advance.lexis.com/api/document?id=urn:contentItem:5T0Y-CDN0-01KN-B072-00000-00&amp;idtype=PID&amp;context=1000516" TargetMode="External"/><Relationship Id="rId2216" Type="http://schemas.openxmlformats.org/officeDocument/2006/relationships/hyperlink" Target="https://advance.lexis.com/api/document?collection=cases&amp;id=urn:contentItem:3RX4-3TH0-003G-223B-00000-00&amp;context=" TargetMode="External"/><Relationship Id="rId2423" Type="http://schemas.openxmlformats.org/officeDocument/2006/relationships/hyperlink" Target="https://advance.lexis.com/api/document?collection=cases&amp;id=urn:contentItem:3RX4-3XM0-003G-229F-00000-00&amp;context=" TargetMode="External"/><Relationship Id="rId602" Type="http://schemas.openxmlformats.org/officeDocument/2006/relationships/footer" Target="footer84.xml"/><Relationship Id="rId1025" Type="http://schemas.openxmlformats.org/officeDocument/2006/relationships/header" Target="header159.xml"/><Relationship Id="rId1232" Type="http://schemas.openxmlformats.org/officeDocument/2006/relationships/hyperlink" Target="https://advance.lexis.com/api/document?collection=cases&amp;id=urn:contentItem:3RX4-CHM0-003G-20SC-00000-00&amp;context=" TargetMode="External"/><Relationship Id="rId1677" Type="http://schemas.openxmlformats.org/officeDocument/2006/relationships/hyperlink" Target="https://advance.lexis.com/api/document?collection=cases&amp;id=urn:contentItem:3RX4-33R0-003G-20NM-00000-00&amp;context=" TargetMode="External"/><Relationship Id="rId1884" Type="http://schemas.openxmlformats.org/officeDocument/2006/relationships/footer" Target="footer309.xml"/><Relationship Id="rId907" Type="http://schemas.openxmlformats.org/officeDocument/2006/relationships/hyperlink" Target="https://advance.lexis.com/api/document?collection=cases&amp;id=urn:contentItem:4N9P-YV70-0039-44KY-00000-00&amp;context=" TargetMode="External"/><Relationship Id="rId1537" Type="http://schemas.openxmlformats.org/officeDocument/2006/relationships/footer" Target="footer258.xml"/><Relationship Id="rId1744" Type="http://schemas.openxmlformats.org/officeDocument/2006/relationships/header" Target="header287.xml"/><Relationship Id="rId1951" Type="http://schemas.openxmlformats.org/officeDocument/2006/relationships/hyperlink" Target="https://advance.lexis.com/api/document?collection=cases&amp;id=urn:contentItem:3S12-2GK0-003D-Y1R3-00000-00&amp;context=" TargetMode="External"/><Relationship Id="rId36" Type="http://schemas.openxmlformats.org/officeDocument/2006/relationships/footer" Target="footer5.xml"/><Relationship Id="rId1604" Type="http://schemas.openxmlformats.org/officeDocument/2006/relationships/header" Target="header263.xml"/><Relationship Id="rId185" Type="http://schemas.openxmlformats.org/officeDocument/2006/relationships/hyperlink" Target="https://advance.lexis.com/api/document?id=urn:contentItem:5T0Y-CDN0-01KN-B020-00000-00&amp;idtype=PID&amp;context=1000516" TargetMode="External"/><Relationship Id="rId1811" Type="http://schemas.openxmlformats.org/officeDocument/2006/relationships/footer" Target="footer295.xml"/><Relationship Id="rId1909" Type="http://schemas.openxmlformats.org/officeDocument/2006/relationships/header" Target="header317.xml"/><Relationship Id="rId392" Type="http://schemas.openxmlformats.org/officeDocument/2006/relationships/hyperlink" Target="https://advance.lexis.com/api/document?id=urn:contentItem:5T0Y-CDN0-01KN-B02X-00000-00&amp;idtype=PID&amp;context=1000516" TargetMode="External"/><Relationship Id="rId697" Type="http://schemas.openxmlformats.org/officeDocument/2006/relationships/header" Target="header104.xml"/><Relationship Id="rId2073" Type="http://schemas.openxmlformats.org/officeDocument/2006/relationships/header" Target="header352.xml"/><Relationship Id="rId2280" Type="http://schemas.openxmlformats.org/officeDocument/2006/relationships/footer" Target="footer384.xml"/><Relationship Id="rId2378" Type="http://schemas.openxmlformats.org/officeDocument/2006/relationships/footer" Target="footer401.xml"/><Relationship Id="rId252" Type="http://schemas.openxmlformats.org/officeDocument/2006/relationships/hyperlink" Target="https://advance.lexis.com/api/document?collection=cases&amp;id=urn:contentItem:3RX4-BW80-003G-24DX-00000-00&amp;context=" TargetMode="External"/><Relationship Id="rId1187" Type="http://schemas.openxmlformats.org/officeDocument/2006/relationships/hyperlink" Target="https://advance.lexis.com/api/document?collection=cases&amp;id=urn:contentItem:44R9-35C0-0039-44K7-00000-00&amp;context=" TargetMode="External"/><Relationship Id="rId2140" Type="http://schemas.openxmlformats.org/officeDocument/2006/relationships/hyperlink" Target="https://advance.lexis.com/api/document?collection=cases&amp;id=urn:contentItem:3RX4-94P0-003G-206C-00000-00&amp;context=" TargetMode="External"/><Relationship Id="rId112" Type="http://schemas.openxmlformats.org/officeDocument/2006/relationships/hyperlink" Target="https://advance.lexis.com/api/document?collection=cases&amp;id=urn:contentItem:5K2V-VRK1-F04G-S046-00000-00&amp;context=" TargetMode="External"/><Relationship Id="rId557" Type="http://schemas.openxmlformats.org/officeDocument/2006/relationships/header" Target="header74.xml"/><Relationship Id="rId764" Type="http://schemas.openxmlformats.org/officeDocument/2006/relationships/hyperlink" Target="https://advance.lexis.com/api/document?collection=jury-instructions&amp;id=urn:contentItem:5T0Y-CDN0-01KN-B03G-00000-00&amp;context=" TargetMode="External"/><Relationship Id="rId971" Type="http://schemas.openxmlformats.org/officeDocument/2006/relationships/header" Target="header155.xml"/><Relationship Id="rId1394" Type="http://schemas.openxmlformats.org/officeDocument/2006/relationships/hyperlink" Target="https://advance.lexis.com/api/document?collection=cases&amp;id=urn:contentItem:3RX6-DX20-003G-2201-00000-00&amp;context=" TargetMode="External"/><Relationship Id="rId1699" Type="http://schemas.openxmlformats.org/officeDocument/2006/relationships/hyperlink" Target="https://advance.lexis.com/api/document?collection=cases&amp;id=urn:contentItem:3RX4-99P0-003G-20M1-00000-00&amp;context=" TargetMode="External"/><Relationship Id="rId2000" Type="http://schemas.openxmlformats.org/officeDocument/2006/relationships/hyperlink" Target="https://advance.lexis.com/api/document?id=urn:contentItem:5T0Y-CDN0-01KN-B06X-00000-00&amp;idtype=PID&amp;context=1000516" TargetMode="External"/><Relationship Id="rId2238" Type="http://schemas.openxmlformats.org/officeDocument/2006/relationships/hyperlink" Target="https://advance.lexis.com/api/document?collection=cases&amp;id=urn:contentItem:3S12-2VY0-003D-Y3D2-00000-00&amp;context=" TargetMode="External"/><Relationship Id="rId2445" Type="http://schemas.openxmlformats.org/officeDocument/2006/relationships/hyperlink" Target="https://advance.lexis.com/api/document?collection=cases&amp;id=urn:contentItem:3RX4-9R10-003G-21KJ-00000-00&amp;context=" TargetMode="External"/><Relationship Id="rId417" Type="http://schemas.openxmlformats.org/officeDocument/2006/relationships/header" Target="header43.xml"/><Relationship Id="rId624" Type="http://schemas.openxmlformats.org/officeDocument/2006/relationships/header" Target="header92.xml"/><Relationship Id="rId831" Type="http://schemas.openxmlformats.org/officeDocument/2006/relationships/hyperlink" Target="https://advance.lexis.com/api/document?id=urn:contentItem:5T0Y-CDN0-01KN-B040-00000-00&amp;idtype=PID&amp;context=1000516" TargetMode="External"/><Relationship Id="rId1047" Type="http://schemas.openxmlformats.org/officeDocument/2006/relationships/hyperlink" Target="https://advance.lexis.com/api/document?collection=cases&amp;id=urn:contentItem:3RX4-BS60-003G-2457-00000-00&amp;context=" TargetMode="External"/><Relationship Id="rId1254" Type="http://schemas.openxmlformats.org/officeDocument/2006/relationships/hyperlink" Target="https://advance.lexis.com/api/document?collection=cases&amp;id=urn:contentItem:7VNX-8ND0-Y9NK-S3D5-00000-00&amp;context=" TargetMode="External"/><Relationship Id="rId1461" Type="http://schemas.openxmlformats.org/officeDocument/2006/relationships/footer" Target="footer242.xml"/><Relationship Id="rId2305" Type="http://schemas.openxmlformats.org/officeDocument/2006/relationships/header" Target="header393.xml"/><Relationship Id="rId929" Type="http://schemas.openxmlformats.org/officeDocument/2006/relationships/hyperlink" Target="https://advance.lexis.com/api/document?collection=cases&amp;id=urn:contentItem:3RX4-3K80-003G-21MX-00000-00&amp;context=" TargetMode="External"/><Relationship Id="rId1114" Type="http://schemas.openxmlformats.org/officeDocument/2006/relationships/footer" Target="footer167.xml"/><Relationship Id="rId1321" Type="http://schemas.openxmlformats.org/officeDocument/2006/relationships/hyperlink" Target="https://advance.lexis.com/api/document?id=urn:contentItem:5T0Y-CDN0-01KN-B04N-00000-00&amp;idtype=PID&amp;context=1000516" TargetMode="External"/><Relationship Id="rId1559" Type="http://schemas.openxmlformats.org/officeDocument/2006/relationships/hyperlink" Target="https://advance.lexis.com/api/document?collection=cases&amp;id=urn:contentItem:3RX4-CR90-003G-21F1-00000-00&amp;context=" TargetMode="External"/><Relationship Id="rId1766" Type="http://schemas.openxmlformats.org/officeDocument/2006/relationships/hyperlink" Target="https://advance.lexis.com/api/document?collection=cases&amp;id=urn:contentItem:3RX4-CJM0-003G-20WD-00000-00&amp;context=" TargetMode="External"/><Relationship Id="rId1973" Type="http://schemas.openxmlformats.org/officeDocument/2006/relationships/header" Target="header327.xml"/><Relationship Id="rId58" Type="http://schemas.openxmlformats.org/officeDocument/2006/relationships/header" Target="header11.xml"/><Relationship Id="rId1419" Type="http://schemas.openxmlformats.org/officeDocument/2006/relationships/hyperlink" Target="https://advance.lexis.com/api/document?id=urn:contentItem:5T0Y-CDN0-01KN-B04T-00000-00&amp;idtype=PID&amp;context=1000516" TargetMode="External"/><Relationship Id="rId1626" Type="http://schemas.openxmlformats.org/officeDocument/2006/relationships/hyperlink" Target="https://advance.lexis.com/api/document?id=urn:contentItem:5T0Y-CDN0-01KN-B05B-00000-00&amp;idtype=PID&amp;context=1000516" TargetMode="External"/><Relationship Id="rId1833" Type="http://schemas.openxmlformats.org/officeDocument/2006/relationships/hyperlink" Target="https://advance.lexis.com/api/document?id=urn:contentItem:5T0Y-CDN0-01KN-B05N-00000-00&amp;idtype=PID&amp;context=1000516" TargetMode="External"/><Relationship Id="rId1900" Type="http://schemas.openxmlformats.org/officeDocument/2006/relationships/hyperlink" Target="https://advance.lexis.com/api/document?collection=cases&amp;id=urn:contentItem:4KJ6-RSK0-0039-4281-00000-00&amp;context=" TargetMode="External"/><Relationship Id="rId2095" Type="http://schemas.openxmlformats.org/officeDocument/2006/relationships/header" Target="header357.xml"/><Relationship Id="rId274" Type="http://schemas.openxmlformats.org/officeDocument/2006/relationships/hyperlink" Target="https://advance.lexis.com/api/document?collection=cases&amp;id=urn:contentItem:3RX4-3PH0-003G-21WF-00000-00&amp;context=" TargetMode="External"/><Relationship Id="rId481" Type="http://schemas.openxmlformats.org/officeDocument/2006/relationships/footer" Target="footer52.xml"/><Relationship Id="rId2162" Type="http://schemas.openxmlformats.org/officeDocument/2006/relationships/hyperlink" Target="https://advance.lexis.com/api/document?collection=cases&amp;id=urn:contentItem:3RX4-B0C0-003G-2279-00000-00&amp;context=" TargetMode="External"/><Relationship Id="rId134" Type="http://schemas.openxmlformats.org/officeDocument/2006/relationships/hyperlink" Target="https://advance.lexis.com/api/document?collection=cases&amp;id=urn:contentItem:3RX4-3VC0-003G-2253-00000-00&amp;context=" TargetMode="External"/><Relationship Id="rId579" Type="http://schemas.openxmlformats.org/officeDocument/2006/relationships/hyperlink" Target="https://advance.lexis.com/api/document?collection=cases&amp;id=urn:contentItem:4M81-8S50-0039-43MJ-00000-00&amp;context=" TargetMode="External"/><Relationship Id="rId786" Type="http://schemas.openxmlformats.org/officeDocument/2006/relationships/footer" Target="footer122.xml"/><Relationship Id="rId993" Type="http://schemas.openxmlformats.org/officeDocument/2006/relationships/hyperlink" Target="https://advance.lexis.com/api/document?collection=cases&amp;id=urn:contentItem:3RX4-3JT0-003G-21KX-00000-00&amp;context=" TargetMode="External"/><Relationship Id="rId2467" Type="http://schemas.openxmlformats.org/officeDocument/2006/relationships/header" Target="header420.xml"/><Relationship Id="rId341" Type="http://schemas.openxmlformats.org/officeDocument/2006/relationships/hyperlink" Target="https://advance.lexis.com/api/document?collection=cases&amp;id=urn:contentItem:3RX4-9WG0-003G-220P-00000-00&amp;context=" TargetMode="External"/><Relationship Id="rId439" Type="http://schemas.openxmlformats.org/officeDocument/2006/relationships/hyperlink" Target="https://advance.lexis.com/api/document?collection=jury-instructions&amp;id=urn:contentItem:5T0Y-CDN0-01KN-B02T-00000-00&amp;context=" TargetMode="External"/><Relationship Id="rId646" Type="http://schemas.openxmlformats.org/officeDocument/2006/relationships/header" Target="header94.xml"/><Relationship Id="rId1069" Type="http://schemas.openxmlformats.org/officeDocument/2006/relationships/hyperlink" Target="https://advance.lexis.com/api/document?collection=cases&amp;id=urn:contentItem:3RX4-3JT0-003G-21KX-00000-00&amp;context=" TargetMode="External"/><Relationship Id="rId1276" Type="http://schemas.openxmlformats.org/officeDocument/2006/relationships/footer" Target="footer194.xml"/><Relationship Id="rId1483" Type="http://schemas.openxmlformats.org/officeDocument/2006/relationships/header" Target="header248.xml"/><Relationship Id="rId2022" Type="http://schemas.openxmlformats.org/officeDocument/2006/relationships/header" Target="header333.xml"/><Relationship Id="rId2327" Type="http://schemas.openxmlformats.org/officeDocument/2006/relationships/hyperlink" Target="https://advance.lexis.com/api/document?collection=cases&amp;id=urn:contentItem:3RX4-3PH0-003G-21WF-00000-00&amp;context=" TargetMode="External"/><Relationship Id="rId201" Type="http://schemas.openxmlformats.org/officeDocument/2006/relationships/hyperlink" Target="https://advance.lexis.com/api/document?id=urn:contentItem:5T0Y-CDN0-01KN-B027-00000-00&amp;idtype=PID&amp;context=1000516" TargetMode="External"/><Relationship Id="rId506" Type="http://schemas.openxmlformats.org/officeDocument/2006/relationships/footer" Target="footer61.xml"/><Relationship Id="rId853" Type="http://schemas.openxmlformats.org/officeDocument/2006/relationships/footer" Target="footer140.xml"/><Relationship Id="rId1136" Type="http://schemas.openxmlformats.org/officeDocument/2006/relationships/hyperlink" Target="https://advance.lexis.com/api/document?collection=cases&amp;id=urn:contentItem:3RX4-9V20-003G-21W2-00000-00&amp;context=" TargetMode="External"/><Relationship Id="rId1690" Type="http://schemas.openxmlformats.org/officeDocument/2006/relationships/hyperlink" Target="https://advance.lexis.com/api/document?collection=cases&amp;id=urn:contentItem:4F78-FMB0-0039-40M7-00000-00&amp;context=" TargetMode="External"/><Relationship Id="rId1788" Type="http://schemas.openxmlformats.org/officeDocument/2006/relationships/footer" Target="footer289.xml"/><Relationship Id="rId1995" Type="http://schemas.openxmlformats.org/officeDocument/2006/relationships/hyperlink" Target="https://advance.lexis.com/api/document?collection=cases&amp;id=urn:contentItem:3S4X-8150-0039-X2CM-00000-00&amp;context=" TargetMode="External"/><Relationship Id="rId713" Type="http://schemas.openxmlformats.org/officeDocument/2006/relationships/footer" Target="footer107.xml"/><Relationship Id="rId920" Type="http://schemas.openxmlformats.org/officeDocument/2006/relationships/hyperlink" Target="https://advance.lexis.com/api/document?collection=cases&amp;id=urn:contentItem:3RR6-ND70-003G-2011-00000-00&amp;context=" TargetMode="External"/><Relationship Id="rId1343" Type="http://schemas.openxmlformats.org/officeDocument/2006/relationships/footer" Target="footer205.xml"/><Relationship Id="rId1550" Type="http://schemas.openxmlformats.org/officeDocument/2006/relationships/hyperlink" Target="https://advance.lexis.com/api/document?collection=cases&amp;id=urn:contentItem:3RX4-34S0-003G-20RJ-00000-00&amp;context=" TargetMode="External"/><Relationship Id="rId1648" Type="http://schemas.openxmlformats.org/officeDocument/2006/relationships/header" Target="header270.xml"/><Relationship Id="rId1203" Type="http://schemas.openxmlformats.org/officeDocument/2006/relationships/hyperlink" Target="https://advance.lexis.com/api/document?collection=cases&amp;id=urn:contentItem:3RX4-30G0-003G-20F1-00000-00&amp;context=" TargetMode="External"/><Relationship Id="rId1410" Type="http://schemas.openxmlformats.org/officeDocument/2006/relationships/header" Target="header229.xml"/><Relationship Id="rId1508" Type="http://schemas.openxmlformats.org/officeDocument/2006/relationships/footer" Target="footer250.xml"/><Relationship Id="rId1855" Type="http://schemas.openxmlformats.org/officeDocument/2006/relationships/footer" Target="footer301.xml"/><Relationship Id="rId1715" Type="http://schemas.openxmlformats.org/officeDocument/2006/relationships/footer" Target="footer278.xml"/><Relationship Id="rId1922" Type="http://schemas.openxmlformats.org/officeDocument/2006/relationships/hyperlink" Target="https://advance.lexis.com/api/document?collection=cases&amp;id=urn:contentItem:3RX4-3890-003G-210C-00000-00&amp;context=" TargetMode="External"/><Relationship Id="rId296" Type="http://schemas.openxmlformats.org/officeDocument/2006/relationships/hyperlink" Target="https://advance.lexis.com/api/document?id=urn:contentItem:5T0Y-CDN0-01KN-B028-00000-00&amp;idtype=PID&amp;context=1000516" TargetMode="External"/><Relationship Id="rId2184" Type="http://schemas.openxmlformats.org/officeDocument/2006/relationships/hyperlink" Target="https://advance.lexis.com/api/document?id=urn:contentItem:5T0Y-CDN0-01KN-B07J-00000-00&amp;idtype=PID&amp;context=1000516" TargetMode="External"/><Relationship Id="rId2391" Type="http://schemas.openxmlformats.org/officeDocument/2006/relationships/hyperlink" Target="https://advance.lexis.com/api/document?collection=cases&amp;id=urn:contentItem:3RX4-CBV0-003G-2095-00000-00&amp;context=" TargetMode="External"/><Relationship Id="rId156" Type="http://schemas.openxmlformats.org/officeDocument/2006/relationships/hyperlink" Target="https://advance.lexis.com/api/document?collection=cases&amp;id=urn:contentItem:4JM1-9960-0039-40FK-00000-00&amp;context=" TargetMode="External"/><Relationship Id="rId363" Type="http://schemas.openxmlformats.org/officeDocument/2006/relationships/hyperlink" Target="https://advance.lexis.com/api/document?collection=cases&amp;id=urn:contentItem:3RX6-DXF0-003G-2219-00000-00&amp;context=" TargetMode="External"/><Relationship Id="rId570" Type="http://schemas.openxmlformats.org/officeDocument/2006/relationships/header" Target="header77.xml"/><Relationship Id="rId2044" Type="http://schemas.openxmlformats.org/officeDocument/2006/relationships/hyperlink" Target="https://advance.lexis.com/api/document?collection=jury-instructions&amp;id=urn:contentItem:5T0Y-CDN0-01KN-B06X-00000-00&amp;context=" TargetMode="External"/><Relationship Id="rId2251" Type="http://schemas.openxmlformats.org/officeDocument/2006/relationships/hyperlink" Target="https://advance.lexis.com/api/document?collection=cases&amp;id=urn:contentItem:59PP-6911-F04G-T01R-00000-00&amp;context=" TargetMode="External"/><Relationship Id="rId223" Type="http://schemas.openxmlformats.org/officeDocument/2006/relationships/hyperlink" Target="https://advance.lexis.com/api/document?collection=cases&amp;id=urn:contentItem:7Y6G-Y3P0-YB0R-M027-00000-00&amp;context=" TargetMode="External"/><Relationship Id="rId430" Type="http://schemas.openxmlformats.org/officeDocument/2006/relationships/hyperlink" Target="https://advance.lexis.com/api/document?collection=jury-instructions&amp;id=urn:contentItem:5T0Y-CDN0-01KN-B02S-00000-00&amp;context=" TargetMode="External"/><Relationship Id="rId668" Type="http://schemas.openxmlformats.org/officeDocument/2006/relationships/hyperlink" Target="https://advance.lexis.com/api/document?collection=cases&amp;id=urn:contentItem:4P54-42D0-TX4N-G1TK-00000-00&amp;context=" TargetMode="External"/><Relationship Id="rId875" Type="http://schemas.openxmlformats.org/officeDocument/2006/relationships/footer" Target="footer142.xml"/><Relationship Id="rId1060" Type="http://schemas.openxmlformats.org/officeDocument/2006/relationships/hyperlink" Target="https://advance.lexis.com/api/document?collection=cases&amp;id=urn:contentItem:3RX4-CS60-003G-21HT-00000-00&amp;context=" TargetMode="External"/><Relationship Id="rId1298" Type="http://schemas.openxmlformats.org/officeDocument/2006/relationships/hyperlink" Target="https://advance.lexis.com/api/document?collection=cases&amp;id=urn:contentItem:3RX4-3K80-003G-21MX-00000-00&amp;context=" TargetMode="External"/><Relationship Id="rId2111" Type="http://schemas.openxmlformats.org/officeDocument/2006/relationships/header" Target="header359.xml"/><Relationship Id="rId2349" Type="http://schemas.openxmlformats.org/officeDocument/2006/relationships/hyperlink" Target="https://advance.lexis.com/api/document?collection=cases&amp;id=urn:contentItem:3RX4-38W0-003G-211M-00000-00&amp;context=" TargetMode="External"/><Relationship Id="rId528" Type="http://schemas.openxmlformats.org/officeDocument/2006/relationships/hyperlink" Target="https://advance.lexis.com/api/document?id=urn:contentItem:5T0Y-CDN0-01KN-B033-00000-00&amp;idtype=PID&amp;context=1000516" TargetMode="External"/><Relationship Id="rId735" Type="http://schemas.openxmlformats.org/officeDocument/2006/relationships/hyperlink" Target="https://advance.lexis.com/api/document?collection=cases&amp;id=urn:contentItem:3RX4-CRH0-003G-21FN-00000-00&amp;context=" TargetMode="External"/><Relationship Id="rId942" Type="http://schemas.openxmlformats.org/officeDocument/2006/relationships/hyperlink" Target="https://advance.lexis.com/api/document?collection=cases&amp;id=urn:contentItem:4KHJ-V0G0-0039-41GN-00000-00&amp;context=" TargetMode="External"/><Relationship Id="rId1158" Type="http://schemas.openxmlformats.org/officeDocument/2006/relationships/hyperlink" Target="https://advance.lexis.com/api/document?collection=cases&amp;id=urn:contentItem:3RX4-4JW0-003G-23R2-00000-00&amp;context=" TargetMode="External"/><Relationship Id="rId1365" Type="http://schemas.openxmlformats.org/officeDocument/2006/relationships/header" Target="header214.xml"/><Relationship Id="rId1572" Type="http://schemas.openxmlformats.org/officeDocument/2006/relationships/hyperlink" Target="https://advance.lexis.com/api/document?collection=cases&amp;id=urn:contentItem:3RX4-CJX0-003G-20XB-00000-00&amp;context=" TargetMode="External"/><Relationship Id="rId2209" Type="http://schemas.openxmlformats.org/officeDocument/2006/relationships/hyperlink" Target="https://advance.lexis.com/api/document?collection=cases&amp;id=urn:contentItem:3S12-2PD0-003D-Y2NR-00000-00&amp;context=" TargetMode="External"/><Relationship Id="rId2416" Type="http://schemas.openxmlformats.org/officeDocument/2006/relationships/hyperlink" Target="https://advance.lexis.com/api/document?collection=cases&amp;id=urn:contentItem:3RX4-8V60-003G-24RR-00000-00&amp;context=" TargetMode="External"/><Relationship Id="rId1018" Type="http://schemas.openxmlformats.org/officeDocument/2006/relationships/hyperlink" Target="https://advance.lexis.com/api/document?collection=cases&amp;id=urn:contentItem:3RX4-C110-003G-24RW-00000-00&amp;context=" TargetMode="External"/><Relationship Id="rId1225" Type="http://schemas.openxmlformats.org/officeDocument/2006/relationships/hyperlink" Target="https://advance.lexis.com/api/document?collection=cases&amp;id=urn:contentItem:3VD1-R5X0-0039-42G7-00000-00&amp;context=" TargetMode="External"/><Relationship Id="rId1432" Type="http://schemas.openxmlformats.org/officeDocument/2006/relationships/hyperlink" Target="https://advance.lexis.com/api/document?id=urn:contentItem:5T0Y-CDN0-01KN-B053-00000-00&amp;idtype=PID&amp;context=1000516" TargetMode="External"/><Relationship Id="rId1877" Type="http://schemas.openxmlformats.org/officeDocument/2006/relationships/footer" Target="footer306.xml"/><Relationship Id="rId71" Type="http://schemas.openxmlformats.org/officeDocument/2006/relationships/footer" Target="footer15.xml"/><Relationship Id="rId802" Type="http://schemas.openxmlformats.org/officeDocument/2006/relationships/hyperlink" Target="https://advance.lexis.com/api/document?collection=cases&amp;id=urn:contentItem:3RX4-CJM0-003G-20WH-00000-00&amp;context=" TargetMode="External"/><Relationship Id="rId1737" Type="http://schemas.openxmlformats.org/officeDocument/2006/relationships/hyperlink" Target="https://advance.lexis.com/api/document?collection=cases&amp;id=urn:contentItem:3RX4-3MY0-003G-21SD-00000-00&amp;context=" TargetMode="External"/><Relationship Id="rId1944" Type="http://schemas.openxmlformats.org/officeDocument/2006/relationships/hyperlink" Target="https://advance.lexis.com/api/document?collection=cases&amp;id=urn:contentItem:3XVM-JP50-00KR-F1W0-00000-00&amp;context=" TargetMode="External"/><Relationship Id="rId29" Type="http://schemas.openxmlformats.org/officeDocument/2006/relationships/footer" Target="footer1.xml"/><Relationship Id="rId178" Type="http://schemas.openxmlformats.org/officeDocument/2006/relationships/hyperlink" Target="https://advance.lexis.com/api/document?collection=jury-instructions&amp;id=urn:contentItem:5T0Y-CDN0-01KN-B01V-00000-00&amp;context=" TargetMode="External"/><Relationship Id="rId1804" Type="http://schemas.openxmlformats.org/officeDocument/2006/relationships/hyperlink" Target="https://advance.lexis.com/api/document?collection=cases&amp;id=urn:contentItem:3RX4-9J50-003G-215T-00000-00&amp;context=" TargetMode="External"/><Relationship Id="rId385" Type="http://schemas.openxmlformats.org/officeDocument/2006/relationships/hyperlink" Target="https://advance.lexis.com/api/document?id=urn:contentItem:5T0Y-CDN0-01KN-B02T-00000-00&amp;idtype=PID&amp;context=1000516" TargetMode="External"/><Relationship Id="rId592" Type="http://schemas.openxmlformats.org/officeDocument/2006/relationships/hyperlink" Target="https://advance.lexis.com/api/document?collection=cases&amp;id=urn:contentItem:3RX4-4N10-003G-23WD-00000-00&amp;context=" TargetMode="External"/><Relationship Id="rId2066" Type="http://schemas.openxmlformats.org/officeDocument/2006/relationships/hyperlink" Target="https://advance.lexis.com/api/document?collection=cases&amp;id=urn:contentItem:3RX4-8BW0-003G-23PN-00000-00&amp;context=" TargetMode="External"/><Relationship Id="rId2273" Type="http://schemas.openxmlformats.org/officeDocument/2006/relationships/hyperlink" Target="https://advance.lexis.com/api/document?collection=cases&amp;id=urn:contentItem:4GMH-X510-0039-42GB-00000-00&amp;context=" TargetMode="External"/><Relationship Id="rId2480" Type="http://schemas.openxmlformats.org/officeDocument/2006/relationships/header" Target="header423.xml"/><Relationship Id="rId245" Type="http://schemas.openxmlformats.org/officeDocument/2006/relationships/hyperlink" Target="https://advance.lexis.com/api/document?collection=cases&amp;id=urn:contentItem:3RX4-BYP0-003G-24MR-00000-00&amp;context=" TargetMode="External"/><Relationship Id="rId452" Type="http://schemas.openxmlformats.org/officeDocument/2006/relationships/hyperlink" Target="https://advance.lexis.com/api/document?collection=cases&amp;id=urn:contentItem:3RX4-3RX0-003G-2208-00000-00&amp;context=" TargetMode="External"/><Relationship Id="rId897" Type="http://schemas.openxmlformats.org/officeDocument/2006/relationships/hyperlink" Target="https://advance.lexis.com/api/document?collection=cases&amp;id=urn:contentItem:3S12-27P0-003D-Y0PT-00000-00&amp;context=" TargetMode="External"/><Relationship Id="rId1082" Type="http://schemas.openxmlformats.org/officeDocument/2006/relationships/footer" Target="footer163.xml"/><Relationship Id="rId2133" Type="http://schemas.openxmlformats.org/officeDocument/2006/relationships/hyperlink" Target="https://advance.lexis.com/api/document?collection=cases&amp;id=urn:contentItem:3RX4-9VW0-003G-21Y1-00000-00&amp;context=" TargetMode="External"/><Relationship Id="rId2340" Type="http://schemas.openxmlformats.org/officeDocument/2006/relationships/hyperlink" Target="https://advance.lexis.com/api/document?collection=cases&amp;id=urn:contentItem:42BS-BPC0-0039-41VP-00000-00&amp;context=" TargetMode="External"/><Relationship Id="rId105" Type="http://schemas.openxmlformats.org/officeDocument/2006/relationships/hyperlink" Target="https://advance.lexis.com/api/document?collection=cases&amp;id=urn:contentItem:3RX4-CG90-003G-20MD-00000-00&amp;context=" TargetMode="External"/><Relationship Id="rId312" Type="http://schemas.openxmlformats.org/officeDocument/2006/relationships/hyperlink" Target="https://advance.lexis.com/api/document?collection=jury-instructions&amp;id=urn:contentItem:5T0Y-CDN0-01KN-B021-00000-00&amp;context=" TargetMode="External"/><Relationship Id="rId757" Type="http://schemas.openxmlformats.org/officeDocument/2006/relationships/hyperlink" Target="https://advance.lexis.com/api/document?collection=cases&amp;id=urn:contentItem:3RX4-C980-003G-205X-00000-00&amp;context=" TargetMode="External"/><Relationship Id="rId964" Type="http://schemas.openxmlformats.org/officeDocument/2006/relationships/hyperlink" Target="https://advance.lexis.com/api/document?collection=cases&amp;id=urn:contentItem:3RX4-B1W0-003G-22C4-00000-00&amp;context=" TargetMode="External"/><Relationship Id="rId1387" Type="http://schemas.openxmlformats.org/officeDocument/2006/relationships/header" Target="header224.xml"/><Relationship Id="rId1594" Type="http://schemas.openxmlformats.org/officeDocument/2006/relationships/hyperlink" Target="https://advance.lexis.com/api/document?collection=cases&amp;id=urn:contentItem:3RX4-3M80-003G-21PX-00000-00&amp;context=" TargetMode="External"/><Relationship Id="rId2200" Type="http://schemas.openxmlformats.org/officeDocument/2006/relationships/hyperlink" Target="https://advance.lexis.com/api/document?collection=cases&amp;id=urn:contentItem:3RX4-B0C0-003G-2279-00000-00&amp;context=" TargetMode="External"/><Relationship Id="rId2438" Type="http://schemas.openxmlformats.org/officeDocument/2006/relationships/footer" Target="footer413.xml"/><Relationship Id="rId93" Type="http://schemas.openxmlformats.org/officeDocument/2006/relationships/hyperlink" Target="https://advance.lexis.com/api/document?collection=cases&amp;id=urn:contentItem:3RX4-B6W0-003G-22T7-00000-00&amp;context=" TargetMode="External"/><Relationship Id="rId617" Type="http://schemas.openxmlformats.org/officeDocument/2006/relationships/header" Target="header89.xml"/><Relationship Id="rId824" Type="http://schemas.openxmlformats.org/officeDocument/2006/relationships/hyperlink" Target="https://advance.lexis.com/api/document?id=urn:contentItem:5T0Y-CDN0-01KN-B03V-00000-00&amp;idtype=PID&amp;context=1000516" TargetMode="External"/><Relationship Id="rId1247" Type="http://schemas.openxmlformats.org/officeDocument/2006/relationships/hyperlink" Target="https://advance.lexis.com/api/document?collection=cases&amp;id=urn:contentItem:551W-S7R1-F04G-T01F-00000-00&amp;context=" TargetMode="External"/><Relationship Id="rId1454" Type="http://schemas.openxmlformats.org/officeDocument/2006/relationships/footer" Target="footer239.xml"/><Relationship Id="rId1661" Type="http://schemas.openxmlformats.org/officeDocument/2006/relationships/hyperlink" Target="https://advance.lexis.com/api/document?collection=cases&amp;id=urn:contentItem:3RX4-C3F0-003G-24Y9-00000-00&amp;context=" TargetMode="External"/><Relationship Id="rId1899" Type="http://schemas.openxmlformats.org/officeDocument/2006/relationships/hyperlink" Target="https://advance.lexis.com/api/document?collection=cases&amp;id=urn:contentItem:3RX4-2VR0-003G-206T-00000-00&amp;context=" TargetMode="External"/><Relationship Id="rId1107" Type="http://schemas.openxmlformats.org/officeDocument/2006/relationships/hyperlink" Target="https://advance.lexis.com/api/document?id=urn:contentItem:5T0Y-CDN0-01KN-B04B-00000-00&amp;idtype=PID&amp;context=1000516" TargetMode="External"/><Relationship Id="rId1314" Type="http://schemas.openxmlformats.org/officeDocument/2006/relationships/hyperlink" Target="https://advance.lexis.com/api/document?id=urn:contentItem:5T0Y-CDN0-01KN-B04J-00000-00&amp;idtype=PID&amp;context=1000516" TargetMode="External"/><Relationship Id="rId1521" Type="http://schemas.openxmlformats.org/officeDocument/2006/relationships/header" Target="header255.xml"/><Relationship Id="rId1759" Type="http://schemas.openxmlformats.org/officeDocument/2006/relationships/hyperlink" Target="https://advance.lexis.com/api/document?collection=cases&amp;id=urn:contentItem:3RX4-3CF0-003G-216K-00000-00&amp;context=" TargetMode="External"/><Relationship Id="rId1966" Type="http://schemas.openxmlformats.org/officeDocument/2006/relationships/hyperlink" Target="https://advance.lexis.com/api/document?collection=cases&amp;id=urn:contentItem:3RX4-B6B0-003G-22S3-00000-00&amp;context=" TargetMode="External"/><Relationship Id="rId1619" Type="http://schemas.openxmlformats.org/officeDocument/2006/relationships/hyperlink" Target="https://advance.lexis.com/api/document?id=urn:contentItem:5T0Y-CDN0-01KN-B056-00000-00&amp;idtype=PID&amp;context=1000516" TargetMode="External"/><Relationship Id="rId1826" Type="http://schemas.openxmlformats.org/officeDocument/2006/relationships/hyperlink" Target="https://advance.lexis.com/api/document?collection=cases&amp;id=urn:contentItem:3RX4-8PX0-003G-24G6-00000-00&amp;context=" TargetMode="External"/><Relationship Id="rId20" Type="http://schemas.openxmlformats.org/officeDocument/2006/relationships/hyperlink" Target="https://advance.lexis.com/api/document?id=urn:contentItem:5T0Y-CDN0-01KN-B01T-00000-00&amp;idtype=PID&amp;context=1000516" TargetMode="External"/><Relationship Id="rId2088" Type="http://schemas.openxmlformats.org/officeDocument/2006/relationships/hyperlink" Target="https://advance.lexis.com/api/document?collection=cases&amp;id=urn:contentItem:3RX4-CGF0-003G-20MR-00000-00&amp;context=" TargetMode="External"/><Relationship Id="rId2295" Type="http://schemas.openxmlformats.org/officeDocument/2006/relationships/header" Target="header389.xml"/><Relationship Id="rId267" Type="http://schemas.openxmlformats.org/officeDocument/2006/relationships/hyperlink" Target="https://advance.lexis.com/api/document?collection=cases&amp;id=urn:contentItem:3RX4-39T0-003G-213D-00000-00&amp;context=" TargetMode="External"/><Relationship Id="rId474" Type="http://schemas.openxmlformats.org/officeDocument/2006/relationships/hyperlink" Target="https://advance.lexis.com/api/document?collection=cases&amp;id=urn:contentItem:3RX4-3VM0-003G-225M-00000-00&amp;context=" TargetMode="External"/><Relationship Id="rId2155" Type="http://schemas.openxmlformats.org/officeDocument/2006/relationships/footer" Target="footer364.xml"/><Relationship Id="rId127" Type="http://schemas.openxmlformats.org/officeDocument/2006/relationships/header" Target="header25.xml"/><Relationship Id="rId681" Type="http://schemas.openxmlformats.org/officeDocument/2006/relationships/hyperlink" Target="https://advance.lexis.com/api/document?id=urn:contentItem:5T0Y-CDN0-01KN-B03J-00000-00&amp;idtype=PID&amp;context=1000516" TargetMode="External"/><Relationship Id="rId779" Type="http://schemas.openxmlformats.org/officeDocument/2006/relationships/footer" Target="footer119.xml"/><Relationship Id="rId986" Type="http://schemas.openxmlformats.org/officeDocument/2006/relationships/hyperlink" Target="https://advance.lexis.com/api/document?collection=cases&amp;id=urn:contentItem:424V-PY60-0039-416F-00000-00&amp;context=" TargetMode="External"/><Relationship Id="rId2362" Type="http://schemas.openxmlformats.org/officeDocument/2006/relationships/hyperlink" Target="https://advance.lexis.com/api/document?id=urn:contentItem:5T0Y-CDN0-01KN-B07K-00000-00&amp;idtype=PID&amp;context=1000516" TargetMode="External"/><Relationship Id="rId334" Type="http://schemas.openxmlformats.org/officeDocument/2006/relationships/hyperlink" Target="https://advance.lexis.com/api/document?collection=cases&amp;id=urn:contentItem:3RX4-2SV0-003G-2032-00000-00&amp;context=" TargetMode="External"/><Relationship Id="rId541" Type="http://schemas.openxmlformats.org/officeDocument/2006/relationships/hyperlink" Target="https://advance.lexis.com/api/document?id=urn:contentItem:5T0Y-CDN0-01KN-B039-00000-00&amp;idtype=PID&amp;context=1000516" TargetMode="External"/><Relationship Id="rId639" Type="http://schemas.openxmlformats.org/officeDocument/2006/relationships/hyperlink" Target="https://advance.lexis.com/api/document?collection=cases&amp;id=urn:contentItem:3RX4-4GN0-003G-23J6-00000-00&amp;context=" TargetMode="External"/><Relationship Id="rId1171" Type="http://schemas.openxmlformats.org/officeDocument/2006/relationships/hyperlink" Target="https://advance.lexis.com/api/document?collection=cases&amp;id=urn:contentItem:4GC9-WJV0-0039-41YX-00000-00&amp;context=" TargetMode="External"/><Relationship Id="rId1269" Type="http://schemas.openxmlformats.org/officeDocument/2006/relationships/header" Target="header192.xml"/><Relationship Id="rId1476" Type="http://schemas.openxmlformats.org/officeDocument/2006/relationships/hyperlink" Target="https://advance.lexis.com/api/document?collection=cases&amp;id=urn:contentItem:3RX4-4MP0-003G-23VV-00000-00&amp;context=" TargetMode="External"/><Relationship Id="rId2015" Type="http://schemas.openxmlformats.org/officeDocument/2006/relationships/hyperlink" Target="https://advance.lexis.com/api/document?id=urn:contentItem:5T0Y-CDN0-01KN-B075-00000-00&amp;idtype=PID&amp;context=1000516" TargetMode="External"/><Relationship Id="rId2222" Type="http://schemas.openxmlformats.org/officeDocument/2006/relationships/hyperlink" Target="https://advance.lexis.com/api/document?collection=cases&amp;id=urn:contentItem:3RX4-80T0-003G-22PH-00000-00&amp;context=" TargetMode="External"/><Relationship Id="rId401" Type="http://schemas.openxmlformats.org/officeDocument/2006/relationships/header" Target="header36.xml"/><Relationship Id="rId846" Type="http://schemas.openxmlformats.org/officeDocument/2006/relationships/footer" Target="footer137.xml"/><Relationship Id="rId1031" Type="http://schemas.openxmlformats.org/officeDocument/2006/relationships/hyperlink" Target="https://advance.lexis.com/api/document?collection=cases&amp;id=urn:contentItem:3RX4-C1H0-003G-24T0-00000-00&amp;context=" TargetMode="External"/><Relationship Id="rId1129" Type="http://schemas.openxmlformats.org/officeDocument/2006/relationships/footer" Target="footer174.xml"/><Relationship Id="rId1683" Type="http://schemas.openxmlformats.org/officeDocument/2006/relationships/footer" Target="footer271.xml"/><Relationship Id="rId1890" Type="http://schemas.openxmlformats.org/officeDocument/2006/relationships/header" Target="header310.xml"/><Relationship Id="rId1988" Type="http://schemas.openxmlformats.org/officeDocument/2006/relationships/hyperlink" Target="https://advance.lexis.com/api/document?collection=cases&amp;id=urn:contentItem:3S12-3S40-003D-Y1V8-00000-00&amp;context=" TargetMode="External"/><Relationship Id="rId706" Type="http://schemas.openxmlformats.org/officeDocument/2006/relationships/hyperlink" Target="https://advance.lexis.com/api/document?collection=cases&amp;id=urn:contentItem:7XWF-GVX0-YB0R-N003-00000-00&amp;context=" TargetMode="External"/><Relationship Id="rId913" Type="http://schemas.openxmlformats.org/officeDocument/2006/relationships/hyperlink" Target="https://advance.lexis.com/api/document?collection=cases&amp;id=urn:contentItem:3RX4-2W40-003G-207B-00000-00&amp;context=" TargetMode="External"/><Relationship Id="rId1336" Type="http://schemas.openxmlformats.org/officeDocument/2006/relationships/footer" Target="footer203.xml"/><Relationship Id="rId1543" Type="http://schemas.openxmlformats.org/officeDocument/2006/relationships/hyperlink" Target="https://advance.lexis.com/api/document?collection=cases&amp;id=urn:contentItem:3XWH-WM50-00KR-F2PJ-00000-00&amp;context=" TargetMode="External"/><Relationship Id="rId1750" Type="http://schemas.openxmlformats.org/officeDocument/2006/relationships/hyperlink" Target="https://advance.lexis.com/api/document?collection=cases&amp;id=urn:contentItem:3RX4-8VH0-003G-24SH-00000-00&amp;context=" TargetMode="External"/><Relationship Id="rId42" Type="http://schemas.openxmlformats.org/officeDocument/2006/relationships/hyperlink" Target="https://advance.lexis.com/api/document?collection=cases&amp;id=urn:contentItem:3RX4-40R0-003G-22FR-00000-00&amp;context=" TargetMode="External"/><Relationship Id="rId1403" Type="http://schemas.openxmlformats.org/officeDocument/2006/relationships/footer" Target="footer227.xml"/><Relationship Id="rId1610" Type="http://schemas.openxmlformats.org/officeDocument/2006/relationships/hyperlink" Target="https://advance.lexis.com/api/document?collection=cases&amp;id=urn:contentItem:3RX4-5110-003G-24M4-00000-00&amp;context=" TargetMode="External"/><Relationship Id="rId1848" Type="http://schemas.openxmlformats.org/officeDocument/2006/relationships/header" Target="header299.xml"/><Relationship Id="rId191" Type="http://schemas.openxmlformats.org/officeDocument/2006/relationships/hyperlink" Target="https://advance.lexis.com/api/document?id=urn:contentItem:5T0Y-CDN0-01KN-B023-00000-00&amp;idtype=PID&amp;context=1000516" TargetMode="External"/><Relationship Id="rId1708" Type="http://schemas.openxmlformats.org/officeDocument/2006/relationships/hyperlink" Target="https://advance.lexis.com/api/document?collection=cases&amp;id=urn:contentItem:3RX4-CH50-003G-20R0-00000-00&amp;context=" TargetMode="External"/><Relationship Id="rId1915" Type="http://schemas.openxmlformats.org/officeDocument/2006/relationships/header" Target="header319.xml"/><Relationship Id="rId289" Type="http://schemas.openxmlformats.org/officeDocument/2006/relationships/hyperlink" Target="https://advance.lexis.com/api/document?id=urn:contentItem:5T0Y-CDN0-01KN-B023-00000-00&amp;idtype=PID&amp;context=1000516" TargetMode="External"/><Relationship Id="rId496" Type="http://schemas.openxmlformats.org/officeDocument/2006/relationships/hyperlink" Target="https://advance.lexis.com/api/document?collection=jury-instructions&amp;id=urn:contentItem:5T0Y-CDN0-01KN-B02W-00000-00&amp;context=" TargetMode="External"/><Relationship Id="rId2177" Type="http://schemas.openxmlformats.org/officeDocument/2006/relationships/hyperlink" Target="https://advance.lexis.com/api/document?id=urn:contentItem:5T0Y-CDN0-01KN-B07F-00000-00&amp;idtype=PID&amp;context=1000516" TargetMode="External"/><Relationship Id="rId2384" Type="http://schemas.openxmlformats.org/officeDocument/2006/relationships/footer" Target="footer404.xml"/><Relationship Id="rId149" Type="http://schemas.openxmlformats.org/officeDocument/2006/relationships/hyperlink" Target="https://advance.lexis.com/api/document?collection=cases&amp;id=urn:contentItem:3RX4-3290-003G-20JP-00000-00&amp;context=" TargetMode="External"/><Relationship Id="rId356" Type="http://schemas.openxmlformats.org/officeDocument/2006/relationships/hyperlink" Target="https://advance.lexis.com/api/document?collection=cases&amp;id=urn:contentItem:3RX4-CSK0-003G-21K1-00000-00&amp;context=" TargetMode="External"/><Relationship Id="rId563" Type="http://schemas.openxmlformats.org/officeDocument/2006/relationships/hyperlink" Target="https://advance.lexis.com/api/document?collection=cases&amp;id=urn:contentItem:3RX4-36P0-003G-20W6-00000-00&amp;context=" TargetMode="External"/><Relationship Id="rId770" Type="http://schemas.openxmlformats.org/officeDocument/2006/relationships/header" Target="header116.xml"/><Relationship Id="rId1193" Type="http://schemas.openxmlformats.org/officeDocument/2006/relationships/footer" Target="footer182.xml"/><Relationship Id="rId2037" Type="http://schemas.openxmlformats.org/officeDocument/2006/relationships/hyperlink" Target="https://advance.lexis.com/api/document?collection=jury-instructions&amp;id=urn:contentItem:5T0Y-CDN0-01KN-B06W-00000-00&amp;context=" TargetMode="External"/><Relationship Id="rId2244" Type="http://schemas.openxmlformats.org/officeDocument/2006/relationships/footer" Target="footer376.xml"/><Relationship Id="rId2451" Type="http://schemas.openxmlformats.org/officeDocument/2006/relationships/hyperlink" Target="https://advance.lexis.com/api/document?collection=cases&amp;id=urn:contentItem:4TKH-6FW0-TX4N-G0K0-00000-00&amp;context=" TargetMode="External"/><Relationship Id="rId216" Type="http://schemas.openxmlformats.org/officeDocument/2006/relationships/hyperlink" Target="https://advance.lexis.com/api/document?collection=jury-instructions&amp;id=urn:contentItem:5T0Y-CDN0-01KN-B022-00000-00&amp;context=" TargetMode="External"/><Relationship Id="rId423" Type="http://schemas.openxmlformats.org/officeDocument/2006/relationships/hyperlink" Target="https://advance.lexis.com/api/document?collection=jury-instructions&amp;id=urn:contentItem:5T0Y-CDN0-01KN-B02R-00000-00&amp;context=" TargetMode="External"/><Relationship Id="rId868" Type="http://schemas.openxmlformats.org/officeDocument/2006/relationships/hyperlink" Target="https://advance.lexis.com/api/document?collection=cases&amp;id=urn:contentItem:3RX4-4G80-003G-23HC-00000-00&amp;context=" TargetMode="External"/><Relationship Id="rId1053" Type="http://schemas.openxmlformats.org/officeDocument/2006/relationships/hyperlink" Target="https://advance.lexis.com/api/document?collection=cases&amp;id=urn:contentItem:3RX4-9SY0-003G-21S8-00000-00&amp;context=" TargetMode="External"/><Relationship Id="rId1260" Type="http://schemas.openxmlformats.org/officeDocument/2006/relationships/hyperlink" Target="https://advance.lexis.com/api/document?collection=cases&amp;id=urn:contentItem:3S12-3390-003D-Y491-00000-00&amp;context=" TargetMode="External"/><Relationship Id="rId1498" Type="http://schemas.openxmlformats.org/officeDocument/2006/relationships/hyperlink" Target="https://advance.lexis.com/api/document?collection=cases&amp;id=urn:contentItem:7XNK-3SX0-YB0R-N000-00000-00&amp;context=" TargetMode="External"/><Relationship Id="rId2104" Type="http://schemas.openxmlformats.org/officeDocument/2006/relationships/hyperlink" Target="https://advance.lexis.com/api/document?collection=cases&amp;id=urn:contentItem:3RX4-9XP0-003G-2234-00000-00&amp;context=" TargetMode="External"/><Relationship Id="rId630" Type="http://schemas.openxmlformats.org/officeDocument/2006/relationships/hyperlink" Target="https://advance.lexis.com/api/document?collection=cases&amp;id=urn:contentItem:47XF-T480-0039-41KD-00000-00&amp;context=" TargetMode="External"/><Relationship Id="rId728" Type="http://schemas.openxmlformats.org/officeDocument/2006/relationships/footer" Target="footer110.xml"/><Relationship Id="rId935" Type="http://schemas.openxmlformats.org/officeDocument/2006/relationships/footer" Target="footer148.xml"/><Relationship Id="rId1358" Type="http://schemas.openxmlformats.org/officeDocument/2006/relationships/header" Target="header211.xml"/><Relationship Id="rId1565" Type="http://schemas.openxmlformats.org/officeDocument/2006/relationships/hyperlink" Target="https://advance.lexis.com/api/document?collection=cases&amp;id=urn:contentItem:3RX4-CTN0-003G-21PM-00000-00&amp;context=" TargetMode="External"/><Relationship Id="rId1772" Type="http://schemas.openxmlformats.org/officeDocument/2006/relationships/hyperlink" Target="https://advance.lexis.com/api/document?collection=cases&amp;id=urn:contentItem:3RX4-CHF0-003G-20RY-00000-00&amp;context=" TargetMode="External"/><Relationship Id="rId2311" Type="http://schemas.openxmlformats.org/officeDocument/2006/relationships/hyperlink" Target="https://advance.lexis.com/api/document?collection=cases&amp;id=urn:contentItem:59PP-6911-F04G-T01R-00000-00&amp;context=" TargetMode="External"/><Relationship Id="rId2409" Type="http://schemas.openxmlformats.org/officeDocument/2006/relationships/hyperlink" Target="https://advance.lexis.com/api/document?collection=cases&amp;id=urn:contentItem:3RX4-B3G0-003G-22H2-00000-00&amp;context=" TargetMode="External"/><Relationship Id="rId64" Type="http://schemas.openxmlformats.org/officeDocument/2006/relationships/hyperlink" Target="https://advance.lexis.com/api/document?collection=cases&amp;id=urn:contentItem:3RX4-BN90-003G-23X2-00000-00&amp;context=" TargetMode="External"/><Relationship Id="rId1120" Type="http://schemas.openxmlformats.org/officeDocument/2006/relationships/footer" Target="footer170.xml"/><Relationship Id="rId1218" Type="http://schemas.openxmlformats.org/officeDocument/2006/relationships/hyperlink" Target="https://advance.lexis.com/api/document?collection=cases&amp;id=urn:contentItem:3RX4-CHM0-003G-20SC-00000-00&amp;context=" TargetMode="External"/><Relationship Id="rId1425" Type="http://schemas.openxmlformats.org/officeDocument/2006/relationships/hyperlink" Target="https://advance.lexis.com/api/document?id=urn:contentItem:5T0Y-CDN0-01KN-B04X-00000-00&amp;idtype=PID&amp;context=1000516" TargetMode="External"/><Relationship Id="rId1632" Type="http://schemas.openxmlformats.org/officeDocument/2006/relationships/hyperlink" Target="https://advance.lexis.com/api/document?id=urn:contentItem:5T0Y-CDN0-01KN-B05C-00000-00&amp;idtype=PID&amp;context=1000516" TargetMode="External"/><Relationship Id="rId1937" Type="http://schemas.openxmlformats.org/officeDocument/2006/relationships/hyperlink" Target="https://advance.lexis.com/api/document?collection=cases&amp;id=urn:contentItem:3RX4-4DD0-003G-23CB-00000-00&amp;context=" TargetMode="External"/><Relationship Id="rId2199" Type="http://schemas.openxmlformats.org/officeDocument/2006/relationships/hyperlink" Target="https://advance.lexis.com/api/document?collection=cases&amp;id=urn:contentItem:3RX4-B060-003G-226Y-00000-00&amp;context=" TargetMode="External"/><Relationship Id="rId280" Type="http://schemas.openxmlformats.org/officeDocument/2006/relationships/hyperlink" Target="https://advance.lexis.com/api/document?id=urn:contentItem:5T0Y-CDN0-01KN-B01Y-00000-00&amp;idtype=PID&amp;context=1000516" TargetMode="External"/><Relationship Id="rId140" Type="http://schemas.openxmlformats.org/officeDocument/2006/relationships/hyperlink" Target="https://advance.lexis.com/api/document?collection=cases&amp;id=urn:contentItem:3RX4-5G50-003G-20M1-00000-00&amp;context=" TargetMode="External"/><Relationship Id="rId378" Type="http://schemas.openxmlformats.org/officeDocument/2006/relationships/hyperlink" Target="https://advance.lexis.com/api/document?id=urn:contentItem:5T0Y-CDN0-01KN-B02N-00000-00&amp;idtype=PID&amp;context=1000516" TargetMode="External"/><Relationship Id="rId585" Type="http://schemas.openxmlformats.org/officeDocument/2006/relationships/header" Target="header81.xml"/><Relationship Id="rId792" Type="http://schemas.openxmlformats.org/officeDocument/2006/relationships/hyperlink" Target="https://advance.lexis.com/api/document?collection=cases&amp;id=urn:contentItem:3RX4-B6B0-003G-22S3-00000-00&amp;context=" TargetMode="External"/><Relationship Id="rId2059" Type="http://schemas.openxmlformats.org/officeDocument/2006/relationships/header" Target="header349.xml"/><Relationship Id="rId2266" Type="http://schemas.openxmlformats.org/officeDocument/2006/relationships/hyperlink" Target="https://advance.lexis.com/api/document?collection=cases&amp;id=urn:contentItem:5617-H6T1-F04G-T033-00000-00&amp;context=" TargetMode="External"/><Relationship Id="rId2473" Type="http://schemas.openxmlformats.org/officeDocument/2006/relationships/hyperlink" Target="https://advance.lexis.com/api/document?collection=cases&amp;id=urn:contentItem:7Y43-XNR0-YB0R-N006-00000-00&amp;context=" TargetMode="External"/><Relationship Id="rId6" Type="http://schemas.openxmlformats.org/officeDocument/2006/relationships/image" Target="media/image1.png"/><Relationship Id="rId238" Type="http://schemas.openxmlformats.org/officeDocument/2006/relationships/hyperlink" Target="https://advance.lexis.com/api/document?collection=cases&amp;id=urn:contentItem:3RX4-39F0-003G-212K-00000-00&amp;context=" TargetMode="External"/><Relationship Id="rId445" Type="http://schemas.openxmlformats.org/officeDocument/2006/relationships/hyperlink" Target="https://advance.lexis.com/api/document?collection=cases&amp;id=urn:contentItem:3RX4-3C50-003G-2164-00000-00&amp;context=" TargetMode="External"/><Relationship Id="rId652" Type="http://schemas.openxmlformats.org/officeDocument/2006/relationships/hyperlink" Target="https://advance.lexis.com/api/document?collection=jury-instructions&amp;id=urn:contentItem:5T0Y-CDN0-01KN-B03B-00000-00&amp;context=" TargetMode="External"/><Relationship Id="rId1075" Type="http://schemas.openxmlformats.org/officeDocument/2006/relationships/hyperlink" Target="https://advance.lexis.com/api/document?collection=cases&amp;id=urn:contentItem:3RX4-BS60-003G-2457-00000-00&amp;context=" TargetMode="External"/><Relationship Id="rId1282" Type="http://schemas.openxmlformats.org/officeDocument/2006/relationships/hyperlink" Target="https://advance.lexis.com/api/document?collection=cases&amp;id=urn:contentItem:3RX4-4N30-003G-23WG-00000-00&amp;context=" TargetMode="External"/><Relationship Id="rId2126" Type="http://schemas.openxmlformats.org/officeDocument/2006/relationships/hyperlink" Target="https://advance.lexis.com/api/document?collection=cases&amp;id=urn:contentItem:3RX4-94S0-003G-206J-00000-00&amp;context=" TargetMode="External"/><Relationship Id="rId2333" Type="http://schemas.openxmlformats.org/officeDocument/2006/relationships/header" Target="header399.xml"/><Relationship Id="rId305" Type="http://schemas.openxmlformats.org/officeDocument/2006/relationships/hyperlink" Target="https://advance.lexis.com/api/document?collection=cases&amp;id=urn:contentItem:3RX4-8KD0-003G-247V-00000-00&amp;context=" TargetMode="External"/><Relationship Id="rId512" Type="http://schemas.openxmlformats.org/officeDocument/2006/relationships/hyperlink" Target="https://advance.lexis.com/api/document?collection=cases&amp;id=urn:contentItem:3RX4-BKX0-003G-23SK-00000-00&amp;context=" TargetMode="External"/><Relationship Id="rId957" Type="http://schemas.openxmlformats.org/officeDocument/2006/relationships/hyperlink" Target="https://advance.lexis.com/api/document?collection=cases&amp;id=urn:contentItem:3RX4-3S40-003G-220R-00000-00&amp;context=" TargetMode="External"/><Relationship Id="rId1142" Type="http://schemas.openxmlformats.org/officeDocument/2006/relationships/hyperlink" Target="https://advance.lexis.com/api/document?collection=cases&amp;id=urn:contentItem:3RX4-CMR0-003G-2148-00000-00&amp;context=" TargetMode="External"/><Relationship Id="rId1587" Type="http://schemas.openxmlformats.org/officeDocument/2006/relationships/hyperlink" Target="https://advance.lexis.com/api/document?collection=cases&amp;id=urn:contentItem:801F-XGM1-2RHN-X009-00000-00&amp;context=" TargetMode="External"/><Relationship Id="rId1794" Type="http://schemas.openxmlformats.org/officeDocument/2006/relationships/header" Target="header293.xml"/><Relationship Id="rId2400" Type="http://schemas.openxmlformats.org/officeDocument/2006/relationships/header" Target="header406.xml"/><Relationship Id="rId86" Type="http://schemas.openxmlformats.org/officeDocument/2006/relationships/header" Target="header21.xml"/><Relationship Id="rId817" Type="http://schemas.openxmlformats.org/officeDocument/2006/relationships/hyperlink" Target="https://advance.lexis.com/api/document?id=urn:contentItem:5T0Y-CDN0-01KN-B03R-00000-00&amp;idtype=PID&amp;context=1000516" TargetMode="External"/><Relationship Id="rId1002" Type="http://schemas.openxmlformats.org/officeDocument/2006/relationships/hyperlink" Target="https://advance.lexis.com/api/document?collection=cases&amp;id=urn:contentItem:3RX4-8V20-003G-24RD-00000-00&amp;context=" TargetMode="External"/><Relationship Id="rId1447" Type="http://schemas.openxmlformats.org/officeDocument/2006/relationships/footer" Target="footer236.xml"/><Relationship Id="rId1654" Type="http://schemas.openxmlformats.org/officeDocument/2006/relationships/hyperlink" Target="https://advance.lexis.com/api/document?collection=cases&amp;id=urn:contentItem:3RX4-94M0-003G-2065-00000-00&amp;context=" TargetMode="External"/><Relationship Id="rId1861" Type="http://schemas.openxmlformats.org/officeDocument/2006/relationships/hyperlink" Target="https://advance.lexis.com/api/document?collection=cases&amp;id=urn:contentItem:3RX4-91K0-003G-2560-00000-00&amp;context=" TargetMode="External"/><Relationship Id="rId1307" Type="http://schemas.openxmlformats.org/officeDocument/2006/relationships/hyperlink" Target="https://advance.lexis.com/api/document?id=urn:contentItem:5T0Y-CDN0-01KN-B04F-00000-00&amp;idtype=PID&amp;context=1000516" TargetMode="External"/><Relationship Id="rId1514" Type="http://schemas.openxmlformats.org/officeDocument/2006/relationships/hyperlink" Target="https://advance.lexis.com/api/document?collection=cases&amp;id=urn:contentItem:3VB4-06D0-0039-42J0-00000-00&amp;context=" TargetMode="External"/><Relationship Id="rId1721" Type="http://schemas.openxmlformats.org/officeDocument/2006/relationships/hyperlink" Target="https://advance.lexis.com/api/document?collection=cases&amp;id=urn:contentItem:481M-CSV0-0039-42KX-00000-00&amp;context=" TargetMode="External"/><Relationship Id="rId1959" Type="http://schemas.openxmlformats.org/officeDocument/2006/relationships/hyperlink" Target="https://advance.lexis.com/api/document?collection=cases&amp;id=urn:contentItem:3S12-2GK0-003D-Y1R3-00000-00&amp;context=" TargetMode="External"/><Relationship Id="rId13" Type="http://schemas.openxmlformats.org/officeDocument/2006/relationships/hyperlink" Target="https://advance.lexis.com/api/document?id=urn:contentItem:5T0Y-CDN0-01KN-B01P-00000-00&amp;idtype=PID&amp;context=1000516" TargetMode="External"/><Relationship Id="rId1819" Type="http://schemas.openxmlformats.org/officeDocument/2006/relationships/hyperlink" Target="https://advance.lexis.com/api/document?collection=cases&amp;id=urn:contentItem:3RX4-8PX0-003G-24G6-00000-00&amp;context=" TargetMode="External"/><Relationship Id="rId2190" Type="http://schemas.openxmlformats.org/officeDocument/2006/relationships/footer" Target="footer369.xml"/><Relationship Id="rId2288" Type="http://schemas.openxmlformats.org/officeDocument/2006/relationships/hyperlink" Target="https://advance.lexis.com/api/document?collection=jury-instructions&amp;id=urn:contentItem:5T0Y-CDN0-01KN-B07D-00000-00&amp;context=" TargetMode="External"/><Relationship Id="rId162" Type="http://schemas.openxmlformats.org/officeDocument/2006/relationships/footer" Target="footer30.xml"/><Relationship Id="rId467" Type="http://schemas.openxmlformats.org/officeDocument/2006/relationships/hyperlink" Target="https://advance.lexis.com/api/document?collection=cases&amp;id=urn:contentItem:3SD8-HJM0-0039-4407-00000-00&amp;context=" TargetMode="External"/><Relationship Id="rId1097" Type="http://schemas.openxmlformats.org/officeDocument/2006/relationships/hyperlink" Target="https://advance.lexis.com/api/document?id=urn:contentItem:5T0Y-CDN0-01KN-B046-00000-00&amp;idtype=PID&amp;context=1000516" TargetMode="External"/><Relationship Id="rId2050" Type="http://schemas.openxmlformats.org/officeDocument/2006/relationships/footer" Target="footer345.xml"/><Relationship Id="rId2148" Type="http://schemas.openxmlformats.org/officeDocument/2006/relationships/hyperlink" Target="https://advance.lexis.com/api/document?collection=cases&amp;id=urn:contentItem:3RX4-49D0-003G-2353-00000-00&amp;context=" TargetMode="External"/><Relationship Id="rId674" Type="http://schemas.openxmlformats.org/officeDocument/2006/relationships/hyperlink" Target="https://advance.lexis.com/api/document?id=urn:contentItem:5T0Y-CDN0-01KN-B03F-00000-00&amp;idtype=PID&amp;context=1000516" TargetMode="External"/><Relationship Id="rId881" Type="http://schemas.openxmlformats.org/officeDocument/2006/relationships/hyperlink" Target="https://advance.lexis.com/api/document?collection=cases&amp;id=urn:contentItem:5FWB-3661-F04G-T011-00000-00&amp;context=" TargetMode="External"/><Relationship Id="rId979" Type="http://schemas.openxmlformats.org/officeDocument/2006/relationships/hyperlink" Target="https://advance.lexis.com/api/document?collection=cases&amp;id=urn:contentItem:3RX4-4XC0-003G-24CR-00000-00&amp;context=" TargetMode="External"/><Relationship Id="rId2355" Type="http://schemas.openxmlformats.org/officeDocument/2006/relationships/hyperlink" Target="https://advance.lexis.com/api/document?collection=cases&amp;id=urn:contentItem:3RX4-3R80-003G-21XY-00000-00&amp;context=" TargetMode="External"/><Relationship Id="rId327" Type="http://schemas.openxmlformats.org/officeDocument/2006/relationships/hyperlink" Target="https://advance.lexis.com/api/document?collection=cases&amp;id=urn:contentItem:3RX4-9S80-003G-21PN-00000-00&amp;context=" TargetMode="External"/><Relationship Id="rId534" Type="http://schemas.openxmlformats.org/officeDocument/2006/relationships/hyperlink" Target="https://advance.lexis.com/api/document?id=urn:contentItem:5T0Y-CDN0-01KN-B036-00000-00&amp;idtype=PID&amp;context=1000516" TargetMode="External"/><Relationship Id="rId741" Type="http://schemas.openxmlformats.org/officeDocument/2006/relationships/hyperlink" Target="https://advance.lexis.com/api/document?collection=cases&amp;id=urn:contentItem:3RX4-9SN0-003G-21RJ-00000-00&amp;context=" TargetMode="External"/><Relationship Id="rId839" Type="http://schemas.openxmlformats.org/officeDocument/2006/relationships/footer" Target="footer133.xml"/><Relationship Id="rId1164" Type="http://schemas.openxmlformats.org/officeDocument/2006/relationships/header" Target="header175.xml"/><Relationship Id="rId1371" Type="http://schemas.openxmlformats.org/officeDocument/2006/relationships/hyperlink" Target="https://advance.lexis.com/api/document?collection=jury-instructions&amp;id=urn:contentItem:5T0Y-CDN0-01KN-B04K-00000-00&amp;context=" TargetMode="External"/><Relationship Id="rId1469" Type="http://schemas.openxmlformats.org/officeDocument/2006/relationships/header" Target="header246.xml"/><Relationship Id="rId2008" Type="http://schemas.openxmlformats.org/officeDocument/2006/relationships/hyperlink" Target="https://advance.lexis.com/api/document?id=urn:contentItem:5T0Y-CDN0-01KN-B072-00000-00&amp;idtype=PID&amp;context=1000516" TargetMode="External"/><Relationship Id="rId2215" Type="http://schemas.openxmlformats.org/officeDocument/2006/relationships/hyperlink" Target="https://advance.lexis.com/api/document?collection=cases&amp;id=urn:contentItem:3RX4-3VP0-003G-225R-00000-00&amp;context=" TargetMode="External"/><Relationship Id="rId2422" Type="http://schemas.openxmlformats.org/officeDocument/2006/relationships/hyperlink" Target="https://advance.lexis.com/api/document?collection=cases&amp;id=urn:contentItem:57WW-1XX1-F04G-S05B-00000-00&amp;context=" TargetMode="External"/><Relationship Id="rId601" Type="http://schemas.openxmlformats.org/officeDocument/2006/relationships/header" Target="header84.xml"/><Relationship Id="rId1024" Type="http://schemas.openxmlformats.org/officeDocument/2006/relationships/footer" Target="footer158.xml"/><Relationship Id="rId1231" Type="http://schemas.openxmlformats.org/officeDocument/2006/relationships/hyperlink" Target="https://advance.lexis.com/api/document?collection=cases&amp;id=urn:contentItem:3X3V-50B0-0039-431K-00000-00&amp;context=" TargetMode="External"/><Relationship Id="rId1676" Type="http://schemas.openxmlformats.org/officeDocument/2006/relationships/hyperlink" Target="https://advance.lexis.com/api/document?collection=cases&amp;id=urn:contentItem:3RX4-91H0-003G-255W-00000-00&amp;context=" TargetMode="External"/><Relationship Id="rId1883" Type="http://schemas.openxmlformats.org/officeDocument/2006/relationships/header" Target="header309.xml"/><Relationship Id="rId906" Type="http://schemas.openxmlformats.org/officeDocument/2006/relationships/hyperlink" Target="https://advance.lexis.com/api/document?collection=cases&amp;id=urn:contentItem:4N9P-YV70-0039-44KY-00000-00&amp;context=" TargetMode="External"/><Relationship Id="rId1329" Type="http://schemas.openxmlformats.org/officeDocument/2006/relationships/footer" Target="footer199.xml"/><Relationship Id="rId1536" Type="http://schemas.openxmlformats.org/officeDocument/2006/relationships/header" Target="header258.xml"/><Relationship Id="rId1743" Type="http://schemas.openxmlformats.org/officeDocument/2006/relationships/header" Target="header286.xml"/><Relationship Id="rId1950" Type="http://schemas.openxmlformats.org/officeDocument/2006/relationships/hyperlink" Target="https://advance.lexis.com/api/document?collection=cases&amp;id=urn:contentItem:3RX4-BC80-003G-2368-00000-00&amp;context=" TargetMode="External"/><Relationship Id="rId35" Type="http://schemas.openxmlformats.org/officeDocument/2006/relationships/footer" Target="footer4.xml"/><Relationship Id="rId1603" Type="http://schemas.openxmlformats.org/officeDocument/2006/relationships/header" Target="header262.xml"/><Relationship Id="rId1810" Type="http://schemas.openxmlformats.org/officeDocument/2006/relationships/header" Target="header296.xml"/><Relationship Id="rId184" Type="http://schemas.openxmlformats.org/officeDocument/2006/relationships/hyperlink" Target="https://advance.lexis.com/api/document?id=urn:contentItem:5T0Y-CDN0-01KN-B01Y-00000-00&amp;idtype=PID&amp;context=1000516" TargetMode="External"/><Relationship Id="rId391" Type="http://schemas.openxmlformats.org/officeDocument/2006/relationships/hyperlink" Target="https://advance.lexis.com/api/document?id=urn:contentItem:5T0Y-CDN0-01KN-B02X-00000-00&amp;idtype=PID&amp;context=1000516" TargetMode="External"/><Relationship Id="rId1908" Type="http://schemas.openxmlformats.org/officeDocument/2006/relationships/header" Target="header316.xml"/><Relationship Id="rId2072" Type="http://schemas.openxmlformats.org/officeDocument/2006/relationships/hyperlink" Target="https://advance.lexis.com/api/document?collection=cases&amp;id=urn:contentItem:3RX4-3HK0-003G-21HC-00000-00&amp;context=" TargetMode="External"/><Relationship Id="rId251" Type="http://schemas.openxmlformats.org/officeDocument/2006/relationships/hyperlink" Target="https://advance.lexis.com/api/document?collection=cases&amp;id=urn:contentItem:423B-Y400-0039-42KW-00000-00&amp;context=" TargetMode="External"/><Relationship Id="rId489" Type="http://schemas.openxmlformats.org/officeDocument/2006/relationships/hyperlink" Target="https://advance.lexis.com/api/document?collection=cases&amp;id=urn:contentItem:7XY1-WCS0-YB0R-N000-00000-00&amp;context=" TargetMode="External"/><Relationship Id="rId696" Type="http://schemas.openxmlformats.org/officeDocument/2006/relationships/header" Target="header103.xml"/><Relationship Id="rId2377" Type="http://schemas.openxmlformats.org/officeDocument/2006/relationships/footer" Target="footer400.xml"/><Relationship Id="rId349" Type="http://schemas.openxmlformats.org/officeDocument/2006/relationships/hyperlink" Target="https://advance.lexis.com/api/document?collection=cases&amp;id=urn:contentItem:3RX4-BW80-003G-24DX-00000-00&amp;context=" TargetMode="External"/><Relationship Id="rId556" Type="http://schemas.openxmlformats.org/officeDocument/2006/relationships/header" Target="header73.xml"/><Relationship Id="rId763" Type="http://schemas.openxmlformats.org/officeDocument/2006/relationships/footer" Target="footer114.xml"/><Relationship Id="rId1186" Type="http://schemas.openxmlformats.org/officeDocument/2006/relationships/hyperlink" Target="https://advance.lexis.com/api/document?collection=cases&amp;id=urn:contentItem:5MYB-13X1-JKHB-6242-00000-00&amp;context=" TargetMode="External"/><Relationship Id="rId1393" Type="http://schemas.openxmlformats.org/officeDocument/2006/relationships/hyperlink" Target="https://advance.lexis.com/api/document?collection=cases&amp;id=urn:contentItem:3RX4-2VB0-003G-205Y-00000-00&amp;context=" TargetMode="External"/><Relationship Id="rId2237" Type="http://schemas.openxmlformats.org/officeDocument/2006/relationships/hyperlink" Target="https://advance.lexis.com/api/document?collection=cases&amp;id=urn:contentItem:3RX6-F0K0-003G-227K-00000-00&amp;context=" TargetMode="External"/><Relationship Id="rId2444" Type="http://schemas.openxmlformats.org/officeDocument/2006/relationships/hyperlink" Target="https://advance.lexis.com/api/document?collection=cases&amp;id=urn:contentItem:3RX4-C280-003G-24VR-00000-00&amp;context=" TargetMode="External"/><Relationship Id="rId111" Type="http://schemas.openxmlformats.org/officeDocument/2006/relationships/hyperlink" Target="https://advance.lexis.com/api/document?collection=cases&amp;id=urn:contentItem:3RX4-3BF0-003G-214M-00000-00&amp;context=" TargetMode="External"/><Relationship Id="rId209" Type="http://schemas.openxmlformats.org/officeDocument/2006/relationships/hyperlink" Target="https://advance.lexis.com/api/document?collection=cases&amp;id=urn:contentItem:3RX4-8KD0-003G-247V-00000-00&amp;context=" TargetMode="External"/><Relationship Id="rId416" Type="http://schemas.openxmlformats.org/officeDocument/2006/relationships/hyperlink" Target="https://advance.lexis.com/api/document?collection=jury-instructions&amp;id=urn:contentItem:5T0Y-CDN0-01KN-B02P-00000-00&amp;context=" TargetMode="External"/><Relationship Id="rId970" Type="http://schemas.openxmlformats.org/officeDocument/2006/relationships/header" Target="header154.xml"/><Relationship Id="rId1046" Type="http://schemas.openxmlformats.org/officeDocument/2006/relationships/hyperlink" Target="https://advance.lexis.com/api/document?collection=cases&amp;id=urn:contentItem:3RX4-3K70-003G-21MV-00000-00&amp;context=" TargetMode="External"/><Relationship Id="rId1253" Type="http://schemas.openxmlformats.org/officeDocument/2006/relationships/hyperlink" Target="https://advance.lexis.com/api/document?collection=cases&amp;id=urn:contentItem:3RX4-3KS0-003G-21NY-00000-00&amp;context=" TargetMode="External"/><Relationship Id="rId1698" Type="http://schemas.openxmlformats.org/officeDocument/2006/relationships/hyperlink" Target="https://advance.lexis.com/api/document?collection=cases&amp;id=urn:contentItem:3RX4-9FY0-003G-210K-00000-00&amp;context=" TargetMode="External"/><Relationship Id="rId623" Type="http://schemas.openxmlformats.org/officeDocument/2006/relationships/header" Target="header91.xml"/><Relationship Id="rId830" Type="http://schemas.openxmlformats.org/officeDocument/2006/relationships/hyperlink" Target="https://advance.lexis.com/api/document?id=urn:contentItem:5T0Y-CDN0-01KN-B03Y-00000-00&amp;idtype=PID&amp;context=1000516" TargetMode="External"/><Relationship Id="rId928" Type="http://schemas.openxmlformats.org/officeDocument/2006/relationships/hyperlink" Target="https://advance.lexis.com/api/document?collection=cases&amp;id=urn:contentItem:3RX4-4MP0-003G-23VT-00000-00&amp;context=" TargetMode="External"/><Relationship Id="rId1460" Type="http://schemas.openxmlformats.org/officeDocument/2006/relationships/footer" Target="footer241.xml"/><Relationship Id="rId1558" Type="http://schemas.openxmlformats.org/officeDocument/2006/relationships/hyperlink" Target="https://advance.lexis.com/api/document?collection=jury-instructions&amp;id=urn:contentItem:5T0Y-CDN0-01KN-B055-00000-00&amp;context=" TargetMode="External"/><Relationship Id="rId1765" Type="http://schemas.openxmlformats.org/officeDocument/2006/relationships/hyperlink" Target="https://advance.lexis.com/api/document?collection=cases&amp;id=urn:contentItem:3RX4-CF90-003G-20HS-00000-00&amp;context=" TargetMode="External"/><Relationship Id="rId2304" Type="http://schemas.openxmlformats.org/officeDocument/2006/relationships/footer" Target="footer392.xml"/><Relationship Id="rId57" Type="http://schemas.openxmlformats.org/officeDocument/2006/relationships/header" Target="header10.xml"/><Relationship Id="rId1113" Type="http://schemas.openxmlformats.org/officeDocument/2006/relationships/footer" Target="footer166.xml"/><Relationship Id="rId1320" Type="http://schemas.openxmlformats.org/officeDocument/2006/relationships/hyperlink" Target="https://advance.lexis.com/api/document?id=urn:contentItem:5T0Y-CDN0-01KN-B04R-00000-00&amp;idtype=PID&amp;context=1000516" TargetMode="External"/><Relationship Id="rId1418" Type="http://schemas.openxmlformats.org/officeDocument/2006/relationships/hyperlink" Target="https://advance.lexis.com/api/document?id=urn:contentItem:5T0Y-CDN0-01KN-B04T-00000-00&amp;idtype=PID&amp;context=1000516" TargetMode="External"/><Relationship Id="rId1972" Type="http://schemas.openxmlformats.org/officeDocument/2006/relationships/footer" Target="footer326.xml"/><Relationship Id="rId1625" Type="http://schemas.openxmlformats.org/officeDocument/2006/relationships/hyperlink" Target="https://advance.lexis.com/api/document?id=urn:contentItem:5T0Y-CDN0-01KN-B059-00000-00&amp;idtype=PID&amp;context=1000516" TargetMode="External"/><Relationship Id="rId1832" Type="http://schemas.openxmlformats.org/officeDocument/2006/relationships/hyperlink" Target="https://advance.lexis.com/api/document?id=urn:contentItem:5T0Y-CDN0-01KN-B05M-00000-00&amp;idtype=PID&amp;context=1000516" TargetMode="External"/><Relationship Id="rId2094" Type="http://schemas.openxmlformats.org/officeDocument/2006/relationships/footer" Target="footer356.xml"/><Relationship Id="rId273" Type="http://schemas.openxmlformats.org/officeDocument/2006/relationships/hyperlink" Target="https://advance.lexis.com/api/document?collection=jury-instructions&amp;id=urn:contentItem:5T0Y-CDN0-01KN-B027-00000-00&amp;context=" TargetMode="External"/><Relationship Id="rId480" Type="http://schemas.openxmlformats.org/officeDocument/2006/relationships/header" Target="header53.xml"/><Relationship Id="rId2161" Type="http://schemas.openxmlformats.org/officeDocument/2006/relationships/hyperlink" Target="https://advance.lexis.com/api/document?collection=cases&amp;id=urn:contentItem:3RX4-B060-003G-226Y-00000-00&amp;context=" TargetMode="External"/><Relationship Id="rId2399" Type="http://schemas.openxmlformats.org/officeDocument/2006/relationships/hyperlink" Target="https://advance.lexis.com/api/document?collection=cases&amp;id=urn:contentItem:3RX4-38W0-003G-211M-00000-00&amp;context=" TargetMode="External"/><Relationship Id="rId133" Type="http://schemas.openxmlformats.org/officeDocument/2006/relationships/hyperlink" Target="https://advance.lexis.com/api/document?collection=jury-instructions&amp;id=urn:contentItem:5T0Y-CDN0-01KN-B01W-00000-00&amp;context=" TargetMode="External"/><Relationship Id="rId340" Type="http://schemas.openxmlformats.org/officeDocument/2006/relationships/hyperlink" Target="https://advance.lexis.com/api/document?collection=cases&amp;id=urn:contentItem:4V8G-5S70-TXFT-B36S-00000-00&amp;context=" TargetMode="External"/><Relationship Id="rId578" Type="http://schemas.openxmlformats.org/officeDocument/2006/relationships/hyperlink" Target="https://advance.lexis.com/api/document?collection=cases&amp;id=urn:contentItem:4M81-8S50-0039-43MJ-00000-00&amp;context=" TargetMode="External"/><Relationship Id="rId785" Type="http://schemas.openxmlformats.org/officeDocument/2006/relationships/footer" Target="footer121.xml"/><Relationship Id="rId992" Type="http://schemas.openxmlformats.org/officeDocument/2006/relationships/hyperlink" Target="https://advance.lexis.com/api/document?collection=cases&amp;id=urn:contentItem:4BX9-5760-0039-455H-00000-00&amp;context=" TargetMode="External"/><Relationship Id="rId2021" Type="http://schemas.openxmlformats.org/officeDocument/2006/relationships/footer" Target="footer332.xml"/><Relationship Id="rId2259" Type="http://schemas.openxmlformats.org/officeDocument/2006/relationships/header" Target="header380.xml"/><Relationship Id="rId2466" Type="http://schemas.openxmlformats.org/officeDocument/2006/relationships/footer" Target="footer419.xml"/><Relationship Id="rId200" Type="http://schemas.openxmlformats.org/officeDocument/2006/relationships/hyperlink" Target="https://advance.lexis.com/api/document?id=urn:contentItem:5T0Y-CDN0-01KN-B028-00000-00&amp;idtype=PID&amp;context=1000516" TargetMode="External"/><Relationship Id="rId438" Type="http://schemas.openxmlformats.org/officeDocument/2006/relationships/footer" Target="footer51.xml"/><Relationship Id="rId645" Type="http://schemas.openxmlformats.org/officeDocument/2006/relationships/hyperlink" Target="https://advance.lexis.com/api/document?collection=cases&amp;id=urn:contentItem:3RX4-CR00-003G-21CW-00000-00&amp;context=" TargetMode="External"/><Relationship Id="rId852" Type="http://schemas.openxmlformats.org/officeDocument/2006/relationships/footer" Target="footer139.xml"/><Relationship Id="rId1068" Type="http://schemas.openxmlformats.org/officeDocument/2006/relationships/hyperlink" Target="https://advance.lexis.com/api/document?collection=cases&amp;id=urn:contentItem:3RX4-57M0-003G-2013-00000-00&amp;context=" TargetMode="External"/><Relationship Id="rId1275" Type="http://schemas.openxmlformats.org/officeDocument/2006/relationships/footer" Target="footer193.xml"/><Relationship Id="rId1482" Type="http://schemas.openxmlformats.org/officeDocument/2006/relationships/header" Target="header247.xml"/><Relationship Id="rId2119" Type="http://schemas.openxmlformats.org/officeDocument/2006/relationships/header" Target="header361.xml"/><Relationship Id="rId2326" Type="http://schemas.openxmlformats.org/officeDocument/2006/relationships/hyperlink" Target="https://advance.lexis.com/api/document?collection=cases&amp;id=urn:contentItem:4KWT-DH80-0039-4417-00000-00&amp;context=" TargetMode="External"/><Relationship Id="rId505" Type="http://schemas.openxmlformats.org/officeDocument/2006/relationships/header" Target="header62.xml"/><Relationship Id="rId712" Type="http://schemas.openxmlformats.org/officeDocument/2006/relationships/footer" Target="footer106.xml"/><Relationship Id="rId1135" Type="http://schemas.openxmlformats.org/officeDocument/2006/relationships/hyperlink" Target="https://advance.lexis.com/api/document?collection=cases&amp;id=urn:contentItem:3RX4-B370-003G-22GG-00000-00&amp;context=" TargetMode="External"/><Relationship Id="rId1342" Type="http://schemas.openxmlformats.org/officeDocument/2006/relationships/header" Target="header206.xml"/><Relationship Id="rId1787" Type="http://schemas.openxmlformats.org/officeDocument/2006/relationships/header" Target="header290.xml"/><Relationship Id="rId1994" Type="http://schemas.openxmlformats.org/officeDocument/2006/relationships/hyperlink" Target="https://advance.lexis.com/api/document?collection=cases&amp;id=urn:contentItem:3S4W-TPX0-0039-M27Y-00000-00&amp;context=" TargetMode="External"/><Relationship Id="rId79" Type="http://schemas.openxmlformats.org/officeDocument/2006/relationships/hyperlink" Target="https://advance.lexis.com/api/document?collection=jury-instructions&amp;id=urn:contentItem:5T0Y-CDN0-01KN-B01R-00000-00&amp;context=" TargetMode="External"/><Relationship Id="rId1202" Type="http://schemas.openxmlformats.org/officeDocument/2006/relationships/hyperlink" Target="https://advance.lexis.com/api/document?collection=cases&amp;id=urn:contentItem:3RX4-8V50-003G-24RN-00000-00&amp;context=" TargetMode="External"/><Relationship Id="rId1647" Type="http://schemas.openxmlformats.org/officeDocument/2006/relationships/footer" Target="footer269.xml"/><Relationship Id="rId1854" Type="http://schemas.openxmlformats.org/officeDocument/2006/relationships/header" Target="header302.xml"/><Relationship Id="rId1507" Type="http://schemas.openxmlformats.org/officeDocument/2006/relationships/header" Target="header251.xml"/><Relationship Id="rId1714" Type="http://schemas.openxmlformats.org/officeDocument/2006/relationships/footer" Target="footer277.xml"/><Relationship Id="rId295" Type="http://schemas.openxmlformats.org/officeDocument/2006/relationships/hyperlink" Target="https://advance.lexis.com/api/document?id=urn:contentItem:5T0Y-CDN0-01KN-B026-00000-00&amp;idtype=PID&amp;context=1000516" TargetMode="External"/><Relationship Id="rId1921" Type="http://schemas.openxmlformats.org/officeDocument/2006/relationships/hyperlink" Target="https://advance.lexis.com/api/document?collection=jury-instructions&amp;id=urn:contentItem:5T0Y-CDN0-01KN-B05S-00000-00&amp;context=" TargetMode="External"/><Relationship Id="rId2183" Type="http://schemas.openxmlformats.org/officeDocument/2006/relationships/hyperlink" Target="https://advance.lexis.com/api/document?id=urn:contentItem:5T0Y-CDN0-01KN-B07J-00000-00&amp;idtype=PID&amp;context=1000516" TargetMode="External"/><Relationship Id="rId2390" Type="http://schemas.openxmlformats.org/officeDocument/2006/relationships/hyperlink" Target="https://advance.lexis.com/api/document?collection=cases&amp;id=urn:contentItem:3RX4-82S0-003G-22XG-00000-00&amp;context=" TargetMode="External"/><Relationship Id="rId155" Type="http://schemas.openxmlformats.org/officeDocument/2006/relationships/hyperlink" Target="https://advance.lexis.com/api/document?collection=cases&amp;id=urn:contentItem:83H5-M031-652M-603M-00000-00&amp;context=" TargetMode="External"/><Relationship Id="rId362" Type="http://schemas.openxmlformats.org/officeDocument/2006/relationships/hyperlink" Target="https://advance.lexis.com/api/document?collection=cases&amp;id=urn:contentItem:3RX4-CKN0-003G-210N-00000-00&amp;context=" TargetMode="External"/><Relationship Id="rId1297" Type="http://schemas.openxmlformats.org/officeDocument/2006/relationships/hyperlink" Target="https://advance.lexis.com/api/document?collection=cases&amp;id=urn:contentItem:3RX4-3K80-003G-21MW-00000-00&amp;context=" TargetMode="External"/><Relationship Id="rId2043" Type="http://schemas.openxmlformats.org/officeDocument/2006/relationships/footer" Target="footer342.xml"/><Relationship Id="rId2250" Type="http://schemas.openxmlformats.org/officeDocument/2006/relationships/hyperlink" Target="https://advance.lexis.com/api/document?collection=cases&amp;id=urn:contentItem:59PP-6911-F04G-T01R-00000-00&amp;context=" TargetMode="External"/><Relationship Id="rId222" Type="http://schemas.openxmlformats.org/officeDocument/2006/relationships/hyperlink" Target="https://advance.lexis.com/api/document?collection=cases&amp;id=urn:contentItem:7Y6G-Y3P0-YB0R-M027-00000-00&amp;context=" TargetMode="External"/><Relationship Id="rId667" Type="http://schemas.openxmlformats.org/officeDocument/2006/relationships/hyperlink" Target="https://advance.lexis.com/api/document?collection=cases&amp;id=urn:contentItem:4P54-42D0-TX4N-G1TK-00000-00&amp;context=" TargetMode="External"/><Relationship Id="rId874" Type="http://schemas.openxmlformats.org/officeDocument/2006/relationships/header" Target="header143.xml"/><Relationship Id="rId2110" Type="http://schemas.openxmlformats.org/officeDocument/2006/relationships/header" Target="header358.xml"/><Relationship Id="rId2348" Type="http://schemas.openxmlformats.org/officeDocument/2006/relationships/hyperlink" Target="https://advance.lexis.com/api/document?collection=cases&amp;id=urn:contentItem:3RX4-3G80-003G-21DF-00000-00&amp;context=" TargetMode="External"/><Relationship Id="rId527" Type="http://schemas.openxmlformats.org/officeDocument/2006/relationships/hyperlink" Target="https://advance.lexis.com/api/document?id=urn:contentItem:5T0Y-CDN0-01KN-B033-00000-00&amp;idtype=PID&amp;context=1000516" TargetMode="External"/><Relationship Id="rId734" Type="http://schemas.openxmlformats.org/officeDocument/2006/relationships/hyperlink" Target="https://advance.lexis.com/api/document?collection=cases&amp;id=urn:contentItem:3RX4-4Y90-003G-24FN-00000-00&amp;context=" TargetMode="External"/><Relationship Id="rId941" Type="http://schemas.openxmlformats.org/officeDocument/2006/relationships/hyperlink" Target="https://advance.lexis.com/api/document?collection=cases&amp;id=urn:contentItem:3RX4-6030-003G-21YN-00000-00&amp;context=" TargetMode="External"/><Relationship Id="rId1157" Type="http://schemas.openxmlformats.org/officeDocument/2006/relationships/hyperlink" Target="https://advance.lexis.com/api/document?collection=cases&amp;id=urn:contentItem:3RX4-4TW0-003G-246M-00000-00&amp;context=" TargetMode="External"/><Relationship Id="rId1364" Type="http://schemas.openxmlformats.org/officeDocument/2006/relationships/hyperlink" Target="https://advance.lexis.com/api/document?collection=jury-instructions&amp;id=urn:contentItem:5T0Y-CDN0-01KN-B04J-00000-00&amp;context=" TargetMode="External"/><Relationship Id="rId1571" Type="http://schemas.openxmlformats.org/officeDocument/2006/relationships/hyperlink" Target="https://advance.lexis.com/api/document?collection=cases&amp;id=urn:contentItem:3RX4-98P0-003G-20HM-00000-00&amp;context=" TargetMode="External"/><Relationship Id="rId2208" Type="http://schemas.openxmlformats.org/officeDocument/2006/relationships/hyperlink" Target="https://advance.lexis.com/api/document?collection=cases&amp;id=urn:contentItem:3RX4-3TH0-003G-223B-00000-00&amp;context=" TargetMode="External"/><Relationship Id="rId2415" Type="http://schemas.openxmlformats.org/officeDocument/2006/relationships/hyperlink" Target="https://advance.lexis.com/api/document?collection=cases&amp;id=urn:contentItem:3RX4-BR50-003G-242J-00000-00&amp;context=" TargetMode="External"/><Relationship Id="rId70" Type="http://schemas.openxmlformats.org/officeDocument/2006/relationships/header" Target="header15.xml"/><Relationship Id="rId801" Type="http://schemas.openxmlformats.org/officeDocument/2006/relationships/hyperlink" Target="https://advance.lexis.com/api/document?collection=jury-instructions&amp;id=urn:contentItem:5T0Y-CDN0-01KN-B03M-00000-00&amp;context=" TargetMode="External"/><Relationship Id="rId1017" Type="http://schemas.openxmlformats.org/officeDocument/2006/relationships/hyperlink" Target="https://advance.lexis.com/api/document?collection=cases&amp;id=urn:contentItem:3RX4-C8R0-003G-204M-00000-00&amp;context=" TargetMode="External"/><Relationship Id="rId1224" Type="http://schemas.openxmlformats.org/officeDocument/2006/relationships/hyperlink" Target="https://advance.lexis.com/api/document?collection=cases&amp;id=urn:contentItem:3VD1-R5X0-0039-42G7-00000-00&amp;context=" TargetMode="External"/><Relationship Id="rId1431" Type="http://schemas.openxmlformats.org/officeDocument/2006/relationships/hyperlink" Target="https://advance.lexis.com/api/document?id=urn:contentItem:5T0Y-CDN0-01KN-B051-00000-00&amp;idtype=PID&amp;context=1000516" TargetMode="External"/><Relationship Id="rId1669" Type="http://schemas.openxmlformats.org/officeDocument/2006/relationships/hyperlink" Target="https://advance.lexis.com/api/document?collection=cases&amp;id=urn:contentItem:3RX4-CH50-003G-20PW-00000-00&amp;context=" TargetMode="External"/><Relationship Id="rId1876" Type="http://schemas.openxmlformats.org/officeDocument/2006/relationships/header" Target="header306.xml"/><Relationship Id="rId1529" Type="http://schemas.openxmlformats.org/officeDocument/2006/relationships/hyperlink" Target="https://advance.lexis.com/api/document?collection=cases&amp;id=urn:contentItem:3RX4-9VC0-003G-21WV-00000-00&amp;context=" TargetMode="External"/><Relationship Id="rId1736" Type="http://schemas.openxmlformats.org/officeDocument/2006/relationships/hyperlink" Target="https://advance.lexis.com/api/document?collection=cases&amp;id=urn:contentItem:3RX4-9GH0-003G-2120-00000-00&amp;context=" TargetMode="External"/><Relationship Id="rId1943" Type="http://schemas.openxmlformats.org/officeDocument/2006/relationships/hyperlink" Target="https://advance.lexis.com/api/document?collection=cases&amp;id=urn:contentItem:3XWY-W8T0-00KR-F0KX-00000-00&amp;context=" TargetMode="External"/><Relationship Id="rId28" Type="http://schemas.openxmlformats.org/officeDocument/2006/relationships/header" Target="header2.xml"/><Relationship Id="rId1803" Type="http://schemas.openxmlformats.org/officeDocument/2006/relationships/hyperlink" Target="https://advance.lexis.com/api/document?collection=cases&amp;id=urn:contentItem:3RX4-96Y0-003G-20CK-00000-00&amp;context=" TargetMode="External"/><Relationship Id="rId177" Type="http://schemas.openxmlformats.org/officeDocument/2006/relationships/footer" Target="footer33.xml"/><Relationship Id="rId384" Type="http://schemas.openxmlformats.org/officeDocument/2006/relationships/hyperlink" Target="https://advance.lexis.com/api/document?id=urn:contentItem:5T0Y-CDN0-01KN-B02S-00000-00&amp;idtype=PID&amp;context=1000516" TargetMode="External"/><Relationship Id="rId591" Type="http://schemas.openxmlformats.org/officeDocument/2006/relationships/hyperlink" Target="https://advance.lexis.com/api/document?collection=cases&amp;id=urn:contentItem:3RX4-4850-003G-232D-00000-00&amp;context=" TargetMode="External"/><Relationship Id="rId2065" Type="http://schemas.openxmlformats.org/officeDocument/2006/relationships/hyperlink" Target="https://advance.lexis.com/api/document?collection=jury-instructions&amp;id=urn:contentItem:5T0Y-CDN0-01KN-B071-00000-00&amp;context=" TargetMode="External"/><Relationship Id="rId2272" Type="http://schemas.openxmlformats.org/officeDocument/2006/relationships/hyperlink" Target="https://advance.lexis.com/api/document?collection=cases&amp;id=urn:contentItem:4GMH-X510-0039-42GB-00000-00&amp;context=" TargetMode="External"/><Relationship Id="rId244" Type="http://schemas.openxmlformats.org/officeDocument/2006/relationships/hyperlink" Target="https://advance.lexis.com/api/document?collection=cases&amp;id=urn:contentItem:3RX4-9WG0-003G-220P-00000-00&amp;context=" TargetMode="External"/><Relationship Id="rId689" Type="http://schemas.openxmlformats.org/officeDocument/2006/relationships/hyperlink" Target="https://advance.lexis.com/api/document?id=urn:contentItem:5T0Y-CDN0-01KN-B03P-00000-00&amp;idtype=PID&amp;context=1000516" TargetMode="External"/><Relationship Id="rId896" Type="http://schemas.openxmlformats.org/officeDocument/2006/relationships/hyperlink" Target="https://advance.lexis.com/api/document?collection=cases&amp;id=urn:contentItem:3RX4-3ND0-003G-21T8-00000-00&amp;context=" TargetMode="External"/><Relationship Id="rId1081" Type="http://schemas.openxmlformats.org/officeDocument/2006/relationships/header" Target="header164.xml"/><Relationship Id="rId451" Type="http://schemas.openxmlformats.org/officeDocument/2006/relationships/hyperlink" Target="https://advance.lexis.com/api/document?collection=cases&amp;id=urn:contentItem:7YFB-0KD1-2RHN-X001-00000-00&amp;context=" TargetMode="External"/><Relationship Id="rId549" Type="http://schemas.openxmlformats.org/officeDocument/2006/relationships/header" Target="header70.xml"/><Relationship Id="rId756" Type="http://schemas.openxmlformats.org/officeDocument/2006/relationships/hyperlink" Target="https://advance.lexis.com/api/document?collection=cases&amp;id=urn:contentItem:3RX4-8FX0-003G-240B-00000-00&amp;context=" TargetMode="External"/><Relationship Id="rId1179" Type="http://schemas.openxmlformats.org/officeDocument/2006/relationships/footer" Target="footer180.xml"/><Relationship Id="rId1386" Type="http://schemas.openxmlformats.org/officeDocument/2006/relationships/header" Target="header223.xml"/><Relationship Id="rId1593" Type="http://schemas.openxmlformats.org/officeDocument/2006/relationships/hyperlink" Target="https://advance.lexis.com/api/document?collection=cases&amp;id=urn:contentItem:3RX4-3HN0-003G-21HM-00000-00&amp;context=" TargetMode="External"/><Relationship Id="rId2132" Type="http://schemas.openxmlformats.org/officeDocument/2006/relationships/hyperlink" Target="https://advance.lexis.com/api/document?collection=cases&amp;id=urn:contentItem:3RX4-3MB0-003G-21R2-00000-00&amp;context=" TargetMode="External"/><Relationship Id="rId2437" Type="http://schemas.openxmlformats.org/officeDocument/2006/relationships/footer" Target="footer412.xml"/><Relationship Id="rId104" Type="http://schemas.openxmlformats.org/officeDocument/2006/relationships/hyperlink" Target="https://advance.lexis.com/api/document?collection=cases&amp;id=urn:contentItem:3RX4-B6W0-003G-22T7-00000-00&amp;context=" TargetMode="External"/><Relationship Id="rId311" Type="http://schemas.openxmlformats.org/officeDocument/2006/relationships/hyperlink" Target="https://advance.lexis.com/api/document?collection=cases&amp;id=urn:contentItem:3W9C-DSR0-0039-42MX-00000-00&amp;context=" TargetMode="External"/><Relationship Id="rId409" Type="http://schemas.openxmlformats.org/officeDocument/2006/relationships/hyperlink" Target="https://advance.lexis.com/api/document?collection=jury-instructions&amp;id=urn:contentItem:5T0Y-CDN0-01KN-B02N-00000-00&amp;context=" TargetMode="External"/><Relationship Id="rId963" Type="http://schemas.openxmlformats.org/officeDocument/2006/relationships/hyperlink" Target="https://advance.lexis.com/api/document?collection=cases&amp;id=urn:contentItem:3RX4-6KS0-003G-23MF-00000-00&amp;context=" TargetMode="External"/><Relationship Id="rId1039" Type="http://schemas.openxmlformats.org/officeDocument/2006/relationships/footer" Target="footer162.xml"/><Relationship Id="rId1246" Type="http://schemas.openxmlformats.org/officeDocument/2006/relationships/hyperlink" Target="https://advance.lexis.com/api/document?collection=cases&amp;id=urn:contentItem:3RX4-BN50-003G-23WR-00000-00&amp;context=" TargetMode="External"/><Relationship Id="rId1898" Type="http://schemas.openxmlformats.org/officeDocument/2006/relationships/hyperlink" Target="https://advance.lexis.com/api/document?collection=cases&amp;id=urn:contentItem:3RX4-2VR0-003G-206T-00000-00&amp;context=" TargetMode="External"/><Relationship Id="rId92" Type="http://schemas.openxmlformats.org/officeDocument/2006/relationships/hyperlink" Target="https://advance.lexis.com/api/document?collection=cases&amp;id=urn:contentItem:3RX4-9V90-003G-21WN-00000-00&amp;context=" TargetMode="External"/><Relationship Id="rId616" Type="http://schemas.openxmlformats.org/officeDocument/2006/relationships/header" Target="header88.xml"/><Relationship Id="rId823" Type="http://schemas.openxmlformats.org/officeDocument/2006/relationships/hyperlink" Target="https://advance.lexis.com/api/document?id=urn:contentItem:5T0Y-CDN0-01KN-B03V-00000-00&amp;idtype=PID&amp;context=1000516" TargetMode="External"/><Relationship Id="rId1453" Type="http://schemas.openxmlformats.org/officeDocument/2006/relationships/footer" Target="footer238.xml"/><Relationship Id="rId1660" Type="http://schemas.openxmlformats.org/officeDocument/2006/relationships/hyperlink" Target="https://advance.lexis.com/api/document?collection=cases&amp;id=urn:contentItem:3RX4-BPH0-003G-2412-00000-00&amp;context=" TargetMode="External"/><Relationship Id="rId1758" Type="http://schemas.openxmlformats.org/officeDocument/2006/relationships/hyperlink" Target="https://advance.lexis.com/api/document?collection=cases&amp;id=urn:contentItem:3RX4-B3X0-003G-22J6-00000-00&amp;context=" TargetMode="External"/><Relationship Id="rId1106" Type="http://schemas.openxmlformats.org/officeDocument/2006/relationships/hyperlink" Target="https://advance.lexis.com/api/document?id=urn:contentItem:5T0Y-CDN0-01KN-B04C-00000-00&amp;idtype=PID&amp;context=1000516" TargetMode="External"/><Relationship Id="rId1313" Type="http://schemas.openxmlformats.org/officeDocument/2006/relationships/hyperlink" Target="https://advance.lexis.com/api/document?id=urn:contentItem:5T0Y-CDN0-01KN-B04J-00000-00&amp;idtype=PID&amp;context=1000516" TargetMode="External"/><Relationship Id="rId1520" Type="http://schemas.openxmlformats.org/officeDocument/2006/relationships/footer" Target="footer254.xml"/><Relationship Id="rId1965" Type="http://schemas.openxmlformats.org/officeDocument/2006/relationships/hyperlink" Target="https://advance.lexis.com/api/document?collection=cases&amp;id=urn:contentItem:3RX4-B6B0-003G-22S3-00000-00&amp;context=" TargetMode="External"/><Relationship Id="rId1618" Type="http://schemas.openxmlformats.org/officeDocument/2006/relationships/hyperlink" Target="https://advance.lexis.com/api/document?id=urn:contentItem:5T0Y-CDN0-01KN-B056-00000-00&amp;idtype=PID&amp;context=1000516" TargetMode="External"/><Relationship Id="rId1825" Type="http://schemas.openxmlformats.org/officeDocument/2006/relationships/hyperlink" Target="https://advance.lexis.com/api/document?collection=cases&amp;id=urn:contentItem:3RX4-38J0-003G-210Y-00000-00&amp;context=" TargetMode="External"/><Relationship Id="rId199" Type="http://schemas.openxmlformats.org/officeDocument/2006/relationships/hyperlink" Target="https://advance.lexis.com/api/document?id=urn:contentItem:5T0Y-CDN0-01KN-B028-00000-00&amp;idtype=PID&amp;context=1000516" TargetMode="External"/><Relationship Id="rId2087" Type="http://schemas.openxmlformats.org/officeDocument/2006/relationships/hyperlink" Target="https://advance.lexis.com/api/document?collection=cases&amp;id=urn:contentItem:3RX4-BVF0-003G-24BW-00000-00&amp;context=" TargetMode="External"/><Relationship Id="rId2294" Type="http://schemas.openxmlformats.org/officeDocument/2006/relationships/header" Target="header388.xml"/><Relationship Id="rId266" Type="http://schemas.openxmlformats.org/officeDocument/2006/relationships/hyperlink" Target="https://advance.lexis.com/api/document?collection=cases&amp;id=urn:contentItem:3RX6-DXF0-003G-2219-00000-00&amp;context=" TargetMode="External"/><Relationship Id="rId473" Type="http://schemas.openxmlformats.org/officeDocument/2006/relationships/hyperlink" Target="https://advance.lexis.com/api/document?collection=cases&amp;id=urn:contentItem:3RX4-99T0-003G-20M8-00000-00&amp;context=" TargetMode="External"/><Relationship Id="rId680" Type="http://schemas.openxmlformats.org/officeDocument/2006/relationships/hyperlink" Target="https://advance.lexis.com/api/document?id=urn:contentItem:5T0Y-CDN0-01KN-B03J-00000-00&amp;idtype=PID&amp;context=1000516" TargetMode="External"/><Relationship Id="rId2154" Type="http://schemas.openxmlformats.org/officeDocument/2006/relationships/header" Target="header365.xml"/><Relationship Id="rId2361" Type="http://schemas.openxmlformats.org/officeDocument/2006/relationships/hyperlink" Target="https://advance.lexis.com/api/document?id=urn:contentItem:5T0Y-CDN0-01KN-B07K-00000-00&amp;idtype=PID&amp;context=1000516" TargetMode="External"/><Relationship Id="rId126" Type="http://schemas.openxmlformats.org/officeDocument/2006/relationships/hyperlink" Target="https://advance.lexis.com/api/document?collection=cases&amp;id=urn:contentItem:7Y3F-CJV0-YB0R-N003-00000-00&amp;context=" TargetMode="External"/><Relationship Id="rId333" Type="http://schemas.openxmlformats.org/officeDocument/2006/relationships/hyperlink" Target="https://advance.lexis.com/api/document?collection=cases&amp;id=urn:contentItem:4BB1-JMF0-0039-40M7-00000-00&amp;context=" TargetMode="External"/><Relationship Id="rId540" Type="http://schemas.openxmlformats.org/officeDocument/2006/relationships/hyperlink" Target="https://advance.lexis.com/api/document?id=urn:contentItem:5T0Y-CDN0-01KN-B03B-00000-00&amp;idtype=PID&amp;context=1000516" TargetMode="External"/><Relationship Id="rId778" Type="http://schemas.openxmlformats.org/officeDocument/2006/relationships/footer" Target="footer118.xml"/><Relationship Id="rId985" Type="http://schemas.openxmlformats.org/officeDocument/2006/relationships/hyperlink" Target="https://advance.lexis.com/api/document?collection=cases&amp;id=urn:contentItem:3RX4-5G60-003G-20M2-00000-00&amp;context=" TargetMode="External"/><Relationship Id="rId1170" Type="http://schemas.openxmlformats.org/officeDocument/2006/relationships/hyperlink" Target="https://advance.lexis.com/api/document?collection=jury-instructions&amp;id=urn:contentItem:5T0Y-CDN0-01KN-B045-00000-00&amp;context=" TargetMode="External"/><Relationship Id="rId2014" Type="http://schemas.openxmlformats.org/officeDocument/2006/relationships/hyperlink" Target="https://advance.lexis.com/api/document?id=urn:contentItem:5T0Y-CDN0-01KN-B075-00000-00&amp;idtype=PID&amp;context=1000516" TargetMode="External"/><Relationship Id="rId2221" Type="http://schemas.openxmlformats.org/officeDocument/2006/relationships/hyperlink" Target="https://advance.lexis.com/api/document?collection=cases&amp;id=urn:contentItem:3RX4-CW10-003G-21V5-00000-00&amp;context=" TargetMode="External"/><Relationship Id="rId2459" Type="http://schemas.openxmlformats.org/officeDocument/2006/relationships/header" Target="header417.xml"/><Relationship Id="rId638" Type="http://schemas.openxmlformats.org/officeDocument/2006/relationships/hyperlink" Target="https://advance.lexis.com/api/document?collection=cases&amp;id=urn:contentItem:3RX6-DW80-003G-21WV-00000-00&amp;context=" TargetMode="External"/><Relationship Id="rId845" Type="http://schemas.openxmlformats.org/officeDocument/2006/relationships/footer" Target="footer136.xml"/><Relationship Id="rId1030" Type="http://schemas.openxmlformats.org/officeDocument/2006/relationships/hyperlink" Target="https://advance.lexis.com/api/document?collection=cases&amp;id=urn:contentItem:3RX4-4900-003G-2343-00000-00&amp;context=" TargetMode="External"/><Relationship Id="rId1268" Type="http://schemas.openxmlformats.org/officeDocument/2006/relationships/footer" Target="footer191.xml"/><Relationship Id="rId1475" Type="http://schemas.openxmlformats.org/officeDocument/2006/relationships/hyperlink" Target="https://advance.lexis.com/api/document?collection=cases&amp;id=urn:contentItem:4SH1-S4K0-TX4N-G08C-00000-00&amp;context=" TargetMode="External"/><Relationship Id="rId1682" Type="http://schemas.openxmlformats.org/officeDocument/2006/relationships/header" Target="header272.xml"/><Relationship Id="rId2319" Type="http://schemas.openxmlformats.org/officeDocument/2006/relationships/header" Target="header394.xml"/><Relationship Id="rId400" Type="http://schemas.openxmlformats.org/officeDocument/2006/relationships/footer" Target="footer35.xml"/><Relationship Id="rId705" Type="http://schemas.openxmlformats.org/officeDocument/2006/relationships/hyperlink" Target="https://advance.lexis.com/api/document?collection=cases&amp;id=urn:contentItem:7XWF-GVX0-YB0R-N003-00000-00&amp;context=" TargetMode="External"/><Relationship Id="rId1128" Type="http://schemas.openxmlformats.org/officeDocument/2006/relationships/header" Target="header174.xml"/><Relationship Id="rId1335" Type="http://schemas.openxmlformats.org/officeDocument/2006/relationships/footer" Target="footer202.xml"/><Relationship Id="rId1542" Type="http://schemas.openxmlformats.org/officeDocument/2006/relationships/hyperlink" Target="https://advance.lexis.com/api/document?collection=cases&amp;id=urn:contentItem:3RX4-C5N0-003G-254B-00000-00&amp;context=" TargetMode="External"/><Relationship Id="rId1987" Type="http://schemas.openxmlformats.org/officeDocument/2006/relationships/hyperlink" Target="https://advance.lexis.com/api/document?collection=cases&amp;id=urn:contentItem:3RX4-2Y00-003G-20BG-00000-00&amp;context=" TargetMode="External"/><Relationship Id="rId912" Type="http://schemas.openxmlformats.org/officeDocument/2006/relationships/hyperlink" Target="https://advance.lexis.com/api/document?collection=cases&amp;id=urn:contentItem:3RX4-3K80-003G-21MW-00000-00&amp;context=" TargetMode="External"/><Relationship Id="rId1847" Type="http://schemas.openxmlformats.org/officeDocument/2006/relationships/header" Target="header298.xml"/><Relationship Id="rId41" Type="http://schemas.openxmlformats.org/officeDocument/2006/relationships/hyperlink" Target="https://advance.lexis.com/api/document?collection=cases&amp;id=urn:contentItem:3RPY-5F80-0039-443D-00000-00&amp;context=" TargetMode="External"/><Relationship Id="rId1402" Type="http://schemas.openxmlformats.org/officeDocument/2006/relationships/footer" Target="footer226.xml"/><Relationship Id="rId1707" Type="http://schemas.openxmlformats.org/officeDocument/2006/relationships/hyperlink" Target="https://advance.lexis.com/api/document?collection=jury-instructions&amp;id=urn:contentItem:5T0Y-CDN0-01KN-B058-00000-00&amp;context=" TargetMode="External"/><Relationship Id="rId190" Type="http://schemas.openxmlformats.org/officeDocument/2006/relationships/hyperlink" Target="https://advance.lexis.com/api/document?id=urn:contentItem:5T0Y-CDN0-01KN-B022-00000-00&amp;idtype=PID&amp;context=1000516" TargetMode="External"/><Relationship Id="rId288" Type="http://schemas.openxmlformats.org/officeDocument/2006/relationships/hyperlink" Target="https://advance.lexis.com/api/document?id=urn:contentItem:5T0Y-CDN0-01KN-B023-00000-00&amp;idtype=PID&amp;context=1000516" TargetMode="External"/><Relationship Id="rId1914" Type="http://schemas.openxmlformats.org/officeDocument/2006/relationships/hyperlink" Target="https://advance.lexis.com/api/document?collection=jury-instructions&amp;id=urn:contentItem:5T0Y-CDN0-01KN-B05R-00000-00&amp;context=" TargetMode="External"/><Relationship Id="rId495" Type="http://schemas.openxmlformats.org/officeDocument/2006/relationships/footer" Target="footer57.xml"/><Relationship Id="rId2176" Type="http://schemas.openxmlformats.org/officeDocument/2006/relationships/hyperlink" Target="https://advance.lexis.com/api/document?id=urn:contentItem:5T0Y-CDN0-01KN-B07D-00000-00&amp;idtype=PID&amp;context=1000516" TargetMode="External"/><Relationship Id="rId2383" Type="http://schemas.openxmlformats.org/officeDocument/2006/relationships/footer" Target="footer403.xml"/><Relationship Id="rId148" Type="http://schemas.openxmlformats.org/officeDocument/2006/relationships/hyperlink" Target="https://advance.lexis.com/api/document?collection=cases&amp;id=urn:contentItem:3RX6-DY60-003G-223D-00000-00&amp;context=" TargetMode="External"/><Relationship Id="rId355" Type="http://schemas.openxmlformats.org/officeDocument/2006/relationships/hyperlink" Target="https://advance.lexis.com/api/document?collection=cases&amp;id=urn:contentItem:3S12-2DD0-003D-Y1CJ-00000-00&amp;context=" TargetMode="External"/><Relationship Id="rId562" Type="http://schemas.openxmlformats.org/officeDocument/2006/relationships/hyperlink" Target="https://advance.lexis.com/api/document?collection=jury-instructions&amp;id=urn:contentItem:5T0Y-CDN0-01KN-B032-00000-00&amp;context=" TargetMode="External"/><Relationship Id="rId1192" Type="http://schemas.openxmlformats.org/officeDocument/2006/relationships/footer" Target="footer181.xml"/><Relationship Id="rId2036" Type="http://schemas.openxmlformats.org/officeDocument/2006/relationships/footer" Target="footer339.xml"/><Relationship Id="rId2243" Type="http://schemas.openxmlformats.org/officeDocument/2006/relationships/header" Target="header377.xml"/><Relationship Id="rId2450" Type="http://schemas.openxmlformats.org/officeDocument/2006/relationships/hyperlink" Target="https://advance.lexis.com/api/document?collection=cases&amp;id=urn:contentItem:3RX4-3SF0-003G-2219-00000-00&amp;context=" TargetMode="External"/><Relationship Id="rId215" Type="http://schemas.openxmlformats.org/officeDocument/2006/relationships/hyperlink" Target="https://advance.lexis.com/api/document?collection=jury-instructions&amp;id=urn:contentItem:5T0Y-CDN0-01KN-B021-00000-00&amp;context=" TargetMode="External"/><Relationship Id="rId422" Type="http://schemas.openxmlformats.org/officeDocument/2006/relationships/footer" Target="footer45.xml"/><Relationship Id="rId867" Type="http://schemas.openxmlformats.org/officeDocument/2006/relationships/hyperlink" Target="https://advance.lexis.com/api/document?collection=cases&amp;id=urn:contentItem:3S4V-NYY0-0054-82M2-00000-00&amp;context=" TargetMode="External"/><Relationship Id="rId1052" Type="http://schemas.openxmlformats.org/officeDocument/2006/relationships/hyperlink" Target="https://advance.lexis.com/api/document?collection=cases&amp;id=urn:contentItem:3RX4-3GT0-003G-21FR-00000-00&amp;context=" TargetMode="External"/><Relationship Id="rId1497" Type="http://schemas.openxmlformats.org/officeDocument/2006/relationships/hyperlink" Target="https://advance.lexis.com/api/document?collection=cases&amp;id=urn:contentItem:3RX4-4M20-003G-23TG-00000-00&amp;context=" TargetMode="External"/><Relationship Id="rId2103" Type="http://schemas.openxmlformats.org/officeDocument/2006/relationships/hyperlink" Target="https://advance.lexis.com/api/document?collection=cases&amp;id=urn:contentItem:3RX4-CC70-003G-20B9-00000-00&amp;context=" TargetMode="External"/><Relationship Id="rId2310" Type="http://schemas.openxmlformats.org/officeDocument/2006/relationships/hyperlink" Target="https://advance.lexis.com/api/document?collection=cases&amp;id=urn:contentItem:59PP-6911-F04G-T01R-00000-00&amp;context=" TargetMode="External"/><Relationship Id="rId727" Type="http://schemas.openxmlformats.org/officeDocument/2006/relationships/footer" Target="footer109.xml"/><Relationship Id="rId934" Type="http://schemas.openxmlformats.org/officeDocument/2006/relationships/header" Target="header149.xml"/><Relationship Id="rId1357" Type="http://schemas.openxmlformats.org/officeDocument/2006/relationships/hyperlink" Target="https://advance.lexis.com/api/document?collection=jury-instructions&amp;id=urn:contentItem:5T0Y-CDN0-01KN-B04H-00000-00&amp;context=" TargetMode="External"/><Relationship Id="rId1564" Type="http://schemas.openxmlformats.org/officeDocument/2006/relationships/hyperlink" Target="https://advance.lexis.com/api/document?collection=cases&amp;id=urn:contentItem:3RX4-BV80-003G-24BC-00000-00&amp;context=" TargetMode="External"/><Relationship Id="rId1771" Type="http://schemas.openxmlformats.org/officeDocument/2006/relationships/hyperlink" Target="https://advance.lexis.com/api/document?collection=cases&amp;id=urn:contentItem:3RX4-CJN0-003G-20WJ-00000-00&amp;context=" TargetMode="External"/><Relationship Id="rId2408" Type="http://schemas.openxmlformats.org/officeDocument/2006/relationships/hyperlink" Target="https://advance.lexis.com/api/document?collection=cases&amp;id=urn:contentItem:3RX4-98N0-003G-20HH-00000-00&amp;context=" TargetMode="External"/><Relationship Id="rId63" Type="http://schemas.openxmlformats.org/officeDocument/2006/relationships/hyperlink" Target="https://advance.lexis.com/api/document?collection=jury-instructions&amp;id=urn:contentItem:5T0Y-CDN0-01KN-B01N-00000-00&amp;context=" TargetMode="External"/><Relationship Id="rId1217" Type="http://schemas.openxmlformats.org/officeDocument/2006/relationships/hyperlink" Target="https://advance.lexis.com/api/document?collection=cases&amp;id=urn:contentItem:3S12-2MX0-003D-Y2DV-00000-00&amp;context=" TargetMode="External"/><Relationship Id="rId1424" Type="http://schemas.openxmlformats.org/officeDocument/2006/relationships/hyperlink" Target="https://advance.lexis.com/api/document?id=urn:contentItem:5T0Y-CDN0-01KN-B04X-00000-00&amp;idtype=PID&amp;context=1000516" TargetMode="External"/><Relationship Id="rId1631" Type="http://schemas.openxmlformats.org/officeDocument/2006/relationships/hyperlink" Target="https://advance.lexis.com/api/document?id=urn:contentItem:5T0Y-CDN0-01KN-B05F-00000-00&amp;idtype=PID&amp;context=1000516" TargetMode="External"/><Relationship Id="rId1869" Type="http://schemas.openxmlformats.org/officeDocument/2006/relationships/hyperlink" Target="https://advance.lexis.com/api/document?collection=cases&amp;id=urn:contentItem:4PJN-62D0-TX4N-G003-00000-00&amp;context=" TargetMode="External"/><Relationship Id="rId1729" Type="http://schemas.openxmlformats.org/officeDocument/2006/relationships/header" Target="header283.xml"/><Relationship Id="rId1936" Type="http://schemas.openxmlformats.org/officeDocument/2006/relationships/hyperlink" Target="https://advance.lexis.com/api/document?collection=cases&amp;id=urn:contentItem:3RX4-B6B0-003G-22S3-00000-00&amp;context=" TargetMode="External"/><Relationship Id="rId2198" Type="http://schemas.openxmlformats.org/officeDocument/2006/relationships/hyperlink" Target="https://advance.lexis.com/api/document?collection=cases&amp;id=urn:contentItem:3RX4-97S0-003G-20FC-00000-00&amp;context=" TargetMode="External"/><Relationship Id="rId377" Type="http://schemas.openxmlformats.org/officeDocument/2006/relationships/hyperlink" Target="https://advance.lexis.com/api/document?id=urn:contentItem:5T0Y-CDN0-01KN-B02N-00000-00&amp;idtype=PID&amp;context=1000516" TargetMode="External"/><Relationship Id="rId584" Type="http://schemas.openxmlformats.org/officeDocument/2006/relationships/footer" Target="footer80.xml"/><Relationship Id="rId2058" Type="http://schemas.openxmlformats.org/officeDocument/2006/relationships/hyperlink" Target="https://advance.lexis.com/api/document?collection=jury-instructions&amp;id=urn:contentItem:5T0Y-CDN0-01KN-B070-00000-00&amp;context=" TargetMode="External"/><Relationship Id="rId2265" Type="http://schemas.openxmlformats.org/officeDocument/2006/relationships/hyperlink" Target="https://advance.lexis.com/api/document?collection=cases&amp;id=urn:contentItem:5617-H6T1-F04G-T033-00000-00&amp;context=" TargetMode="External"/><Relationship Id="rId5" Type="http://schemas.openxmlformats.org/officeDocument/2006/relationships/endnotes" Target="endnotes.xml"/><Relationship Id="rId237" Type="http://schemas.openxmlformats.org/officeDocument/2006/relationships/hyperlink" Target="https://advance.lexis.com/api/document?collection=cases&amp;id=urn:contentItem:3RX4-2SV0-003G-2032-00000-00&amp;context=" TargetMode="External"/><Relationship Id="rId791" Type="http://schemas.openxmlformats.org/officeDocument/2006/relationships/hyperlink" Target="https://advance.lexis.com/api/document?collection=cases&amp;id=urn:contentItem:3RX4-4020-003G-22DB-00000-00&amp;context=" TargetMode="External"/><Relationship Id="rId889" Type="http://schemas.openxmlformats.org/officeDocument/2006/relationships/footer" Target="footer145.xml"/><Relationship Id="rId1074" Type="http://schemas.openxmlformats.org/officeDocument/2006/relationships/hyperlink" Target="https://advance.lexis.com/api/document?collection=cases&amp;id=urn:contentItem:3RX4-B1V0-003G-22C0-00000-00&amp;context=" TargetMode="External"/><Relationship Id="rId2472" Type="http://schemas.openxmlformats.org/officeDocument/2006/relationships/hyperlink" Target="https://advance.lexis.com/api/document?collection=cases&amp;id=urn:contentItem:48KW-0TT0-0039-43WT-00000-00&amp;context=" TargetMode="External"/><Relationship Id="rId444" Type="http://schemas.openxmlformats.org/officeDocument/2006/relationships/hyperlink" Target="https://advance.lexis.com/api/document?collection=cases&amp;id=urn:contentItem:3RX4-9PP0-003G-21JW-00000-00&amp;context=" TargetMode="External"/><Relationship Id="rId651" Type="http://schemas.openxmlformats.org/officeDocument/2006/relationships/footer" Target="footer96.xml"/><Relationship Id="rId749" Type="http://schemas.openxmlformats.org/officeDocument/2006/relationships/hyperlink" Target="https://advance.lexis.com/api/document?collection=cases&amp;id=urn:contentItem:3RX4-CNN0-003G-217H-00000-00&amp;context=" TargetMode="External"/><Relationship Id="rId1281" Type="http://schemas.openxmlformats.org/officeDocument/2006/relationships/hyperlink" Target="https://advance.lexis.com/api/document?collection=cases&amp;id=urn:contentItem:3RX4-BFF0-003G-23CM-00000-00&amp;context=" TargetMode="External"/><Relationship Id="rId1379" Type="http://schemas.openxmlformats.org/officeDocument/2006/relationships/header" Target="header220.xml"/><Relationship Id="rId1586" Type="http://schemas.openxmlformats.org/officeDocument/2006/relationships/hyperlink" Target="https://advance.lexis.com/api/document?collection=cases&amp;id=urn:contentItem:801F-XGM1-2RHN-X009-00000-00&amp;context=" TargetMode="External"/><Relationship Id="rId2125" Type="http://schemas.openxmlformats.org/officeDocument/2006/relationships/hyperlink" Target="https://advance.lexis.com/api/document?collection=jury-instructions&amp;id=urn:contentItem:5T0Y-CDN0-01KN-B075-00000-00&amp;context=" TargetMode="External"/><Relationship Id="rId2332" Type="http://schemas.openxmlformats.org/officeDocument/2006/relationships/footer" Target="footer398.xml"/><Relationship Id="rId304" Type="http://schemas.openxmlformats.org/officeDocument/2006/relationships/hyperlink" Target="https://advance.lexis.com/api/document?collection=cases&amp;id=urn:contentItem:3RX4-8KF0-003G-247X-00000-00&amp;context=" TargetMode="External"/><Relationship Id="rId511" Type="http://schemas.openxmlformats.org/officeDocument/2006/relationships/hyperlink" Target="https://advance.lexis.com/api/document?collection=cases&amp;id=urn:contentItem:43BY-BPC0-0039-4036-00000-00&amp;context=" TargetMode="External"/><Relationship Id="rId609" Type="http://schemas.openxmlformats.org/officeDocument/2006/relationships/footer" Target="footer85.xml"/><Relationship Id="rId956" Type="http://schemas.openxmlformats.org/officeDocument/2006/relationships/hyperlink" Target="https://advance.lexis.com/api/document?collection=cases&amp;id=urn:contentItem:3RX4-9HV0-003G-2150-00000-00&amp;context=" TargetMode="External"/><Relationship Id="rId1141" Type="http://schemas.openxmlformats.org/officeDocument/2006/relationships/hyperlink" Target="https://advance.lexis.com/api/document?collection=cases&amp;id=urn:contentItem:3S12-28G0-003D-Y0TG-00000-00&amp;context=" TargetMode="External"/><Relationship Id="rId1239" Type="http://schemas.openxmlformats.org/officeDocument/2006/relationships/header" Target="header188.xml"/><Relationship Id="rId1793" Type="http://schemas.openxmlformats.org/officeDocument/2006/relationships/header" Target="header292.xml"/><Relationship Id="rId85" Type="http://schemas.openxmlformats.org/officeDocument/2006/relationships/footer" Target="footer20.xml"/><Relationship Id="rId816" Type="http://schemas.openxmlformats.org/officeDocument/2006/relationships/hyperlink" Target="https://advance.lexis.com/api/document?collection=jury-instructions&amp;id=urn:contentItem:5T0Y-CDN0-01KN-B03P-00000-00&amp;context=" TargetMode="External"/><Relationship Id="rId1001" Type="http://schemas.openxmlformats.org/officeDocument/2006/relationships/hyperlink" Target="https://advance.lexis.com/api/document?collection=cases&amp;id=urn:contentItem:3RX4-B1V0-003G-22C0-00000-00&amp;context=" TargetMode="External"/><Relationship Id="rId1446" Type="http://schemas.openxmlformats.org/officeDocument/2006/relationships/footer" Target="footer235.xml"/><Relationship Id="rId1653" Type="http://schemas.openxmlformats.org/officeDocument/2006/relationships/hyperlink" Target="https://advance.lexis.com/api/document?collection=cases&amp;id=urn:contentItem:3RX4-8TY0-003G-24R4-00000-00&amp;context=" TargetMode="External"/><Relationship Id="rId1860" Type="http://schemas.openxmlformats.org/officeDocument/2006/relationships/hyperlink" Target="https://advance.lexis.com/api/document?collection=cases&amp;id=urn:contentItem:3RX4-36T0-003G-20WD-00000-00&amp;context=" TargetMode="External"/><Relationship Id="rId1306" Type="http://schemas.openxmlformats.org/officeDocument/2006/relationships/hyperlink" Target="https://advance.lexis.com/api/document?collection=cases&amp;id=urn:contentItem:3WCR-XDJ0-0039-42DH-00000-00&amp;context=" TargetMode="External"/><Relationship Id="rId1513" Type="http://schemas.openxmlformats.org/officeDocument/2006/relationships/hyperlink" Target="https://advance.lexis.com/api/document?collection=cases&amp;id=urn:contentItem:3VB4-06D0-0039-42J0-00000-00&amp;context=" TargetMode="External"/><Relationship Id="rId1720" Type="http://schemas.openxmlformats.org/officeDocument/2006/relationships/hyperlink" Target="https://advance.lexis.com/api/document?collection=cases&amp;id=urn:contentItem:3S4N-WB30-0039-S448-00000-00&amp;context=" TargetMode="External"/><Relationship Id="rId1958" Type="http://schemas.openxmlformats.org/officeDocument/2006/relationships/hyperlink" Target="https://advance.lexis.com/api/document?collection=cases&amp;id=urn:contentItem:3S12-2GK0-003D-Y1R3-00000-00&amp;context=" TargetMode="External"/><Relationship Id="rId12" Type="http://schemas.openxmlformats.org/officeDocument/2006/relationships/hyperlink" Target="https://advance.lexis.com/api/document?id=urn:contentItem:5T0Y-CDN0-01KN-B01N-00000-00&amp;idtype=PID&amp;context=1000516" TargetMode="External"/><Relationship Id="rId1818" Type="http://schemas.openxmlformats.org/officeDocument/2006/relationships/hyperlink" Target="https://advance.lexis.com/api/document?collection=cases&amp;id=urn:contentItem:3RX4-9450-003G-2051-00000-00&amp;context=" TargetMode="External"/><Relationship Id="rId161" Type="http://schemas.openxmlformats.org/officeDocument/2006/relationships/header" Target="header30.xml"/><Relationship Id="rId399" Type="http://schemas.openxmlformats.org/officeDocument/2006/relationships/footer" Target="footer34.xml"/><Relationship Id="rId2287" Type="http://schemas.openxmlformats.org/officeDocument/2006/relationships/footer" Target="footer387.xml"/><Relationship Id="rId259" Type="http://schemas.openxmlformats.org/officeDocument/2006/relationships/hyperlink" Target="https://advance.lexis.com/api/document?collection=cases&amp;id=urn:contentItem:3RX4-CSK0-003G-21K1-00000-00&amp;context=" TargetMode="External"/><Relationship Id="rId466" Type="http://schemas.openxmlformats.org/officeDocument/2006/relationships/hyperlink" Target="https://advance.lexis.com/api/document?collection=cases&amp;id=urn:contentItem:5CV0-0MD1-DXHK-P000-00000-00&amp;context=" TargetMode="External"/><Relationship Id="rId673" Type="http://schemas.openxmlformats.org/officeDocument/2006/relationships/hyperlink" Target="https://advance.lexis.com/api/document?id=urn:contentItem:5T0Y-CDN0-01KN-B03D-00000-00&amp;idtype=PID&amp;context=1000516" TargetMode="External"/><Relationship Id="rId880" Type="http://schemas.openxmlformats.org/officeDocument/2006/relationships/hyperlink" Target="https://advance.lexis.com/api/document?collection=cases&amp;id=urn:contentItem:5FWB-3661-F04G-T011-00000-00&amp;context=" TargetMode="External"/><Relationship Id="rId1096" Type="http://schemas.openxmlformats.org/officeDocument/2006/relationships/hyperlink" Target="https://advance.lexis.com/api/document?id=urn:contentItem:5T0Y-CDN0-01KN-B045-00000-00&amp;idtype=PID&amp;context=1000516" TargetMode="External"/><Relationship Id="rId2147" Type="http://schemas.openxmlformats.org/officeDocument/2006/relationships/hyperlink" Target="https://advance.lexis.com/api/document?collection=cases&amp;id=urn:contentItem:3RX4-49D0-003G-2353-00000-00&amp;context=" TargetMode="External"/><Relationship Id="rId2354" Type="http://schemas.openxmlformats.org/officeDocument/2006/relationships/hyperlink" Target="https://advance.lexis.com/api/document?collection=cases&amp;id=urn:contentItem:3RX4-3R80-003G-21XY-00000-00&amp;context=" TargetMode="External"/><Relationship Id="rId119" Type="http://schemas.openxmlformats.org/officeDocument/2006/relationships/header" Target="header23.xml"/><Relationship Id="rId326" Type="http://schemas.openxmlformats.org/officeDocument/2006/relationships/hyperlink" Target="https://advance.lexis.com/api/document?collection=cases&amp;id=urn:contentItem:42H3-9X30-0039-43KY-00000-00&amp;context=" TargetMode="External"/><Relationship Id="rId533" Type="http://schemas.openxmlformats.org/officeDocument/2006/relationships/hyperlink" Target="https://advance.lexis.com/api/document?id=urn:contentItem:5T0Y-CDN0-01KN-B036-00000-00&amp;idtype=PID&amp;context=1000516" TargetMode="External"/><Relationship Id="rId978" Type="http://schemas.openxmlformats.org/officeDocument/2006/relationships/hyperlink" Target="https://advance.lexis.com/api/document?collection=cases&amp;id=urn:contentItem:41M4-RDX0-0039-417D-00000-00&amp;context=" TargetMode="External"/><Relationship Id="rId1163" Type="http://schemas.openxmlformats.org/officeDocument/2006/relationships/hyperlink" Target="https://advance.lexis.com/api/document?collection=cases&amp;id=urn:contentItem:5FM1-XS91-F04G-S002-00000-00&amp;context=" TargetMode="External"/><Relationship Id="rId1370" Type="http://schemas.openxmlformats.org/officeDocument/2006/relationships/footer" Target="footer216.xml"/><Relationship Id="rId2007" Type="http://schemas.openxmlformats.org/officeDocument/2006/relationships/hyperlink" Target="https://advance.lexis.com/api/document?id=urn:contentItem:5T0Y-CDN0-01KN-B071-00000-00&amp;idtype=PID&amp;context=1000516" TargetMode="External"/><Relationship Id="rId2214" Type="http://schemas.openxmlformats.org/officeDocument/2006/relationships/hyperlink" Target="https://advance.lexis.com/api/document?collection=cases&amp;id=urn:contentItem:3S12-3JW0-003D-Y15Y-00000-00&amp;context=" TargetMode="External"/><Relationship Id="rId740" Type="http://schemas.openxmlformats.org/officeDocument/2006/relationships/hyperlink" Target="https://advance.lexis.com/api/document?collection=cases&amp;id=urn:contentItem:3RX4-CPP0-003G-21C2-00000-00&amp;context=" TargetMode="External"/><Relationship Id="rId838" Type="http://schemas.openxmlformats.org/officeDocument/2006/relationships/header" Target="header134.xml"/><Relationship Id="rId1023" Type="http://schemas.openxmlformats.org/officeDocument/2006/relationships/footer" Target="footer157.xml"/><Relationship Id="rId1468" Type="http://schemas.openxmlformats.org/officeDocument/2006/relationships/footer" Target="footer245.xml"/><Relationship Id="rId1675" Type="http://schemas.openxmlformats.org/officeDocument/2006/relationships/hyperlink" Target="https://advance.lexis.com/api/document?collection=cases&amp;id=urn:contentItem:4298-BG80-0039-42BD-00000-00&amp;context=" TargetMode="External"/><Relationship Id="rId1882" Type="http://schemas.openxmlformats.org/officeDocument/2006/relationships/footer" Target="footer308.xml"/><Relationship Id="rId2421" Type="http://schemas.openxmlformats.org/officeDocument/2006/relationships/hyperlink" Target="https://advance.lexis.com/api/document?collection=cases&amp;id=urn:contentItem:3RX4-B760-003G-22V2-00000-00&amp;context=" TargetMode="External"/><Relationship Id="rId600" Type="http://schemas.openxmlformats.org/officeDocument/2006/relationships/footer" Target="footer83.xml"/><Relationship Id="rId1230" Type="http://schemas.openxmlformats.org/officeDocument/2006/relationships/hyperlink" Target="https://advance.lexis.com/api/document?collection=cases&amp;id=urn:contentItem:3RX4-8RD0-003G-24H8-00000-00&amp;context=" TargetMode="External"/><Relationship Id="rId1328" Type="http://schemas.openxmlformats.org/officeDocument/2006/relationships/header" Target="header200.xml"/><Relationship Id="rId1535" Type="http://schemas.openxmlformats.org/officeDocument/2006/relationships/footer" Target="footer257.xml"/><Relationship Id="rId905" Type="http://schemas.openxmlformats.org/officeDocument/2006/relationships/hyperlink" Target="https://advance.lexis.com/api/document?collection=cases&amp;id=urn:contentItem:3S4X-81F0-003B-S142-00000-00&amp;context=" TargetMode="External"/><Relationship Id="rId1742" Type="http://schemas.openxmlformats.org/officeDocument/2006/relationships/hyperlink" Target="https://advance.lexis.com/api/document?collection=cases&amp;id=urn:contentItem:3RX4-3CK0-003G-216W-00000-00&amp;context=" TargetMode="External"/><Relationship Id="rId34" Type="http://schemas.openxmlformats.org/officeDocument/2006/relationships/header" Target="header5.xml"/><Relationship Id="rId1602" Type="http://schemas.openxmlformats.org/officeDocument/2006/relationships/hyperlink" Target="https://advance.lexis.com/api/document?collection=cases&amp;id=urn:contentItem:3RX4-9C70-003G-20RN-00000-00&amp;context=" TargetMode="External"/><Relationship Id="rId183" Type="http://schemas.openxmlformats.org/officeDocument/2006/relationships/hyperlink" Target="https://advance.lexis.com/api/document?id=urn:contentItem:5T0Y-CDN0-01KN-B01Y-00000-00&amp;idtype=PID&amp;context=1000516" TargetMode="External"/><Relationship Id="rId390" Type="http://schemas.openxmlformats.org/officeDocument/2006/relationships/hyperlink" Target="https://advance.lexis.com/api/document?id=urn:contentItem:5T0Y-CDN0-01KN-B02W-00000-00&amp;idtype=PID&amp;context=1000516" TargetMode="External"/><Relationship Id="rId1907" Type="http://schemas.openxmlformats.org/officeDocument/2006/relationships/hyperlink" Target="https://advance.lexis.com/api/document?collection=jury-instructions&amp;id=urn:contentItem:5T0Y-CDN0-01KN-B05P-00000-00&amp;context=" TargetMode="External"/><Relationship Id="rId2071" Type="http://schemas.openxmlformats.org/officeDocument/2006/relationships/hyperlink" Target="https://advance.lexis.com/api/document?collection=cases&amp;id=urn:contentItem:3RX4-3HK0-003G-21HC-00000-00&amp;context=" TargetMode="External"/><Relationship Id="rId250" Type="http://schemas.openxmlformats.org/officeDocument/2006/relationships/hyperlink" Target="https://advance.lexis.com/api/document?collection=cases&amp;id=urn:contentItem:3RX4-CSW0-003G-21KX-00000-00&amp;context=" TargetMode="External"/><Relationship Id="rId488" Type="http://schemas.openxmlformats.org/officeDocument/2006/relationships/hyperlink" Target="https://advance.lexis.com/api/document?collection=cases&amp;id=urn:contentItem:7XY1-WCS0-YB0R-N000-00000-00&amp;context=" TargetMode="External"/><Relationship Id="rId695" Type="http://schemas.openxmlformats.org/officeDocument/2006/relationships/footer" Target="footer102.xml"/><Relationship Id="rId2169" Type="http://schemas.openxmlformats.org/officeDocument/2006/relationships/hyperlink" Target="https://advance.lexis.com/api/document?id=urn:contentItem:5T0Y-CDN0-01KN-B079-00000-00&amp;idtype=PID&amp;context=1000516" TargetMode="External"/><Relationship Id="rId2376" Type="http://schemas.openxmlformats.org/officeDocument/2006/relationships/header" Target="header401.xml"/><Relationship Id="rId110" Type="http://schemas.openxmlformats.org/officeDocument/2006/relationships/hyperlink" Target="https://advance.lexis.com/api/document?collection=cases&amp;id=urn:contentItem:3RX4-32S0-003G-20KP-00000-00&amp;context=" TargetMode="External"/><Relationship Id="rId348" Type="http://schemas.openxmlformats.org/officeDocument/2006/relationships/hyperlink" Target="https://advance.lexis.com/api/document?collection=cases&amp;id=urn:contentItem:423B-Y400-0039-42KW-00000-00&amp;context=" TargetMode="External"/><Relationship Id="rId555" Type="http://schemas.openxmlformats.org/officeDocument/2006/relationships/hyperlink" Target="https://advance.lexis.com/api/document?collection=jury-instructions&amp;id=urn:contentItem:5T0Y-CDN0-01KN-B031-00000-00&amp;context=" TargetMode="External"/><Relationship Id="rId762" Type="http://schemas.openxmlformats.org/officeDocument/2006/relationships/header" Target="header114.xml"/><Relationship Id="rId1185" Type="http://schemas.openxmlformats.org/officeDocument/2006/relationships/hyperlink" Target="https://advance.lexis.com/api/document?collection=cases&amp;id=urn:contentItem:5MYB-13X1-JKHB-6242-00000-00&amp;context=" TargetMode="External"/><Relationship Id="rId1392" Type="http://schemas.openxmlformats.org/officeDocument/2006/relationships/hyperlink" Target="https://advance.lexis.com/api/document?collection=jury-instructions&amp;id=urn:contentItem:5T0Y-CDN0-01KN-B04N-00000-00&amp;context=" TargetMode="External"/><Relationship Id="rId2029" Type="http://schemas.openxmlformats.org/officeDocument/2006/relationships/footer" Target="footer336.xml"/><Relationship Id="rId2236" Type="http://schemas.openxmlformats.org/officeDocument/2006/relationships/hyperlink" Target="https://advance.lexis.com/api/document?collection=cases&amp;id=urn:contentItem:3RX4-CTR0-003G-21PV-00000-00&amp;context=" TargetMode="External"/><Relationship Id="rId2443" Type="http://schemas.openxmlformats.org/officeDocument/2006/relationships/hyperlink" Target="https://advance.lexis.com/api/document?collection=cases&amp;id=urn:contentItem:3RX4-3H20-003G-21G8-00000-00&amp;context=" TargetMode="External"/><Relationship Id="rId208" Type="http://schemas.openxmlformats.org/officeDocument/2006/relationships/hyperlink" Target="https://advance.lexis.com/api/document?collection=cases&amp;id=urn:contentItem:3RX4-8KD0-003G-247V-00000-00&amp;context=" TargetMode="External"/><Relationship Id="rId415" Type="http://schemas.openxmlformats.org/officeDocument/2006/relationships/footer" Target="footer42.xml"/><Relationship Id="rId622" Type="http://schemas.openxmlformats.org/officeDocument/2006/relationships/hyperlink" Target="https://advance.lexis.com/api/document?collection=jury-instructions&amp;id=urn:contentItem:5T0Y-CDN0-01KN-B037-00000-00&amp;context=" TargetMode="External"/><Relationship Id="rId1045" Type="http://schemas.openxmlformats.org/officeDocument/2006/relationships/hyperlink" Target="https://advance.lexis.com/api/document?collection=cases&amp;id=urn:contentItem:3RX4-3R00-003G-21XC-00000-00&amp;context=" TargetMode="External"/><Relationship Id="rId1252" Type="http://schemas.openxmlformats.org/officeDocument/2006/relationships/hyperlink" Target="https://advance.lexis.com/api/document?collection=cases&amp;id=urn:contentItem:3RX4-4850-003G-232D-00000-00&amp;context=" TargetMode="External"/><Relationship Id="rId1697" Type="http://schemas.openxmlformats.org/officeDocument/2006/relationships/hyperlink" Target="https://advance.lexis.com/api/document?collection=cases&amp;id=urn:contentItem:3RX4-9FY0-003G-210K-00000-00&amp;context=" TargetMode="External"/><Relationship Id="rId2303" Type="http://schemas.openxmlformats.org/officeDocument/2006/relationships/footer" Target="footer391.xml"/><Relationship Id="rId927" Type="http://schemas.openxmlformats.org/officeDocument/2006/relationships/hyperlink" Target="https://advance.lexis.com/api/document?collection=cases&amp;id=urn:contentItem:3RX4-BBD0-003G-2344-00000-00&amp;context=" TargetMode="External"/><Relationship Id="rId1112" Type="http://schemas.openxmlformats.org/officeDocument/2006/relationships/header" Target="header167.xml"/><Relationship Id="rId1557" Type="http://schemas.openxmlformats.org/officeDocument/2006/relationships/footer" Target="footer261.xml"/><Relationship Id="rId1764" Type="http://schemas.openxmlformats.org/officeDocument/2006/relationships/hyperlink" Target="https://advance.lexis.com/api/document?collection=cases&amp;id=urn:contentItem:3RX4-CDF0-003G-20FR-00000-00&amp;context=" TargetMode="External"/><Relationship Id="rId1971" Type="http://schemas.openxmlformats.org/officeDocument/2006/relationships/footer" Target="footer325.xml"/><Relationship Id="rId56" Type="http://schemas.openxmlformats.org/officeDocument/2006/relationships/hyperlink" Target="https://advance.lexis.com/api/document?collection=jury-instructions&amp;id=urn:contentItem:5T0Y-CDN0-01KN-B01M-00000-00&amp;context=" TargetMode="External"/><Relationship Id="rId1417" Type="http://schemas.openxmlformats.org/officeDocument/2006/relationships/hyperlink" Target="https://advance.lexis.com/api/document?collection=cases&amp;id=urn:contentItem:4S86-3670-TX4N-G0PT-00000-00&amp;context=" TargetMode="External"/><Relationship Id="rId1624" Type="http://schemas.openxmlformats.org/officeDocument/2006/relationships/hyperlink" Target="https://advance.lexis.com/api/document?id=urn:contentItem:5T0Y-CDN0-01KN-B059-00000-00&amp;idtype=PID&amp;context=1000516" TargetMode="External"/><Relationship Id="rId1831" Type="http://schemas.openxmlformats.org/officeDocument/2006/relationships/hyperlink" Target="https://advance.lexis.com/api/document?id=urn:contentItem:5T0Y-CDN0-01KN-B05M-00000-00&amp;idtype=PID&amp;context=1000516" TargetMode="External"/><Relationship Id="rId1929" Type="http://schemas.openxmlformats.org/officeDocument/2006/relationships/header" Target="header322.xml"/><Relationship Id="rId2093" Type="http://schemas.openxmlformats.org/officeDocument/2006/relationships/footer" Target="footer355.xml"/><Relationship Id="rId2398" Type="http://schemas.openxmlformats.org/officeDocument/2006/relationships/hyperlink" Target="https://advance.lexis.com/api/document?collection=cases&amp;id=urn:contentItem:3RX4-38W0-003G-211M-00000-00&amp;context=" TargetMode="External"/><Relationship Id="rId272" Type="http://schemas.openxmlformats.org/officeDocument/2006/relationships/hyperlink" Target="https://advance.lexis.com/api/document?collection=cases&amp;id=urn:contentItem:3RX4-3PH0-003G-21WF-00000-00&amp;context=" TargetMode="External"/><Relationship Id="rId577" Type="http://schemas.openxmlformats.org/officeDocument/2006/relationships/hyperlink" Target="https://advance.lexis.com/api/document?collection=cases&amp;id=urn:contentItem:7XNC-6CC0-YB0R-N000-00000-00&amp;context=" TargetMode="External"/><Relationship Id="rId2160" Type="http://schemas.openxmlformats.org/officeDocument/2006/relationships/hyperlink" Target="https://advance.lexis.com/api/document?collection=cases&amp;id=urn:contentItem:3RX4-97S0-003G-20FC-00000-00&amp;context=" TargetMode="External"/><Relationship Id="rId2258" Type="http://schemas.openxmlformats.org/officeDocument/2006/relationships/header" Target="header379.xml"/><Relationship Id="rId132" Type="http://schemas.openxmlformats.org/officeDocument/2006/relationships/footer" Target="footer27.xml"/><Relationship Id="rId784" Type="http://schemas.openxmlformats.org/officeDocument/2006/relationships/header" Target="header122.xml"/><Relationship Id="rId991" Type="http://schemas.openxmlformats.org/officeDocument/2006/relationships/hyperlink" Target="https://advance.lexis.com/api/document?collection=cases&amp;id=urn:contentItem:3RX4-4900-003G-2343-00000-00&amp;context=" TargetMode="External"/><Relationship Id="rId1067" Type="http://schemas.openxmlformats.org/officeDocument/2006/relationships/hyperlink" Target="https://advance.lexis.com/api/document?collection=cases&amp;id=urn:contentItem:3RX4-CNN0-003G-217G-00000-00&amp;context=" TargetMode="External"/><Relationship Id="rId2020" Type="http://schemas.openxmlformats.org/officeDocument/2006/relationships/footer" Target="footer331.xml"/><Relationship Id="rId2465" Type="http://schemas.openxmlformats.org/officeDocument/2006/relationships/footer" Target="footer418.xml"/><Relationship Id="rId437" Type="http://schemas.openxmlformats.org/officeDocument/2006/relationships/header" Target="header51.xml"/><Relationship Id="rId644" Type="http://schemas.openxmlformats.org/officeDocument/2006/relationships/hyperlink" Target="https://advance.lexis.com/api/document?collection=cases&amp;id=urn:contentItem:3RX4-4NN0-003G-23XM-00000-00&amp;context=" TargetMode="External"/><Relationship Id="rId851" Type="http://schemas.openxmlformats.org/officeDocument/2006/relationships/header" Target="header140.xml"/><Relationship Id="rId1274" Type="http://schemas.openxmlformats.org/officeDocument/2006/relationships/header" Target="header194.xml"/><Relationship Id="rId1481" Type="http://schemas.openxmlformats.org/officeDocument/2006/relationships/hyperlink" Target="https://advance.lexis.com/api/document?collection=cases&amp;id=urn:contentItem:3RX4-4MP0-003G-23VV-00000-00&amp;context=" TargetMode="External"/><Relationship Id="rId1579" Type="http://schemas.openxmlformats.org/officeDocument/2006/relationships/hyperlink" Target="https://advance.lexis.com/api/document?collection=cases&amp;id=urn:contentItem:3RX4-8BC0-003G-23N8-00000-00&amp;context=" TargetMode="External"/><Relationship Id="rId2118" Type="http://schemas.openxmlformats.org/officeDocument/2006/relationships/hyperlink" Target="https://advance.lexis.com/api/document?collection=analytical-materials&amp;id=urn:contentItem:4M8W-T3B0-00CT-Y025-00000-00&amp;context=" TargetMode="External"/><Relationship Id="rId2325" Type="http://schemas.openxmlformats.org/officeDocument/2006/relationships/hyperlink" Target="https://advance.lexis.com/api/document?collection=jury-instructions&amp;id=urn:contentItem:5T0Y-CDN0-01KN-B07G-00000-00&amp;context=" TargetMode="External"/><Relationship Id="rId504" Type="http://schemas.openxmlformats.org/officeDocument/2006/relationships/header" Target="header61.xml"/><Relationship Id="rId711" Type="http://schemas.openxmlformats.org/officeDocument/2006/relationships/header" Target="header107.xml"/><Relationship Id="rId949" Type="http://schemas.openxmlformats.org/officeDocument/2006/relationships/header" Target="header153.xml"/><Relationship Id="rId1134" Type="http://schemas.openxmlformats.org/officeDocument/2006/relationships/hyperlink" Target="https://advance.lexis.com/api/document?collection=cases&amp;id=urn:contentItem:3RX4-3MJ0-003G-21RJ-00000-00&amp;context=" TargetMode="External"/><Relationship Id="rId1341" Type="http://schemas.openxmlformats.org/officeDocument/2006/relationships/header" Target="header205.xml"/><Relationship Id="rId1786" Type="http://schemas.openxmlformats.org/officeDocument/2006/relationships/header" Target="header289.xml"/><Relationship Id="rId1993" Type="http://schemas.openxmlformats.org/officeDocument/2006/relationships/hyperlink" Target="https://advance.lexis.com/api/document?collection=cases&amp;id=urn:contentItem:3S4X-JNG0-0039-P017-00000-00&amp;context=" TargetMode="External"/><Relationship Id="rId78" Type="http://schemas.openxmlformats.org/officeDocument/2006/relationships/footer" Target="footer18.xml"/><Relationship Id="rId143" Type="http://schemas.openxmlformats.org/officeDocument/2006/relationships/hyperlink" Target="https://advance.lexis.com/api/document?collection=cases&amp;id=urn:contentItem:3RX4-5G50-003G-20M1-00000-00&amp;context=" TargetMode="External"/><Relationship Id="rId350" Type="http://schemas.openxmlformats.org/officeDocument/2006/relationships/hyperlink" Target="https://advance.lexis.com/api/document?collection=cases&amp;id=urn:contentItem:3RX4-8BK0-003G-23NV-00000-00&amp;context=" TargetMode="External"/><Relationship Id="rId588" Type="http://schemas.openxmlformats.org/officeDocument/2006/relationships/hyperlink" Target="https://advance.lexis.com/api/document?collection=cases&amp;id=urn:contentItem:3RX4-4N30-003G-23WG-00000-00&amp;context=" TargetMode="External"/><Relationship Id="rId795" Type="http://schemas.openxmlformats.org/officeDocument/2006/relationships/header" Target="header124.xml"/><Relationship Id="rId809" Type="http://schemas.openxmlformats.org/officeDocument/2006/relationships/hyperlink" Target="https://advance.lexis.com/api/document?collection=jury-instructions&amp;id=urn:contentItem:5T0Y-CDN0-01KN-B03N-00000-00&amp;context=" TargetMode="External"/><Relationship Id="rId1201" Type="http://schemas.openxmlformats.org/officeDocument/2006/relationships/hyperlink" Target="https://advance.lexis.com/api/document?collection=cases&amp;id=urn:contentItem:3RX4-3YN0-003G-22CM-00000-00&amp;context=" TargetMode="External"/><Relationship Id="rId1439" Type="http://schemas.openxmlformats.org/officeDocument/2006/relationships/header" Target="header233.xml"/><Relationship Id="rId1646" Type="http://schemas.openxmlformats.org/officeDocument/2006/relationships/footer" Target="footer268.xml"/><Relationship Id="rId1853" Type="http://schemas.openxmlformats.org/officeDocument/2006/relationships/header" Target="header301.xml"/><Relationship Id="rId2031" Type="http://schemas.openxmlformats.org/officeDocument/2006/relationships/header" Target="header337.xml"/><Relationship Id="rId2269" Type="http://schemas.openxmlformats.org/officeDocument/2006/relationships/hyperlink" Target="https://advance.lexis.com/api/document?collection=cases&amp;id=urn:contentItem:5739-2K51-F04G-S11P-00000-00&amp;context=" TargetMode="External"/><Relationship Id="rId2476" Type="http://schemas.openxmlformats.org/officeDocument/2006/relationships/header" Target="header421.xml"/><Relationship Id="rId9" Type="http://schemas.openxmlformats.org/officeDocument/2006/relationships/hyperlink" Target="https://advance.lexis.com/api/document?id=urn:contentItem:5T0Y-CDN0-01KN-B01M-00000-00&amp;idtype=PID&amp;context=1000516" TargetMode="External"/><Relationship Id="rId210" Type="http://schemas.openxmlformats.org/officeDocument/2006/relationships/hyperlink" Target="https://advance.lexis.com/api/document?collection=cases&amp;id=urn:contentItem:3RX4-4G30-003G-23H2-00000-00&amp;context=" TargetMode="External"/><Relationship Id="rId448" Type="http://schemas.openxmlformats.org/officeDocument/2006/relationships/hyperlink" Target="https://advance.lexis.com/api/document?collection=cases&amp;id=urn:contentItem:3S12-3510-003D-Y4KC-00000-00&amp;context=" TargetMode="External"/><Relationship Id="rId655" Type="http://schemas.openxmlformats.org/officeDocument/2006/relationships/header" Target="header98.xml"/><Relationship Id="rId862" Type="http://schemas.openxmlformats.org/officeDocument/2006/relationships/hyperlink" Target="https://advance.lexis.com/api/document?collection=cases&amp;id=urn:contentItem:4KHB-2250-0039-40X1-00000-00&amp;context=" TargetMode="External"/><Relationship Id="rId1078" Type="http://schemas.openxmlformats.org/officeDocument/2006/relationships/hyperlink" Target="https://advance.lexis.com/api/document?collection=cases&amp;id=urn:contentItem:3RX4-BS60-003G-2457-00000-00&amp;context=" TargetMode="External"/><Relationship Id="rId1285" Type="http://schemas.openxmlformats.org/officeDocument/2006/relationships/hyperlink" Target="https://advance.lexis.com/api/document?collection=cases&amp;id=urn:contentItem:3RX4-3J90-003G-21JY-00000-00&amp;context=" TargetMode="External"/><Relationship Id="rId1492" Type="http://schemas.openxmlformats.org/officeDocument/2006/relationships/hyperlink" Target="https://advance.lexis.com/api/document?collection=cases&amp;id=urn:contentItem:3RX4-B500-003G-22MX-00000-00&amp;context=" TargetMode="External"/><Relationship Id="rId1506" Type="http://schemas.openxmlformats.org/officeDocument/2006/relationships/header" Target="header250.xml"/><Relationship Id="rId1713" Type="http://schemas.openxmlformats.org/officeDocument/2006/relationships/header" Target="header278.xml"/><Relationship Id="rId1920" Type="http://schemas.openxmlformats.org/officeDocument/2006/relationships/footer" Target="footer321.xml"/><Relationship Id="rId2129" Type="http://schemas.openxmlformats.org/officeDocument/2006/relationships/hyperlink" Target="https://advance.lexis.com/api/document?collection=cases&amp;id=urn:contentItem:3RX4-3VP0-003G-225R-00000-00&amp;context=" TargetMode="External"/><Relationship Id="rId2336" Type="http://schemas.openxmlformats.org/officeDocument/2006/relationships/hyperlink" Target="https://advance.lexis.com/api/document?collection=cases&amp;id=urn:contentItem:3RX4-3G80-003G-21DF-00000-00&amp;context=" TargetMode="External"/><Relationship Id="rId294" Type="http://schemas.openxmlformats.org/officeDocument/2006/relationships/hyperlink" Target="https://advance.lexis.com/api/document?id=urn:contentItem:5T0Y-CDN0-01KN-B026-00000-00&amp;idtype=PID&amp;context=1000516" TargetMode="External"/><Relationship Id="rId308" Type="http://schemas.openxmlformats.org/officeDocument/2006/relationships/hyperlink" Target="https://advance.lexis.com/api/document?collection=cases&amp;id=urn:contentItem:7YD7-12C0-YB0R-N000-00000-00&amp;context=" TargetMode="External"/><Relationship Id="rId515" Type="http://schemas.openxmlformats.org/officeDocument/2006/relationships/hyperlink" Target="https://advance.lexis.com/api/document?collection=cases&amp;id=urn:contentItem:3RX4-BV60-003G-24B7-00000-00&amp;context=" TargetMode="External"/><Relationship Id="rId722" Type="http://schemas.openxmlformats.org/officeDocument/2006/relationships/hyperlink" Target="https://advance.lexis.com/api/document?collection=cases&amp;id=urn:contentItem:3W6N-K9W0-0039-448F-00000-00&amp;context=" TargetMode="External"/><Relationship Id="rId1145" Type="http://schemas.openxmlformats.org/officeDocument/2006/relationships/hyperlink" Target="https://advance.lexis.com/api/document?collection=cases&amp;id=urn:contentItem:3RX4-4SP0-003G-2447-00000-00&amp;context=" TargetMode="External"/><Relationship Id="rId1352" Type="http://schemas.openxmlformats.org/officeDocument/2006/relationships/header" Target="header209.xml"/><Relationship Id="rId1797" Type="http://schemas.openxmlformats.org/officeDocument/2006/relationships/header" Target="header294.xml"/><Relationship Id="rId2182" Type="http://schemas.openxmlformats.org/officeDocument/2006/relationships/hyperlink" Target="https://advance.lexis.com/api/document?id=urn:contentItem:5T0Y-CDN0-01KN-B07G-00000-00&amp;idtype=PID&amp;context=1000516" TargetMode="External"/><Relationship Id="rId2403" Type="http://schemas.openxmlformats.org/officeDocument/2006/relationships/footer" Target="footer407.xml"/><Relationship Id="rId89" Type="http://schemas.openxmlformats.org/officeDocument/2006/relationships/hyperlink" Target="https://advance.lexis.com/api/document?collection=cases&amp;id=urn:contentItem:3WCR-XDJ0-0039-42DH-00000-00&amp;context=" TargetMode="External"/><Relationship Id="rId154" Type="http://schemas.openxmlformats.org/officeDocument/2006/relationships/hyperlink" Target="https://advance.lexis.com/api/document?collection=cases&amp;id=urn:contentItem:4DGD-49X0-0039-4358-00000-00&amp;context=" TargetMode="External"/><Relationship Id="rId361" Type="http://schemas.openxmlformats.org/officeDocument/2006/relationships/hyperlink" Target="https://advance.lexis.com/api/document?collection=cases&amp;id=urn:contentItem:3RX4-CHR0-003G-20SR-00000-00&amp;context=" TargetMode="External"/><Relationship Id="rId599" Type="http://schemas.openxmlformats.org/officeDocument/2006/relationships/footer" Target="footer82.xml"/><Relationship Id="rId1005" Type="http://schemas.openxmlformats.org/officeDocument/2006/relationships/hyperlink" Target="https://advance.lexis.com/api/document?collection=cases&amp;id=urn:contentItem:4SWH-CDT0-TX4N-G01B-00000-00&amp;context=" TargetMode="External"/><Relationship Id="rId1212" Type="http://schemas.openxmlformats.org/officeDocument/2006/relationships/header" Target="header186.xml"/><Relationship Id="rId1657" Type="http://schemas.openxmlformats.org/officeDocument/2006/relationships/hyperlink" Target="https://advance.lexis.com/api/document?collection=cases&amp;id=urn:contentItem:3RVM-0DN0-003G-201S-00000-00&amp;context=" TargetMode="External"/><Relationship Id="rId1864" Type="http://schemas.openxmlformats.org/officeDocument/2006/relationships/hyperlink" Target="https://advance.lexis.com/api/document?collection=cases&amp;id=urn:contentItem:3S4X-1KC0-003B-51GW-00000-00&amp;context=" TargetMode="External"/><Relationship Id="rId2042" Type="http://schemas.openxmlformats.org/officeDocument/2006/relationships/header" Target="header342.xml"/><Relationship Id="rId459" Type="http://schemas.openxmlformats.org/officeDocument/2006/relationships/hyperlink" Target="https://advance.lexis.com/api/document?collection=cases&amp;id=urn:contentItem:3S12-2KC0-003D-Y25S-00000-00&amp;context=" TargetMode="External"/><Relationship Id="rId666" Type="http://schemas.openxmlformats.org/officeDocument/2006/relationships/hyperlink" Target="https://advance.lexis.com/api/document?collection=cases&amp;id=urn:contentItem:4P54-42D0-TX4N-G1TK-00000-00&amp;context=" TargetMode="External"/><Relationship Id="rId873" Type="http://schemas.openxmlformats.org/officeDocument/2006/relationships/header" Target="header142.xml"/><Relationship Id="rId1089" Type="http://schemas.openxmlformats.org/officeDocument/2006/relationships/hyperlink" Target="https://advance.lexis.com/api/document?collection=cases&amp;id=urn:contentItem:5P69-R0G1-DXPM-S000-00000-00&amp;context=" TargetMode="External"/><Relationship Id="rId1296" Type="http://schemas.openxmlformats.org/officeDocument/2006/relationships/hyperlink" Target="https://advance.lexis.com/api/document?collection=cases&amp;id=urn:contentItem:3RX4-3VC0-003G-2253-00000-00&amp;context=" TargetMode="External"/><Relationship Id="rId1517" Type="http://schemas.openxmlformats.org/officeDocument/2006/relationships/header" Target="header253.xml"/><Relationship Id="rId1724" Type="http://schemas.openxmlformats.org/officeDocument/2006/relationships/footer" Target="footer280.xml"/><Relationship Id="rId2347" Type="http://schemas.openxmlformats.org/officeDocument/2006/relationships/hyperlink" Target="https://advance.lexis.com/api/document?collection=cases&amp;id=urn:contentItem:3RX4-9RG0-003G-21MP-00000-00&amp;context=" TargetMode="External"/><Relationship Id="rId16" Type="http://schemas.openxmlformats.org/officeDocument/2006/relationships/hyperlink" Target="https://advance.lexis.com/api/document?id=urn:contentItem:5T0Y-CDN0-01KN-B01R-00000-00&amp;idtype=PID&amp;context=1000516" TargetMode="External"/><Relationship Id="rId221" Type="http://schemas.openxmlformats.org/officeDocument/2006/relationships/hyperlink" Target="https://advance.lexis.com/api/document?collection=cases&amp;id=urn:contentItem:3S4X-KTX0-0039-W0TF-00000-00&amp;context=" TargetMode="External"/><Relationship Id="rId319" Type="http://schemas.openxmlformats.org/officeDocument/2006/relationships/hyperlink" Target="https://advance.lexis.com/api/document?collection=cases&amp;id=urn:contentItem:7Y6G-Y3P0-YB0R-M027-00000-00&amp;context=" TargetMode="External"/><Relationship Id="rId526" Type="http://schemas.openxmlformats.org/officeDocument/2006/relationships/hyperlink" Target="https://advance.lexis.com/api/document?id=urn:contentItem:5T0Y-CDN0-01KN-B032-00000-00&amp;idtype=PID&amp;context=1000516" TargetMode="External"/><Relationship Id="rId1156" Type="http://schemas.openxmlformats.org/officeDocument/2006/relationships/hyperlink" Target="https://advance.lexis.com/api/document?collection=cases&amp;id=urn:contentItem:3RX4-4JW0-003G-23R2-00000-00&amp;context=" TargetMode="External"/><Relationship Id="rId1363" Type="http://schemas.openxmlformats.org/officeDocument/2006/relationships/footer" Target="footer213.xml"/><Relationship Id="rId1931" Type="http://schemas.openxmlformats.org/officeDocument/2006/relationships/footer" Target="footer322.xml"/><Relationship Id="rId2207" Type="http://schemas.openxmlformats.org/officeDocument/2006/relationships/hyperlink" Target="https://advance.lexis.com/api/document?collection=jury-instructions&amp;id=urn:contentItem:5T0Y-CDN0-01KN-B078-00000-00&amp;context=" TargetMode="External"/><Relationship Id="rId733" Type="http://schemas.openxmlformats.org/officeDocument/2006/relationships/hyperlink" Target="https://advance.lexis.com/api/document?collection=cases&amp;id=urn:contentItem:3RX4-4Y90-003G-24FN-00000-00&amp;context=" TargetMode="External"/><Relationship Id="rId940" Type="http://schemas.openxmlformats.org/officeDocument/2006/relationships/hyperlink" Target="https://advance.lexis.com/api/document?collection=cases&amp;id=urn:contentItem:3RX4-2XP0-003G-209Y-00000-00&amp;context=" TargetMode="External"/><Relationship Id="rId1016" Type="http://schemas.openxmlformats.org/officeDocument/2006/relationships/hyperlink" Target="https://advance.lexis.com/api/document?collection=cases&amp;id=urn:contentItem:3S1W-MT40-003V-P1J2-00000-00&amp;context=" TargetMode="External"/><Relationship Id="rId1570" Type="http://schemas.openxmlformats.org/officeDocument/2006/relationships/hyperlink" Target="https://advance.lexis.com/api/document?collection=cases&amp;id=urn:contentItem:46MN-J090-0039-410M-00000-00&amp;context=" TargetMode="External"/><Relationship Id="rId1668" Type="http://schemas.openxmlformats.org/officeDocument/2006/relationships/hyperlink" Target="https://advance.lexis.com/api/document?collection=cases&amp;id=urn:contentItem:3RX4-CG90-003G-20MC-00000-00&amp;context=" TargetMode="External"/><Relationship Id="rId1875" Type="http://schemas.openxmlformats.org/officeDocument/2006/relationships/footer" Target="footer305.xml"/><Relationship Id="rId2193" Type="http://schemas.openxmlformats.org/officeDocument/2006/relationships/footer" Target="footer370.xml"/><Relationship Id="rId2414" Type="http://schemas.openxmlformats.org/officeDocument/2006/relationships/hyperlink" Target="https://advance.lexis.com/api/document?collection=cases&amp;id=urn:contentItem:3RX4-9NJ0-003G-21G1-00000-00&amp;context=" TargetMode="External"/><Relationship Id="rId165" Type="http://schemas.openxmlformats.org/officeDocument/2006/relationships/hyperlink" Target="https://advance.lexis.com/api/document?collection=cases&amp;id=urn:contentItem:3RX4-C1M0-003G-24T5-00000-00&amp;context=" TargetMode="External"/><Relationship Id="rId372" Type="http://schemas.openxmlformats.org/officeDocument/2006/relationships/hyperlink" Target="https://advance.lexis.com/api/document?collection=cases&amp;id=urn:contentItem:3RX4-3PH0-003G-21WF-00000-00&amp;context=" TargetMode="External"/><Relationship Id="rId677" Type="http://schemas.openxmlformats.org/officeDocument/2006/relationships/hyperlink" Target="https://advance.lexis.com/api/document?id=urn:contentItem:5T0Y-CDN0-01KN-B03G-00000-00&amp;idtype=PID&amp;context=1000516" TargetMode="External"/><Relationship Id="rId800" Type="http://schemas.openxmlformats.org/officeDocument/2006/relationships/footer" Target="footer126.xml"/><Relationship Id="rId1223" Type="http://schemas.openxmlformats.org/officeDocument/2006/relationships/hyperlink" Target="https://advance.lexis.com/api/document?collection=cases&amp;id=urn:contentItem:3VD1-R5X0-0039-42G7-00000-00&amp;context=" TargetMode="External"/><Relationship Id="rId1430" Type="http://schemas.openxmlformats.org/officeDocument/2006/relationships/hyperlink" Target="https://advance.lexis.com/api/document?id=urn:contentItem:5T0Y-CDN0-01KN-B051-00000-00&amp;idtype=PID&amp;context=1000516" TargetMode="External"/><Relationship Id="rId1528" Type="http://schemas.openxmlformats.org/officeDocument/2006/relationships/hyperlink" Target="https://advance.lexis.com/api/document?collection=cases&amp;id=urn:contentItem:3RX4-9R50-003G-21KY-00000-00&amp;context=" TargetMode="External"/><Relationship Id="rId2053" Type="http://schemas.openxmlformats.org/officeDocument/2006/relationships/header" Target="header347.xml"/><Relationship Id="rId2260" Type="http://schemas.openxmlformats.org/officeDocument/2006/relationships/footer" Target="footer379.xml"/><Relationship Id="rId2358" Type="http://schemas.openxmlformats.org/officeDocument/2006/relationships/hyperlink" Target="https://advance.lexis.com/api/document?collection=cases&amp;id=urn:contentItem:42BS-BPC0-0039-41VP-00000-00&amp;context=" TargetMode="External"/><Relationship Id="rId232" Type="http://schemas.openxmlformats.org/officeDocument/2006/relationships/hyperlink" Target="https://advance.lexis.com/api/document?collection=cases&amp;id=urn:contentItem:3RX6-DY40-003G-2237-00000-00&amp;context=" TargetMode="External"/><Relationship Id="rId884" Type="http://schemas.openxmlformats.org/officeDocument/2006/relationships/hyperlink" Target="https://advance.lexis.com/api/document?collection=cases&amp;id=urn:contentItem:59N5-7TX1-F04G-S0DJ-00000-00&amp;context=" TargetMode="External"/><Relationship Id="rId1735" Type="http://schemas.openxmlformats.org/officeDocument/2006/relationships/hyperlink" Target="https://advance.lexis.com/api/document?collection=jury-instructions&amp;id=urn:contentItem:5T0Y-CDN0-01KN-B05D-00000-00&amp;context=" TargetMode="External"/><Relationship Id="rId1942" Type="http://schemas.openxmlformats.org/officeDocument/2006/relationships/hyperlink" Target="https://advance.lexis.com/api/document?collection=cases&amp;id=urn:contentItem:3RX4-CFX0-003G-20K8-00000-00&amp;context=" TargetMode="External"/><Relationship Id="rId2120" Type="http://schemas.openxmlformats.org/officeDocument/2006/relationships/header" Target="header362.xml"/><Relationship Id="rId27" Type="http://schemas.openxmlformats.org/officeDocument/2006/relationships/header" Target="header1.xml"/><Relationship Id="rId537" Type="http://schemas.openxmlformats.org/officeDocument/2006/relationships/hyperlink" Target="https://advance.lexis.com/api/document?id=urn:contentItem:5T0Y-CDN0-01KN-B038-00000-00&amp;idtype=PID&amp;context=1000516" TargetMode="External"/><Relationship Id="rId744" Type="http://schemas.openxmlformats.org/officeDocument/2006/relationships/hyperlink" Target="https://advance.lexis.com/api/document?collection=cases&amp;id=urn:contentItem:3RX4-CR50-003G-21DK-00000-00&amp;context=" TargetMode="External"/><Relationship Id="rId951" Type="http://schemas.openxmlformats.org/officeDocument/2006/relationships/hyperlink" Target="https://advance.lexis.com/api/document?collection=jury-instructions&amp;id=urn:contentItem:5T0Y-CDN0-01KN-B03X-00000-00&amp;context=" TargetMode="External"/><Relationship Id="rId1167" Type="http://schemas.openxmlformats.org/officeDocument/2006/relationships/footer" Target="footer176.xml"/><Relationship Id="rId1374" Type="http://schemas.openxmlformats.org/officeDocument/2006/relationships/footer" Target="footer217.xml"/><Relationship Id="rId1581" Type="http://schemas.openxmlformats.org/officeDocument/2006/relationships/hyperlink" Target="https://advance.lexis.com/api/document?collection=cases&amp;id=urn:contentItem:3RX4-CH50-003G-20PW-00000-00&amp;context=" TargetMode="External"/><Relationship Id="rId1679" Type="http://schemas.openxmlformats.org/officeDocument/2006/relationships/hyperlink" Target="https://advance.lexis.com/api/document?collection=cases&amp;id=urn:contentItem:3RX4-91H0-003G-255W-00000-00&amp;context=" TargetMode="External"/><Relationship Id="rId1802" Type="http://schemas.openxmlformats.org/officeDocument/2006/relationships/hyperlink" Target="https://advance.lexis.com/api/document?collection=cases&amp;id=urn:contentItem:3RX4-8RP0-003G-24HX-00000-00&amp;context=" TargetMode="External"/><Relationship Id="rId2218" Type="http://schemas.openxmlformats.org/officeDocument/2006/relationships/hyperlink" Target="https://advance.lexis.com/api/document?collection=cases&amp;id=urn:contentItem:3RX4-5G40-003G-20KW-00000-00&amp;context=" TargetMode="External"/><Relationship Id="rId2425" Type="http://schemas.openxmlformats.org/officeDocument/2006/relationships/hyperlink" Target="https://advance.lexis.com/api/document?collection=cases&amp;id=urn:contentItem:3RX4-3XM0-003G-229F-00000-00&amp;context=" TargetMode="External"/><Relationship Id="rId80" Type="http://schemas.openxmlformats.org/officeDocument/2006/relationships/hyperlink" Target="https://advance.lexis.com/api/document?collection=cases&amp;id=urn:contentItem:3RX4-C4F0-003G-251M-00000-00&amp;context=" TargetMode="External"/><Relationship Id="rId176" Type="http://schemas.openxmlformats.org/officeDocument/2006/relationships/header" Target="header33.xml"/><Relationship Id="rId383" Type="http://schemas.openxmlformats.org/officeDocument/2006/relationships/hyperlink" Target="https://advance.lexis.com/api/document?id=urn:contentItem:5T0Y-CDN0-01KN-B02S-00000-00&amp;idtype=PID&amp;context=1000516" TargetMode="External"/><Relationship Id="rId590" Type="http://schemas.openxmlformats.org/officeDocument/2006/relationships/hyperlink" Target="https://advance.lexis.com/api/document?collection=cases&amp;id=urn:contentItem:3RX4-B4K0-003G-22KY-00000-00&amp;context=" TargetMode="External"/><Relationship Id="rId604" Type="http://schemas.openxmlformats.org/officeDocument/2006/relationships/hyperlink" Target="https://advance.lexis.com/api/document?collection=cases&amp;id=urn:contentItem:3S4X-5610-003B-S0SC-00000-00&amp;context=" TargetMode="External"/><Relationship Id="rId811" Type="http://schemas.openxmlformats.org/officeDocument/2006/relationships/header" Target="header131.xml"/><Relationship Id="rId1027" Type="http://schemas.openxmlformats.org/officeDocument/2006/relationships/hyperlink" Target="https://advance.lexis.com/api/document?collection=jury-instructions&amp;id=urn:contentItem:5T0Y-CDN0-01KN-B040-00000-00&amp;context=" TargetMode="External"/><Relationship Id="rId1234" Type="http://schemas.openxmlformats.org/officeDocument/2006/relationships/hyperlink" Target="https://advance.lexis.com/api/document?collection=cases&amp;id=urn:contentItem:3RX4-CVB0-003G-21SC-00000-00&amp;context=" TargetMode="External"/><Relationship Id="rId1441" Type="http://schemas.openxmlformats.org/officeDocument/2006/relationships/footer" Target="footer233.xml"/><Relationship Id="rId1886" Type="http://schemas.openxmlformats.org/officeDocument/2006/relationships/hyperlink" Target="https://advance.lexis.com/api/document?collection=cases&amp;id=urn:contentItem:3RX4-9F30-003G-20XJ-00000-00&amp;context=" TargetMode="External"/><Relationship Id="rId2064" Type="http://schemas.openxmlformats.org/officeDocument/2006/relationships/footer" Target="footer351.xml"/><Relationship Id="rId2271" Type="http://schemas.openxmlformats.org/officeDocument/2006/relationships/hyperlink" Target="https://advance.lexis.com/api/document?collection=cases&amp;id=urn:contentItem:4GMH-X510-0039-42GB-00000-00&amp;context=" TargetMode="External"/><Relationship Id="rId243" Type="http://schemas.openxmlformats.org/officeDocument/2006/relationships/hyperlink" Target="https://advance.lexis.com/api/document?collection=cases&amp;id=urn:contentItem:4V8G-5S70-TXFT-B36S-00000-00&amp;context=" TargetMode="External"/><Relationship Id="rId450" Type="http://schemas.openxmlformats.org/officeDocument/2006/relationships/hyperlink" Target="https://advance.lexis.com/api/document?collection=cases&amp;id=urn:contentItem:42H3-9X30-0039-43KY-00000-00&amp;context=" TargetMode="External"/><Relationship Id="rId688" Type="http://schemas.openxmlformats.org/officeDocument/2006/relationships/hyperlink" Target="https://advance.lexis.com/api/document?id=urn:contentItem:5T0Y-CDN0-01KN-B03P-00000-00&amp;idtype=PID&amp;context=1000516" TargetMode="External"/><Relationship Id="rId895" Type="http://schemas.openxmlformats.org/officeDocument/2006/relationships/hyperlink" Target="https://advance.lexis.com/api/document?collection=cases&amp;id=urn:contentItem:3RX4-B010-003G-226J-00000-00&amp;context=" TargetMode="External"/><Relationship Id="rId909" Type="http://schemas.openxmlformats.org/officeDocument/2006/relationships/hyperlink" Target="https://advance.lexis.com/api/document?collection=cases&amp;id=urn:contentItem:3RX4-BXX0-003G-24JT-00000-00&amp;context=" TargetMode="External"/><Relationship Id="rId1080" Type="http://schemas.openxmlformats.org/officeDocument/2006/relationships/header" Target="header163.xml"/><Relationship Id="rId1301" Type="http://schemas.openxmlformats.org/officeDocument/2006/relationships/hyperlink" Target="https://advance.lexis.com/api/document?collection=cases&amp;id=urn:contentItem:3RX4-3WD0-003G-2270-00000-00&amp;context=" TargetMode="External"/><Relationship Id="rId1539" Type="http://schemas.openxmlformats.org/officeDocument/2006/relationships/hyperlink" Target="https://advance.lexis.com/api/document?collection=cases&amp;id=urn:contentItem:3RX4-C5N0-003G-254B-00000-00&amp;context=" TargetMode="External"/><Relationship Id="rId1746" Type="http://schemas.openxmlformats.org/officeDocument/2006/relationships/footer" Target="footer287.xml"/><Relationship Id="rId1953" Type="http://schemas.openxmlformats.org/officeDocument/2006/relationships/hyperlink" Target="https://advance.lexis.com/api/document?collection=cases&amp;id=urn:contentItem:3RX4-B7W0-003G-22WS-00000-00&amp;context=" TargetMode="External"/><Relationship Id="rId2131" Type="http://schemas.openxmlformats.org/officeDocument/2006/relationships/hyperlink" Target="https://advance.lexis.com/api/document?collection=cases&amp;id=urn:contentItem:3RX4-9F90-003G-20Y1-00000-00&amp;context=" TargetMode="External"/><Relationship Id="rId2369" Type="http://schemas.openxmlformats.org/officeDocument/2006/relationships/hyperlink" Target="https://advance.lexis.com/api/document?id=urn:contentItem:5T0Y-CDN0-01KN-B07R-00000-00&amp;idtype=PID&amp;context=1000516" TargetMode="External"/><Relationship Id="rId38" Type="http://schemas.openxmlformats.org/officeDocument/2006/relationships/footer" Target="footer6.xml"/><Relationship Id="rId103" Type="http://schemas.openxmlformats.org/officeDocument/2006/relationships/hyperlink" Target="https://advance.lexis.com/api/document?collection=cases&amp;id=urn:contentItem:7YMC-C581-2RHN-Y00P-00000-00&amp;context=" TargetMode="External"/><Relationship Id="rId310" Type="http://schemas.openxmlformats.org/officeDocument/2006/relationships/hyperlink" Target="https://advance.lexis.com/api/document?collection=cases&amp;id=urn:contentItem:3W9C-DSR0-0039-42MX-00000-00&amp;context=" TargetMode="External"/><Relationship Id="rId548" Type="http://schemas.openxmlformats.org/officeDocument/2006/relationships/footer" Target="footer69.xml"/><Relationship Id="rId755" Type="http://schemas.openxmlformats.org/officeDocument/2006/relationships/hyperlink" Target="https://advance.lexis.com/api/document?collection=cases&amp;id=urn:contentItem:3RX4-8710-003G-239H-00000-00&amp;context=" TargetMode="External"/><Relationship Id="rId962" Type="http://schemas.openxmlformats.org/officeDocument/2006/relationships/hyperlink" Target="https://advance.lexis.com/api/document?collection=cases&amp;id=urn:contentItem:3RX4-9DR0-003G-20WM-00000-00&amp;context=" TargetMode="External"/><Relationship Id="rId1178" Type="http://schemas.openxmlformats.org/officeDocument/2006/relationships/header" Target="header180.xml"/><Relationship Id="rId1385" Type="http://schemas.openxmlformats.org/officeDocument/2006/relationships/hyperlink" Target="https://advance.lexis.com/api/document?collection=jury-instructions&amp;id=urn:contentItem:5T0Y-CDN0-01KN-B04R-00000-00&amp;context=" TargetMode="External"/><Relationship Id="rId1592" Type="http://schemas.openxmlformats.org/officeDocument/2006/relationships/hyperlink" Target="https://advance.lexis.com/api/document?collection=cases&amp;id=urn:contentItem:484T-XWW0-0039-412T-00000-00&amp;context=" TargetMode="External"/><Relationship Id="rId1606" Type="http://schemas.openxmlformats.org/officeDocument/2006/relationships/footer" Target="footer263.xml"/><Relationship Id="rId1813" Type="http://schemas.openxmlformats.org/officeDocument/2006/relationships/header" Target="header297.xml"/><Relationship Id="rId2229" Type="http://schemas.openxmlformats.org/officeDocument/2006/relationships/hyperlink" Target="https://advance.lexis.com/api/document?collection=cases&amp;id=urn:contentItem:3RX4-CW10-003G-21V5-00000-00&amp;context=" TargetMode="External"/><Relationship Id="rId2436" Type="http://schemas.openxmlformats.org/officeDocument/2006/relationships/header" Target="header413.xml"/><Relationship Id="rId91" Type="http://schemas.openxmlformats.org/officeDocument/2006/relationships/hyperlink" Target="https://advance.lexis.com/api/document?collection=cases&amp;id=urn:contentItem:3RX4-8V60-003G-24RR-00000-00&amp;context=" TargetMode="External"/><Relationship Id="rId187" Type="http://schemas.openxmlformats.org/officeDocument/2006/relationships/hyperlink" Target="https://advance.lexis.com/api/document?id=urn:contentItem:5T0Y-CDN0-01KN-B021-00000-00&amp;idtype=PID&amp;context=1000516" TargetMode="External"/><Relationship Id="rId394" Type="http://schemas.openxmlformats.org/officeDocument/2006/relationships/hyperlink" Target="https://advance.lexis.com/api/document?id=urn:contentItem:5T0Y-CDN0-01KN-B030-00000-00&amp;idtype=PID&amp;context=1000516" TargetMode="External"/><Relationship Id="rId408" Type="http://schemas.openxmlformats.org/officeDocument/2006/relationships/footer" Target="footer39.xml"/><Relationship Id="rId615" Type="http://schemas.openxmlformats.org/officeDocument/2006/relationships/hyperlink" Target="https://advance.lexis.com/api/document?collection=cases&amp;id=urn:contentItem:3RX4-9X90-003G-2224-00000-00&amp;context=" TargetMode="External"/><Relationship Id="rId822" Type="http://schemas.openxmlformats.org/officeDocument/2006/relationships/hyperlink" Target="https://advance.lexis.com/api/document?id=urn:contentItem:5T0Y-CDN0-01KN-B03T-00000-00&amp;idtype=PID&amp;context=1000516" TargetMode="External"/><Relationship Id="rId1038" Type="http://schemas.openxmlformats.org/officeDocument/2006/relationships/header" Target="header162.xml"/><Relationship Id="rId1245" Type="http://schemas.openxmlformats.org/officeDocument/2006/relationships/hyperlink" Target="https://advance.lexis.com/api/document?collection=cases&amp;id=urn:contentItem:3RX4-3D50-003G-2181-00000-00&amp;context=" TargetMode="External"/><Relationship Id="rId1452" Type="http://schemas.openxmlformats.org/officeDocument/2006/relationships/header" Target="header239.xml"/><Relationship Id="rId1897" Type="http://schemas.openxmlformats.org/officeDocument/2006/relationships/hyperlink" Target="https://advance.lexis.com/api/document?collection=cases&amp;id=urn:contentItem:3RX4-2VR0-003G-206T-00000-00&amp;context=" TargetMode="External"/><Relationship Id="rId2075" Type="http://schemas.openxmlformats.org/officeDocument/2006/relationships/footer" Target="footer352.xml"/><Relationship Id="rId2282" Type="http://schemas.openxmlformats.org/officeDocument/2006/relationships/header" Target="header385.xml"/><Relationship Id="rId254" Type="http://schemas.openxmlformats.org/officeDocument/2006/relationships/hyperlink" Target="https://advance.lexis.com/api/document?collection=cases&amp;id=urn:contentItem:3RX4-CTR0-003G-21PT-00000-00&amp;context=" TargetMode="External"/><Relationship Id="rId699" Type="http://schemas.openxmlformats.org/officeDocument/2006/relationships/footer" Target="footer104.xml"/><Relationship Id="rId1091" Type="http://schemas.openxmlformats.org/officeDocument/2006/relationships/hyperlink" Target="https://advance.lexis.com/api/document?id=urn:contentItem:5T0Y-CDN0-01KN-B043-00000-00&amp;idtype=PID&amp;context=1000516" TargetMode="External"/><Relationship Id="rId1105" Type="http://schemas.openxmlformats.org/officeDocument/2006/relationships/hyperlink" Target="https://advance.lexis.com/api/document?id=urn:contentItem:5T0Y-CDN0-01KN-B04C-00000-00&amp;idtype=PID&amp;context=1000516" TargetMode="External"/><Relationship Id="rId1312" Type="http://schemas.openxmlformats.org/officeDocument/2006/relationships/hyperlink" Target="https://advance.lexis.com/api/document?id=urn:contentItem:5T0Y-CDN0-01KN-B04H-00000-00&amp;idtype=PID&amp;context=1000516" TargetMode="External"/><Relationship Id="rId1757" Type="http://schemas.openxmlformats.org/officeDocument/2006/relationships/hyperlink" Target="https://advance.lexis.com/api/document?collection=cases&amp;id=urn:contentItem:3RX4-CF90-003G-20HS-00000-00&amp;context=" TargetMode="External"/><Relationship Id="rId1964" Type="http://schemas.openxmlformats.org/officeDocument/2006/relationships/hyperlink" Target="https://advance.lexis.com/api/document?collection=cases&amp;id=urn:contentItem:3RX4-B7W0-003G-22WS-00000-00&amp;context=" TargetMode="External"/><Relationship Id="rId49" Type="http://schemas.openxmlformats.org/officeDocument/2006/relationships/hyperlink" Target="https://advance.lexis.com/api/document?collection=cases&amp;id=urn:contentItem:3RX4-8FD0-003G-23Y7-00000-00&amp;context=" TargetMode="External"/><Relationship Id="rId114" Type="http://schemas.openxmlformats.org/officeDocument/2006/relationships/hyperlink" Target="https://advance.lexis.com/api/document?collection=cases&amp;id=urn:contentItem:3RX4-8VF0-003G-24SC-00000-00&amp;context=" TargetMode="External"/><Relationship Id="rId461" Type="http://schemas.openxmlformats.org/officeDocument/2006/relationships/hyperlink" Target="https://advance.lexis.com/api/document?collection=cases&amp;id=urn:contentItem:3S12-2BV0-003D-Y15J-00000-00&amp;context=" TargetMode="External"/><Relationship Id="rId559" Type="http://schemas.openxmlformats.org/officeDocument/2006/relationships/footer" Target="footer74.xml"/><Relationship Id="rId766" Type="http://schemas.openxmlformats.org/officeDocument/2006/relationships/hyperlink" Target="https://advance.lexis.com/api/document?collection=cases&amp;id=urn:contentItem:3RX4-CNN0-003G-217H-00000-00&amp;context=" TargetMode="External"/><Relationship Id="rId1189" Type="http://schemas.openxmlformats.org/officeDocument/2006/relationships/hyperlink" Target="https://advance.lexis.com/api/document?collection=cases&amp;id=urn:contentItem:44R9-35C0-0039-44K7-00000-00&amp;context=" TargetMode="External"/><Relationship Id="rId1396" Type="http://schemas.openxmlformats.org/officeDocument/2006/relationships/hyperlink" Target="https://advance.lexis.com/api/document?collection=cases&amp;id=urn:contentItem:52X1-VCY1-JCNF-208F-00000-00&amp;context=" TargetMode="External"/><Relationship Id="rId1617" Type="http://schemas.openxmlformats.org/officeDocument/2006/relationships/hyperlink" Target="https://advance.lexis.com/api/document?collection=cases&amp;id=urn:contentItem:3S4X-8150-0039-X2CM-00000-00&amp;context=" TargetMode="External"/><Relationship Id="rId1824" Type="http://schemas.openxmlformats.org/officeDocument/2006/relationships/hyperlink" Target="https://advance.lexis.com/api/document?collection=cases&amp;id=urn:contentItem:3RX4-4YB0-003G-24FP-00000-00&amp;context=" TargetMode="External"/><Relationship Id="rId2142" Type="http://schemas.openxmlformats.org/officeDocument/2006/relationships/hyperlink" Target="https://advance.lexis.com/api/document?collection=cases&amp;id=urn:contentItem:4RJK-12B0-TX4N-G0G3-00000-00&amp;context=" TargetMode="External"/><Relationship Id="rId2447" Type="http://schemas.openxmlformats.org/officeDocument/2006/relationships/hyperlink" Target="https://advance.lexis.com/api/document?collection=cases&amp;id=urn:contentItem:3RX4-3T20-003G-222G-00000-00&amp;context=" TargetMode="External"/><Relationship Id="rId198" Type="http://schemas.openxmlformats.org/officeDocument/2006/relationships/hyperlink" Target="https://advance.lexis.com/api/document?id=urn:contentItem:5T0Y-CDN0-01KN-B026-00000-00&amp;idtype=PID&amp;context=1000516" TargetMode="External"/><Relationship Id="rId321" Type="http://schemas.openxmlformats.org/officeDocument/2006/relationships/hyperlink" Target="https://advance.lexis.com/api/document?collection=jury-instructions&amp;id=urn:contentItem:5T0Y-CDN0-01KN-B023-00000-00&amp;context=" TargetMode="External"/><Relationship Id="rId419" Type="http://schemas.openxmlformats.org/officeDocument/2006/relationships/footer" Target="footer43.xml"/><Relationship Id="rId626" Type="http://schemas.openxmlformats.org/officeDocument/2006/relationships/footer" Target="footer92.xml"/><Relationship Id="rId973" Type="http://schemas.openxmlformats.org/officeDocument/2006/relationships/footer" Target="footer155.xml"/><Relationship Id="rId1049" Type="http://schemas.openxmlformats.org/officeDocument/2006/relationships/hyperlink" Target="https://advance.lexis.com/api/document?collection=cases&amp;id=urn:contentItem:3RX4-5G60-003G-20M2-00000-00&amp;context=" TargetMode="External"/><Relationship Id="rId1256" Type="http://schemas.openxmlformats.org/officeDocument/2006/relationships/hyperlink" Target="https://advance.lexis.com/api/document?collection=cases&amp;id=urn:contentItem:3RRC-3J60-0039-43Y4-00000-00&amp;context=" TargetMode="External"/><Relationship Id="rId2002" Type="http://schemas.openxmlformats.org/officeDocument/2006/relationships/hyperlink" Target="https://advance.lexis.com/api/document?id=urn:contentItem:5T0Y-CDN0-01KN-B06Y-00000-00&amp;idtype=PID&amp;context=1000516" TargetMode="External"/><Relationship Id="rId2086" Type="http://schemas.openxmlformats.org/officeDocument/2006/relationships/hyperlink" Target="https://advance.lexis.com/api/document?collection=cases&amp;id=urn:contentItem:3RX4-3HK0-003G-21HC-00000-00&amp;context=" TargetMode="External"/><Relationship Id="rId2307" Type="http://schemas.openxmlformats.org/officeDocument/2006/relationships/hyperlink" Target="https://advance.lexis.com/api/document?collection=jury-instructions&amp;id=urn:contentItem:5T0Y-CDN0-01KN-B07H-00000-00&amp;context=" TargetMode="External"/><Relationship Id="rId833" Type="http://schemas.openxmlformats.org/officeDocument/2006/relationships/hyperlink" Target="https://advance.lexis.com/api/document?id=urn:contentItem:5T0Y-CDN0-01KN-B041-00000-00&amp;idtype=PID&amp;context=1000516" TargetMode="External"/><Relationship Id="rId1116" Type="http://schemas.openxmlformats.org/officeDocument/2006/relationships/footer" Target="footer168.xml"/><Relationship Id="rId1463" Type="http://schemas.openxmlformats.org/officeDocument/2006/relationships/footer" Target="footer243.xml"/><Relationship Id="rId1670" Type="http://schemas.openxmlformats.org/officeDocument/2006/relationships/hyperlink" Target="https://advance.lexis.com/api/document?collection=cases&amp;id=urn:contentItem:3RX4-CH50-003G-20R0-00000-00&amp;context=" TargetMode="External"/><Relationship Id="rId1768" Type="http://schemas.openxmlformats.org/officeDocument/2006/relationships/hyperlink" Target="https://advance.lexis.com/api/document?collection=cases&amp;id=urn:contentItem:3S4X-5KM0-003B-J4BJ-00000-00&amp;context=" TargetMode="External"/><Relationship Id="rId2293" Type="http://schemas.openxmlformats.org/officeDocument/2006/relationships/hyperlink" Target="https://advance.lexis.com/api/document?collection=cases&amp;id=urn:contentItem:3RX4-51F0-003G-24N4-00000-00&amp;context=" TargetMode="External"/><Relationship Id="rId265" Type="http://schemas.openxmlformats.org/officeDocument/2006/relationships/hyperlink" Target="https://advance.lexis.com/api/document?collection=cases&amp;id=urn:contentItem:3RX4-CKN0-003G-210N-00000-00&amp;context=" TargetMode="External"/><Relationship Id="rId472" Type="http://schemas.openxmlformats.org/officeDocument/2006/relationships/hyperlink" Target="https://advance.lexis.com/api/document?collection=cases&amp;id=urn:contentItem:3RX4-3VM0-003G-225M-00000-00&amp;context=" TargetMode="External"/><Relationship Id="rId900" Type="http://schemas.openxmlformats.org/officeDocument/2006/relationships/hyperlink" Target="https://advance.lexis.com/api/document?collection=cases&amp;id=urn:contentItem:3RX4-3H40-003G-21GC-00000-00&amp;context=" TargetMode="External"/><Relationship Id="rId1323" Type="http://schemas.openxmlformats.org/officeDocument/2006/relationships/hyperlink" Target="https://advance.lexis.com/api/document?id=urn:contentItem:5T0Y-CDN0-01KN-B04P-00000-00&amp;idtype=PID&amp;context=1000516" TargetMode="External"/><Relationship Id="rId1530" Type="http://schemas.openxmlformats.org/officeDocument/2006/relationships/hyperlink" Target="https://advance.lexis.com/api/document?collection=cases&amp;id=urn:contentItem:40K8-K3R0-004C-0027-00000-00&amp;context=" TargetMode="External"/><Relationship Id="rId1628" Type="http://schemas.openxmlformats.org/officeDocument/2006/relationships/hyperlink" Target="https://advance.lexis.com/api/document?id=urn:contentItem:5T0Y-CDN0-01KN-B05D-00000-00&amp;idtype=PID&amp;context=1000516" TargetMode="External"/><Relationship Id="rId1975" Type="http://schemas.openxmlformats.org/officeDocument/2006/relationships/hyperlink" Target="https://advance.lexis.com/api/document?collection=jury-instructions&amp;id=urn:contentItem:5T0Y-CDN0-01KN-B05W-00000-00&amp;context=" TargetMode="External"/><Relationship Id="rId2153" Type="http://schemas.openxmlformats.org/officeDocument/2006/relationships/header" Target="header364.xml"/><Relationship Id="rId2360" Type="http://schemas.openxmlformats.org/officeDocument/2006/relationships/hyperlink" Target="https://advance.lexis.com/api/document?collection=cases&amp;id=urn:contentItem:3S12-2CF0-003D-Y18P-00000-00&amp;context=" TargetMode="External"/><Relationship Id="rId125" Type="http://schemas.openxmlformats.org/officeDocument/2006/relationships/hyperlink" Target="https://advance.lexis.com/api/document?collection=cases&amp;id=urn:contentItem:4BVC-DJS0-0039-428B-00000-00&amp;context=" TargetMode="External"/><Relationship Id="rId332" Type="http://schemas.openxmlformats.org/officeDocument/2006/relationships/hyperlink" Target="https://advance.lexis.com/api/document?collection=cases&amp;id=urn:contentItem:514S-YF91-652M-7000-00000-00&amp;context=" TargetMode="External"/><Relationship Id="rId777" Type="http://schemas.openxmlformats.org/officeDocument/2006/relationships/header" Target="header119.xml"/><Relationship Id="rId984" Type="http://schemas.openxmlformats.org/officeDocument/2006/relationships/hyperlink" Target="https://advance.lexis.com/api/document?collection=cases&amp;id=urn:contentItem:3RX4-C1M0-003G-24T5-00000-00&amp;context=" TargetMode="External"/><Relationship Id="rId1835" Type="http://schemas.openxmlformats.org/officeDocument/2006/relationships/hyperlink" Target="https://advance.lexis.com/api/document?id=urn:contentItem:5T0Y-CDN0-01KN-B05P-00000-00&amp;idtype=PID&amp;context=1000516" TargetMode="External"/><Relationship Id="rId2013" Type="http://schemas.openxmlformats.org/officeDocument/2006/relationships/hyperlink" Target="https://advance.lexis.com/api/document?id=urn:contentItem:5T0Y-CDN0-01KN-B074-00000-00&amp;idtype=PID&amp;context=1000516" TargetMode="External"/><Relationship Id="rId2220" Type="http://schemas.openxmlformats.org/officeDocument/2006/relationships/hyperlink" Target="https://advance.lexis.com/api/document?collection=cases&amp;id=urn:contentItem:3RX4-5G60-003G-20M2-00000-00&amp;context=" TargetMode="External"/><Relationship Id="rId2458" Type="http://schemas.openxmlformats.org/officeDocument/2006/relationships/footer" Target="footer416.xml"/><Relationship Id="rId637" Type="http://schemas.openxmlformats.org/officeDocument/2006/relationships/hyperlink" Target="https://advance.lexis.com/api/document?collection=cases&amp;id=urn:contentItem:3RX4-3MH0-003G-21RG-00000-00&amp;context=" TargetMode="External"/><Relationship Id="rId844" Type="http://schemas.openxmlformats.org/officeDocument/2006/relationships/header" Target="header137.xml"/><Relationship Id="rId1267" Type="http://schemas.openxmlformats.org/officeDocument/2006/relationships/footer" Target="footer190.xml"/><Relationship Id="rId1474" Type="http://schemas.openxmlformats.org/officeDocument/2006/relationships/hyperlink" Target="https://advance.lexis.com/api/document?collection=cases&amp;id=urn:contentItem:3RX4-C4Y0-003G-252V-00000-00&amp;context=" TargetMode="External"/><Relationship Id="rId1681" Type="http://schemas.openxmlformats.org/officeDocument/2006/relationships/header" Target="header271.xml"/><Relationship Id="rId1902" Type="http://schemas.openxmlformats.org/officeDocument/2006/relationships/header" Target="header314.xml"/><Relationship Id="rId2097" Type="http://schemas.openxmlformats.org/officeDocument/2006/relationships/hyperlink" Target="https://advance.lexis.com/api/document?collection=jury-instructions&amp;id=urn:contentItem:5T0Y-CDN0-01KN-B073-00000-00&amp;context=" TargetMode="External"/><Relationship Id="rId2318" Type="http://schemas.openxmlformats.org/officeDocument/2006/relationships/hyperlink" Target="https://advance.lexis.com/api/document?collection=cases&amp;id=urn:contentItem:3RX4-2VB0-003G-2060-00000-00&amp;context=" TargetMode="External"/><Relationship Id="rId276" Type="http://schemas.openxmlformats.org/officeDocument/2006/relationships/hyperlink" Target="https://advance.lexis.com/api/document?collection=cases&amp;id=urn:contentItem:3RX4-3PH0-003G-21WF-00000-00&amp;context=" TargetMode="External"/><Relationship Id="rId483" Type="http://schemas.openxmlformats.org/officeDocument/2006/relationships/header" Target="header54.xml"/><Relationship Id="rId690" Type="http://schemas.openxmlformats.org/officeDocument/2006/relationships/header" Target="header100.xml"/><Relationship Id="rId704" Type="http://schemas.openxmlformats.org/officeDocument/2006/relationships/hyperlink" Target="https://advance.lexis.com/api/document?collection=cases&amp;id=urn:contentItem:3RX4-8WD0-003G-24VS-00000-00&amp;context=" TargetMode="External"/><Relationship Id="rId911" Type="http://schemas.openxmlformats.org/officeDocument/2006/relationships/hyperlink" Target="https://advance.lexis.com/api/document?collection=cases&amp;id=urn:contentItem:3RX4-C110-003G-24RX-00000-00&amp;context=" TargetMode="External"/><Relationship Id="rId1127" Type="http://schemas.openxmlformats.org/officeDocument/2006/relationships/footer" Target="footer173.xml"/><Relationship Id="rId1334" Type="http://schemas.openxmlformats.org/officeDocument/2006/relationships/header" Target="header203.xml"/><Relationship Id="rId1541" Type="http://schemas.openxmlformats.org/officeDocument/2006/relationships/hyperlink" Target="https://advance.lexis.com/api/document?collection=cases&amp;id=urn:contentItem:3RX4-C5N0-003G-254B-00000-00&amp;context=" TargetMode="External"/><Relationship Id="rId1779" Type="http://schemas.openxmlformats.org/officeDocument/2006/relationships/hyperlink" Target="https://advance.lexis.com/api/document?collection=cases&amp;id=urn:contentItem:3RX4-B370-003G-22GF-00000-00&amp;context=" TargetMode="External"/><Relationship Id="rId1986" Type="http://schemas.openxmlformats.org/officeDocument/2006/relationships/hyperlink" Target="https://advance.lexis.com/api/document?collection=jury-instructions&amp;id=urn:contentItem:5T0Y-CDN0-01KN-B05T-00000-00&amp;context=" TargetMode="External"/><Relationship Id="rId2164" Type="http://schemas.openxmlformats.org/officeDocument/2006/relationships/hyperlink" Target="https://advance.lexis.com/api/document?collection=cases&amp;id=urn:contentItem:3RX4-8VP0-003G-24T1-00000-00&amp;context=" TargetMode="External"/><Relationship Id="rId2371" Type="http://schemas.openxmlformats.org/officeDocument/2006/relationships/hyperlink" Target="https://advance.lexis.com/api/document?id=urn:contentItem:5T0Y-CDN0-01KN-B07S-00000-00&amp;idtype=PID&amp;context=1000516" TargetMode="External"/><Relationship Id="rId40" Type="http://schemas.openxmlformats.org/officeDocument/2006/relationships/hyperlink" Target="https://advance.lexis.com/api/document?collection=cases&amp;id=urn:contentItem:436X-KHW0-0039-447J-00000-00&amp;context=" TargetMode="External"/><Relationship Id="rId136" Type="http://schemas.openxmlformats.org/officeDocument/2006/relationships/hyperlink" Target="https://advance.lexis.com/api/document?collection=cases&amp;id=urn:contentItem:3RX4-44P0-003G-22RT-00000-00&amp;context=" TargetMode="External"/><Relationship Id="rId343" Type="http://schemas.openxmlformats.org/officeDocument/2006/relationships/hyperlink" Target="https://advance.lexis.com/api/document?collection=cases&amp;id=urn:contentItem:3RX4-BYJ0-003G-24MD-00000-00&amp;context=" TargetMode="External"/><Relationship Id="rId550" Type="http://schemas.openxmlformats.org/officeDocument/2006/relationships/header" Target="header71.xml"/><Relationship Id="rId788" Type="http://schemas.openxmlformats.org/officeDocument/2006/relationships/footer" Target="footer123.xml"/><Relationship Id="rId995" Type="http://schemas.openxmlformats.org/officeDocument/2006/relationships/hyperlink" Target="https://advance.lexis.com/api/document?collection=cases&amp;id=urn:contentItem:3RX4-4900-003G-2343-00000-00&amp;context=" TargetMode="External"/><Relationship Id="rId1180" Type="http://schemas.openxmlformats.org/officeDocument/2006/relationships/hyperlink" Target="https://advance.lexis.com/api/document?collection=jury-instructions&amp;id=urn:contentItem:5T0Y-CDN0-01KN-B046-00000-00&amp;context=" TargetMode="External"/><Relationship Id="rId1401" Type="http://schemas.openxmlformats.org/officeDocument/2006/relationships/header" Target="header227.xml"/><Relationship Id="rId1639" Type="http://schemas.openxmlformats.org/officeDocument/2006/relationships/header" Target="header266.xml"/><Relationship Id="rId1846" Type="http://schemas.openxmlformats.org/officeDocument/2006/relationships/hyperlink" Target="https://advance.lexis.com/api/document?id=urn:contentItem:5T0Y-CDN0-01KN-B05T-00000-00&amp;idtype=PID&amp;context=1000516" TargetMode="External"/><Relationship Id="rId2024" Type="http://schemas.openxmlformats.org/officeDocument/2006/relationships/header" Target="header334.xml"/><Relationship Id="rId2231" Type="http://schemas.openxmlformats.org/officeDocument/2006/relationships/hyperlink" Target="https://advance.lexis.com/api/document?collection=cases&amp;id=urn:contentItem:3S12-3280-003D-Y44P-00000-00&amp;context=" TargetMode="External"/><Relationship Id="rId2469" Type="http://schemas.openxmlformats.org/officeDocument/2006/relationships/hyperlink" Target="https://advance.lexis.com/api/document?collection=jury-instructions&amp;id=urn:contentItem:5T0Y-CDN0-01KN-B07S-00000-00&amp;context=" TargetMode="External"/><Relationship Id="rId203" Type="http://schemas.openxmlformats.org/officeDocument/2006/relationships/hyperlink" Target="https://advance.lexis.com/api/document?collection=jury-instructions&amp;id=urn:contentItem:5T0Y-CDN0-01KN-B01Y-00000-00&amp;context=" TargetMode="External"/><Relationship Id="rId648" Type="http://schemas.openxmlformats.org/officeDocument/2006/relationships/footer" Target="footer94.xml"/><Relationship Id="rId855" Type="http://schemas.openxmlformats.org/officeDocument/2006/relationships/footer" Target="footer141.xml"/><Relationship Id="rId1040" Type="http://schemas.openxmlformats.org/officeDocument/2006/relationships/hyperlink" Target="https://advance.lexis.com/api/document?collection=jury-instructions&amp;id=urn:contentItem:5T0Y-CDN0-01KN-B041-00000-00&amp;context=" TargetMode="External"/><Relationship Id="rId1278" Type="http://schemas.openxmlformats.org/officeDocument/2006/relationships/footer" Target="footer195.xml"/><Relationship Id="rId1485" Type="http://schemas.openxmlformats.org/officeDocument/2006/relationships/footer" Target="footer248.xml"/><Relationship Id="rId1692" Type="http://schemas.openxmlformats.org/officeDocument/2006/relationships/hyperlink" Target="https://advance.lexis.com/api/document?collection=cases&amp;id=urn:contentItem:3S12-2MJ0-003D-Y2C5-00000-00&amp;context=" TargetMode="External"/><Relationship Id="rId1706" Type="http://schemas.openxmlformats.org/officeDocument/2006/relationships/footer" Target="footer276.xml"/><Relationship Id="rId1913" Type="http://schemas.openxmlformats.org/officeDocument/2006/relationships/footer" Target="footer318.xml"/><Relationship Id="rId2329" Type="http://schemas.openxmlformats.org/officeDocument/2006/relationships/header" Target="header397.xml"/><Relationship Id="rId287" Type="http://schemas.openxmlformats.org/officeDocument/2006/relationships/hyperlink" Target="https://advance.lexis.com/api/document?id=urn:contentItem:5T0Y-CDN0-01KN-B022-00000-00&amp;idtype=PID&amp;context=1000516" TargetMode="External"/><Relationship Id="rId410" Type="http://schemas.openxmlformats.org/officeDocument/2006/relationships/header" Target="header40.xml"/><Relationship Id="rId494" Type="http://schemas.openxmlformats.org/officeDocument/2006/relationships/header" Target="header57.xml"/><Relationship Id="rId508" Type="http://schemas.openxmlformats.org/officeDocument/2006/relationships/header" Target="header63.xml"/><Relationship Id="rId715" Type="http://schemas.openxmlformats.org/officeDocument/2006/relationships/footer" Target="footer108.xml"/><Relationship Id="rId922" Type="http://schemas.openxmlformats.org/officeDocument/2006/relationships/hyperlink" Target="https://advance.lexis.com/api/document?collection=cases&amp;id=urn:contentItem:3RX4-4SD0-003G-243S-00000-00&amp;context=" TargetMode="External"/><Relationship Id="rId1138" Type="http://schemas.openxmlformats.org/officeDocument/2006/relationships/hyperlink" Target="https://advance.lexis.com/api/document?collection=cases&amp;id=urn:contentItem:3RX4-95X0-003G-2099-00000-00&amp;context=" TargetMode="External"/><Relationship Id="rId1345" Type="http://schemas.openxmlformats.org/officeDocument/2006/relationships/header" Target="header207.xml"/><Relationship Id="rId1552" Type="http://schemas.openxmlformats.org/officeDocument/2006/relationships/header" Target="header259.xml"/><Relationship Id="rId1997" Type="http://schemas.openxmlformats.org/officeDocument/2006/relationships/hyperlink" Target="https://advance.lexis.com/api/document?id=urn:contentItem:5T0Y-CDN0-01KN-B06V-00000-00&amp;idtype=PID&amp;context=1000516" TargetMode="External"/><Relationship Id="rId2175" Type="http://schemas.openxmlformats.org/officeDocument/2006/relationships/hyperlink" Target="https://advance.lexis.com/api/document?id=urn:contentItem:5T0Y-CDN0-01KN-B07D-00000-00&amp;idtype=PID&amp;context=1000516" TargetMode="External"/><Relationship Id="rId2382" Type="http://schemas.openxmlformats.org/officeDocument/2006/relationships/header" Target="header404.xml"/><Relationship Id="rId147" Type="http://schemas.openxmlformats.org/officeDocument/2006/relationships/hyperlink" Target="https://advance.lexis.com/api/document?collection=cases&amp;id=urn:contentItem:3RX4-C4N0-003G-2527-00000-00&amp;context=" TargetMode="External"/><Relationship Id="rId354" Type="http://schemas.openxmlformats.org/officeDocument/2006/relationships/hyperlink" Target="https://advance.lexis.com/api/document?collection=cases&amp;id=urn:contentItem:3RX4-3NK0-003G-21TM-00000-00&amp;context=" TargetMode="External"/><Relationship Id="rId799" Type="http://schemas.openxmlformats.org/officeDocument/2006/relationships/header" Target="header126.xml"/><Relationship Id="rId1191" Type="http://schemas.openxmlformats.org/officeDocument/2006/relationships/header" Target="header182.xml"/><Relationship Id="rId1205" Type="http://schemas.openxmlformats.org/officeDocument/2006/relationships/hyperlink" Target="https://advance.lexis.com/api/document?collection=cases&amp;id=urn:contentItem:3T49-SVF0-0039-446F-00000-00&amp;context=" TargetMode="External"/><Relationship Id="rId1857" Type="http://schemas.openxmlformats.org/officeDocument/2006/relationships/header" Target="header303.xml"/><Relationship Id="rId2035" Type="http://schemas.openxmlformats.org/officeDocument/2006/relationships/header" Target="header339.xml"/><Relationship Id="rId51" Type="http://schemas.openxmlformats.org/officeDocument/2006/relationships/header" Target="header8.xml"/><Relationship Id="rId561" Type="http://schemas.openxmlformats.org/officeDocument/2006/relationships/footer" Target="footer75.xml"/><Relationship Id="rId659" Type="http://schemas.openxmlformats.org/officeDocument/2006/relationships/footer" Target="footer99.xml"/><Relationship Id="rId866" Type="http://schemas.openxmlformats.org/officeDocument/2006/relationships/hyperlink" Target="https://advance.lexis.com/api/document?collection=cases&amp;id=urn:contentItem:3RVM-0DN0-003G-201S-00000-00&amp;context=" TargetMode="External"/><Relationship Id="rId1289" Type="http://schemas.openxmlformats.org/officeDocument/2006/relationships/header" Target="header197.xml"/><Relationship Id="rId1412" Type="http://schemas.openxmlformats.org/officeDocument/2006/relationships/footer" Target="footer229.xml"/><Relationship Id="rId1496" Type="http://schemas.openxmlformats.org/officeDocument/2006/relationships/hyperlink" Target="https://advance.lexis.com/api/document?collection=cases&amp;id=urn:contentItem:3RX4-BWY0-003G-24GF-00000-00&amp;context=" TargetMode="External"/><Relationship Id="rId1717" Type="http://schemas.openxmlformats.org/officeDocument/2006/relationships/footer" Target="footer279.xml"/><Relationship Id="rId1924" Type="http://schemas.openxmlformats.org/officeDocument/2006/relationships/hyperlink" Target="https://advance.lexis.com/api/document?collection=cases&amp;id=urn:contentItem:3RX4-5X90-003G-21SJ-00000-00&amp;context=" TargetMode="External"/><Relationship Id="rId2242" Type="http://schemas.openxmlformats.org/officeDocument/2006/relationships/header" Target="header376.xml"/><Relationship Id="rId214" Type="http://schemas.openxmlformats.org/officeDocument/2006/relationships/hyperlink" Target="https://advance.lexis.com/api/document?collection=cases&amp;id=urn:contentItem:3W9C-DSR0-0039-42MX-00000-00&amp;context=" TargetMode="External"/><Relationship Id="rId298" Type="http://schemas.openxmlformats.org/officeDocument/2006/relationships/hyperlink" Target="https://advance.lexis.com/api/document?id=urn:contentItem:5T0Y-CDN0-01KN-B027-00000-00&amp;idtype=PID&amp;context=1000516" TargetMode="External"/><Relationship Id="rId421" Type="http://schemas.openxmlformats.org/officeDocument/2006/relationships/header" Target="header45.xml"/><Relationship Id="rId519" Type="http://schemas.openxmlformats.org/officeDocument/2006/relationships/footer" Target="footer65.xml"/><Relationship Id="rId1051" Type="http://schemas.openxmlformats.org/officeDocument/2006/relationships/hyperlink" Target="https://advance.lexis.com/api/document?collection=cases&amp;id=urn:contentItem:3RX4-93W0-003G-204C-00000-00&amp;context=" TargetMode="External"/><Relationship Id="rId1149" Type="http://schemas.openxmlformats.org/officeDocument/2006/relationships/hyperlink" Target="https://advance.lexis.com/api/document?collection=cases&amp;id=urn:contentItem:3RX4-4MP0-003G-23VT-00000-00&amp;context=" TargetMode="External"/><Relationship Id="rId1356" Type="http://schemas.openxmlformats.org/officeDocument/2006/relationships/footer" Target="footer210.xml"/><Relationship Id="rId2102" Type="http://schemas.openxmlformats.org/officeDocument/2006/relationships/hyperlink" Target="https://advance.lexis.com/api/document?collection=cases&amp;id=urn:contentItem:4S98-10B0-TX4N-G11G-00000-00&amp;context=" TargetMode="External"/><Relationship Id="rId158" Type="http://schemas.openxmlformats.org/officeDocument/2006/relationships/header" Target="header29.xml"/><Relationship Id="rId726" Type="http://schemas.openxmlformats.org/officeDocument/2006/relationships/header" Target="header110.xml"/><Relationship Id="rId933" Type="http://schemas.openxmlformats.org/officeDocument/2006/relationships/header" Target="header148.xml"/><Relationship Id="rId1009" Type="http://schemas.openxmlformats.org/officeDocument/2006/relationships/hyperlink" Target="https://advance.lexis.com/api/document?collection=cases&amp;id=urn:contentItem:3S12-2930-003D-Y0WW-00000-00&amp;context=" TargetMode="External"/><Relationship Id="rId1563" Type="http://schemas.openxmlformats.org/officeDocument/2006/relationships/hyperlink" Target="https://advance.lexis.com/api/document?collection=cases&amp;id=urn:contentItem:7X16-7401-2R6J-23MN-00000-00&amp;context=" TargetMode="External"/><Relationship Id="rId1770" Type="http://schemas.openxmlformats.org/officeDocument/2006/relationships/hyperlink" Target="https://advance.lexis.com/api/document?collection=cases&amp;id=urn:contentItem:3RX4-B440-003G-22JP-00000-00&amp;context=" TargetMode="External"/><Relationship Id="rId1868" Type="http://schemas.openxmlformats.org/officeDocument/2006/relationships/hyperlink" Target="https://advance.lexis.com/api/document?collection=cases&amp;id=urn:contentItem:3S4X-J100-003B-P083-00000-00&amp;context=" TargetMode="External"/><Relationship Id="rId2186" Type="http://schemas.openxmlformats.org/officeDocument/2006/relationships/header" Target="header368.xml"/><Relationship Id="rId2393" Type="http://schemas.openxmlformats.org/officeDocument/2006/relationships/hyperlink" Target="https://advance.lexis.com/api/document?collection=cases&amp;id=urn:contentItem:52X1-VCY1-JCNF-208F-00000-00&amp;context=" TargetMode="External"/><Relationship Id="rId2407" Type="http://schemas.openxmlformats.org/officeDocument/2006/relationships/hyperlink" Target="https://advance.lexis.com/api/document?collection=cases&amp;id=urn:contentItem:3RX4-5DK0-003G-20G6-00000-00&amp;context=" TargetMode="External"/><Relationship Id="rId62" Type="http://schemas.openxmlformats.org/officeDocument/2006/relationships/footer" Target="footer12.xml"/><Relationship Id="rId365" Type="http://schemas.openxmlformats.org/officeDocument/2006/relationships/hyperlink" Target="https://advance.lexis.com/api/document?collection=jury-instructions&amp;id=urn:contentItem:5T0Y-CDN0-01KN-B026-00000-00&amp;context=" TargetMode="External"/><Relationship Id="rId572" Type="http://schemas.openxmlformats.org/officeDocument/2006/relationships/footer" Target="footer77.xml"/><Relationship Id="rId1216" Type="http://schemas.openxmlformats.org/officeDocument/2006/relationships/hyperlink" Target="https://advance.lexis.com/api/document?collection=cases&amp;id=urn:contentItem:3RX4-CHM0-003G-20SC-00000-00&amp;context=" TargetMode="External"/><Relationship Id="rId1423" Type="http://schemas.openxmlformats.org/officeDocument/2006/relationships/hyperlink" Target="https://advance.lexis.com/api/document?id=urn:contentItem:5T0Y-CDN0-01KN-B04W-00000-00&amp;idtype=PID&amp;context=1000516" TargetMode="External"/><Relationship Id="rId1630" Type="http://schemas.openxmlformats.org/officeDocument/2006/relationships/hyperlink" Target="https://advance.lexis.com/api/document?id=urn:contentItem:5T0Y-CDN0-01KN-B05F-00000-00&amp;idtype=PID&amp;context=1000516" TargetMode="External"/><Relationship Id="rId2046" Type="http://schemas.openxmlformats.org/officeDocument/2006/relationships/header" Target="header344.xml"/><Relationship Id="rId2253" Type="http://schemas.openxmlformats.org/officeDocument/2006/relationships/hyperlink" Target="https://advance.lexis.com/api/document?collection=cases&amp;id=urn:contentItem:59PP-6911-F04G-T01R-00000-00&amp;context=" TargetMode="External"/><Relationship Id="rId2460" Type="http://schemas.openxmlformats.org/officeDocument/2006/relationships/footer" Target="footer417.xml"/><Relationship Id="rId225" Type="http://schemas.openxmlformats.org/officeDocument/2006/relationships/hyperlink" Target="https://advance.lexis.com/api/document?collection=jury-instructions&amp;id=urn:contentItem:5T0Y-CDN0-01KN-B024-00000-00&amp;context=" TargetMode="External"/><Relationship Id="rId432" Type="http://schemas.openxmlformats.org/officeDocument/2006/relationships/hyperlink" Target="https://advance.lexis.com/api/document?collection=cases&amp;id=urn:contentItem:4X7H-K940-TXFT-B371-00000-00&amp;context=" TargetMode="External"/><Relationship Id="rId877" Type="http://schemas.openxmlformats.org/officeDocument/2006/relationships/header" Target="header144.xml"/><Relationship Id="rId1062" Type="http://schemas.openxmlformats.org/officeDocument/2006/relationships/hyperlink" Target="https://advance.lexis.com/api/document?collection=cases&amp;id=urn:contentItem:3RX4-3GT0-003G-21FR-00000-00&amp;context=" TargetMode="External"/><Relationship Id="rId1728" Type="http://schemas.openxmlformats.org/officeDocument/2006/relationships/hyperlink" Target="https://advance.lexis.com/api/document?collection=jury-instructions&amp;id=urn:contentItem:5T0Y-CDN0-01KN-B05B-00000-00&amp;context=" TargetMode="External"/><Relationship Id="rId1935" Type="http://schemas.openxmlformats.org/officeDocument/2006/relationships/hyperlink" Target="https://advance.lexis.com/api/document?collection=jury-instructions&amp;id=urn:contentItem:5T0Y-CDN0-01KN-B05V-00000-00&amp;context=" TargetMode="External"/><Relationship Id="rId2113" Type="http://schemas.openxmlformats.org/officeDocument/2006/relationships/footer" Target="footer359.xml"/><Relationship Id="rId2320" Type="http://schemas.openxmlformats.org/officeDocument/2006/relationships/header" Target="header395.xml"/><Relationship Id="rId737" Type="http://schemas.openxmlformats.org/officeDocument/2006/relationships/hyperlink" Target="https://advance.lexis.com/api/document?collection=cases&amp;id=urn:contentItem:3RX4-4Y90-003G-24FN-00000-00&amp;context=" TargetMode="External"/><Relationship Id="rId944" Type="http://schemas.openxmlformats.org/officeDocument/2006/relationships/hyperlink" Target="https://advance.lexis.com/api/document?collection=cases&amp;id=urn:contentItem:52T1-BRW1-F04G-S00P-00000-00&amp;context=" TargetMode="External"/><Relationship Id="rId1367" Type="http://schemas.openxmlformats.org/officeDocument/2006/relationships/footer" Target="footer214.xml"/><Relationship Id="rId1574" Type="http://schemas.openxmlformats.org/officeDocument/2006/relationships/hyperlink" Target="https://advance.lexis.com/api/document?collection=cases&amp;id=urn:contentItem:4BP4-18B0-0039-40HD-00000-00&amp;context=" TargetMode="External"/><Relationship Id="rId1781" Type="http://schemas.openxmlformats.org/officeDocument/2006/relationships/hyperlink" Target="https://advance.lexis.com/api/document?collection=cases&amp;id=urn:contentItem:3V77-T7F0-0039-40PR-00000-00&amp;context=" TargetMode="External"/><Relationship Id="rId2197" Type="http://schemas.openxmlformats.org/officeDocument/2006/relationships/hyperlink" Target="https://advance.lexis.com/api/document?collection=jury-instructions&amp;id=urn:contentItem:5T0Y-CDN0-01KN-B077-00000-00&amp;context=" TargetMode="External"/><Relationship Id="rId2418" Type="http://schemas.openxmlformats.org/officeDocument/2006/relationships/hyperlink" Target="https://advance.lexis.com/api/document?collection=cases&amp;id=urn:contentItem:3RX4-C5K0-003G-2548-00000-00&amp;context=" TargetMode="External"/><Relationship Id="rId73" Type="http://schemas.openxmlformats.org/officeDocument/2006/relationships/header" Target="header16.xml"/><Relationship Id="rId169" Type="http://schemas.openxmlformats.org/officeDocument/2006/relationships/hyperlink" Target="https://advance.lexis.com/api/document?collection=cases&amp;id=urn:contentItem:4WM1-RXD0-TXFX-12GR-00000-00&amp;context=" TargetMode="External"/><Relationship Id="rId376" Type="http://schemas.openxmlformats.org/officeDocument/2006/relationships/hyperlink" Target="https://advance.lexis.com/api/document?collection=cases&amp;id=urn:contentItem:3VXS-NRX0-0039-435D-00000-00&amp;context=" TargetMode="External"/><Relationship Id="rId583" Type="http://schemas.openxmlformats.org/officeDocument/2006/relationships/footer" Target="footer79.xml"/><Relationship Id="rId790" Type="http://schemas.openxmlformats.org/officeDocument/2006/relationships/hyperlink" Target="https://advance.lexis.com/api/document?collection=cases&amp;id=urn:contentItem:3RX4-9VF0-003G-21X0-00000-00&amp;context=" TargetMode="External"/><Relationship Id="rId804" Type="http://schemas.openxmlformats.org/officeDocument/2006/relationships/header" Target="header128.xml"/><Relationship Id="rId1227" Type="http://schemas.openxmlformats.org/officeDocument/2006/relationships/hyperlink" Target="https://advance.lexis.com/api/document?collection=cases&amp;id=urn:contentItem:3WWV-YV30-0039-43FP-00000-00&amp;context=" TargetMode="External"/><Relationship Id="rId1434" Type="http://schemas.openxmlformats.org/officeDocument/2006/relationships/hyperlink" Target="https://advance.lexis.com/api/document?id=urn:contentItem:5T0Y-CDN0-01KN-B055-00000-00&amp;idtype=PID&amp;context=1000516" TargetMode="External"/><Relationship Id="rId1641" Type="http://schemas.openxmlformats.org/officeDocument/2006/relationships/footer" Target="footer266.xml"/><Relationship Id="rId1879" Type="http://schemas.openxmlformats.org/officeDocument/2006/relationships/header" Target="header307.xml"/><Relationship Id="rId2057" Type="http://schemas.openxmlformats.org/officeDocument/2006/relationships/footer" Target="footer348.xml"/><Relationship Id="rId2264" Type="http://schemas.openxmlformats.org/officeDocument/2006/relationships/hyperlink" Target="https://advance.lexis.com/api/document?collection=jury-instructions&amp;id=urn:contentItem:5T0Y-CDN0-01KN-B07B-00000-00&amp;context=" TargetMode="External"/><Relationship Id="rId2471" Type="http://schemas.openxmlformats.org/officeDocument/2006/relationships/hyperlink" Target="https://advance.lexis.com/api/document?collection=cases&amp;id=urn:contentItem:48KW-0TT0-0039-43WT-00000-00&amp;context=" TargetMode="External"/><Relationship Id="rId4" Type="http://schemas.openxmlformats.org/officeDocument/2006/relationships/footnotes" Target="footnotes.xml"/><Relationship Id="rId236" Type="http://schemas.openxmlformats.org/officeDocument/2006/relationships/hyperlink" Target="https://advance.lexis.com/api/document?collection=cases&amp;id=urn:contentItem:4BB1-JMF0-0039-40M7-00000-00&amp;context=" TargetMode="External"/><Relationship Id="rId443" Type="http://schemas.openxmlformats.org/officeDocument/2006/relationships/hyperlink" Target="https://advance.lexis.com/api/document?collection=cases&amp;id=urn:contentItem:3RX4-99P0-003G-20M1-00000-00&amp;context=" TargetMode="External"/><Relationship Id="rId650" Type="http://schemas.openxmlformats.org/officeDocument/2006/relationships/header" Target="header96.xml"/><Relationship Id="rId888" Type="http://schemas.openxmlformats.org/officeDocument/2006/relationships/header" Target="header146.xml"/><Relationship Id="rId1073" Type="http://schemas.openxmlformats.org/officeDocument/2006/relationships/hyperlink" Target="https://advance.lexis.com/api/document?collection=cases&amp;id=urn:contentItem:3RX4-9B40-003G-20N3-00000-00&amp;context=" TargetMode="External"/><Relationship Id="rId1280" Type="http://schemas.openxmlformats.org/officeDocument/2006/relationships/hyperlink" Target="https://advance.lexis.com/api/document?collection=cases&amp;id=urn:contentItem:4FJY-0580-0039-435S-00000-00&amp;context=" TargetMode="External"/><Relationship Id="rId1501" Type="http://schemas.openxmlformats.org/officeDocument/2006/relationships/hyperlink" Target="https://advance.lexis.com/api/document?collection=cases&amp;id=urn:contentItem:3RX4-8KN0-003G-2487-00000-00&amp;context=" TargetMode="External"/><Relationship Id="rId1739" Type="http://schemas.openxmlformats.org/officeDocument/2006/relationships/hyperlink" Target="https://advance.lexis.com/api/document?collection=cases&amp;id=urn:contentItem:3RX4-9PF0-003G-21J6-00000-00&amp;context=" TargetMode="External"/><Relationship Id="rId1946" Type="http://schemas.openxmlformats.org/officeDocument/2006/relationships/hyperlink" Target="https://advance.lexis.com/api/document?collection=cases&amp;id=urn:contentItem:3RX4-CFX0-003G-20K8-00000-00&amp;context=" TargetMode="External"/><Relationship Id="rId2124" Type="http://schemas.openxmlformats.org/officeDocument/2006/relationships/footer" Target="footer363.xml"/><Relationship Id="rId2331" Type="http://schemas.openxmlformats.org/officeDocument/2006/relationships/footer" Target="footer397.xml"/><Relationship Id="rId303" Type="http://schemas.openxmlformats.org/officeDocument/2006/relationships/hyperlink" Target="https://advance.lexis.com/api/document?collection=cases&amp;id=urn:contentItem:3RX4-8KF0-003G-247X-00000-00&amp;context=" TargetMode="External"/><Relationship Id="rId748" Type="http://schemas.openxmlformats.org/officeDocument/2006/relationships/hyperlink" Target="https://advance.lexis.com/api/document?collection=cases&amp;id=urn:contentItem:3S12-2HY0-003D-Y1WW-00000-00&amp;context=" TargetMode="External"/><Relationship Id="rId955" Type="http://schemas.openxmlformats.org/officeDocument/2006/relationships/hyperlink" Target="https://advance.lexis.com/api/document?collection=cases&amp;id=urn:contentItem:3RX4-6KS0-003G-23MF-00000-00&amp;context=" TargetMode="External"/><Relationship Id="rId1140" Type="http://schemas.openxmlformats.org/officeDocument/2006/relationships/hyperlink" Target="https://advance.lexis.com/api/document?collection=cases&amp;id=urn:contentItem:5MYB-13X1-JKHB-6242-00000-00&amp;context=" TargetMode="External"/><Relationship Id="rId1378" Type="http://schemas.openxmlformats.org/officeDocument/2006/relationships/hyperlink" Target="https://advance.lexis.com/api/document?collection=jury-instructions&amp;id=urn:contentItem:5T0Y-CDN0-01KN-B04M-00000-00&amp;context=" TargetMode="External"/><Relationship Id="rId1585" Type="http://schemas.openxmlformats.org/officeDocument/2006/relationships/hyperlink" Target="https://advance.lexis.com/api/document?collection=cases&amp;id=urn:contentItem:3RX6-DWM0-003G-21XV-00000-00&amp;context=" TargetMode="External"/><Relationship Id="rId1792" Type="http://schemas.openxmlformats.org/officeDocument/2006/relationships/hyperlink" Target="https://advance.lexis.com/api/document?collection=jury-instructions&amp;id=urn:contentItem:5T0Y-CDN0-01KN-B05C-00000-00&amp;context=" TargetMode="External"/><Relationship Id="rId1806" Type="http://schemas.openxmlformats.org/officeDocument/2006/relationships/hyperlink" Target="https://advance.lexis.com/api/document?collection=cases&amp;id=urn:contentItem:3RX4-96Y0-003G-20CK-00000-00&amp;context=" TargetMode="External"/><Relationship Id="rId2429" Type="http://schemas.openxmlformats.org/officeDocument/2006/relationships/footer" Target="footer410.xml"/><Relationship Id="rId84" Type="http://schemas.openxmlformats.org/officeDocument/2006/relationships/footer" Target="footer19.xml"/><Relationship Id="rId387" Type="http://schemas.openxmlformats.org/officeDocument/2006/relationships/hyperlink" Target="https://advance.lexis.com/api/document?id=urn:contentItem:5T0Y-CDN0-01KN-B02V-00000-00&amp;idtype=PID&amp;context=1000516" TargetMode="External"/><Relationship Id="rId510" Type="http://schemas.openxmlformats.org/officeDocument/2006/relationships/hyperlink" Target="https://advance.lexis.com/api/document?collection=jury-instructions&amp;id=urn:contentItem:5T0Y-CDN0-01KN-B030-00000-00&amp;context=" TargetMode="External"/><Relationship Id="rId594" Type="http://schemas.openxmlformats.org/officeDocument/2006/relationships/hyperlink" Target="https://advance.lexis.com/api/document?collection=cases&amp;id=urn:contentItem:3RX4-4BX0-003G-2380-00000-00&amp;context=" TargetMode="External"/><Relationship Id="rId608" Type="http://schemas.openxmlformats.org/officeDocument/2006/relationships/header" Target="header86.xml"/><Relationship Id="rId815" Type="http://schemas.openxmlformats.org/officeDocument/2006/relationships/footer" Target="footer132.xml"/><Relationship Id="rId1238" Type="http://schemas.openxmlformats.org/officeDocument/2006/relationships/header" Target="header187.xml"/><Relationship Id="rId1445" Type="http://schemas.openxmlformats.org/officeDocument/2006/relationships/header" Target="header236.xml"/><Relationship Id="rId1652" Type="http://schemas.openxmlformats.org/officeDocument/2006/relationships/hyperlink" Target="https://advance.lexis.com/api/document?collection=cases&amp;id=urn:contentItem:3RX4-8TY0-003G-24R4-00000-00&amp;context=" TargetMode="External"/><Relationship Id="rId2068" Type="http://schemas.openxmlformats.org/officeDocument/2006/relationships/hyperlink" Target="https://advance.lexis.com/api/document?collection=cases&amp;id=urn:contentItem:3S12-2HR0-003D-Y1W2-00000-00&amp;context=" TargetMode="External"/><Relationship Id="rId2275" Type="http://schemas.openxmlformats.org/officeDocument/2006/relationships/header" Target="header382.xml"/><Relationship Id="rId247" Type="http://schemas.openxmlformats.org/officeDocument/2006/relationships/hyperlink" Target="https://advance.lexis.com/api/document?collection=cases&amp;id=urn:contentItem:3RX4-CDY0-003G-20H4-00000-00&amp;context=" TargetMode="External"/><Relationship Id="rId899" Type="http://schemas.openxmlformats.org/officeDocument/2006/relationships/hyperlink" Target="https://advance.lexis.com/api/document?collection=cases&amp;id=urn:contentItem:3RX4-5G60-003G-20M2-00000-00&amp;context=" TargetMode="External"/><Relationship Id="rId1000" Type="http://schemas.openxmlformats.org/officeDocument/2006/relationships/hyperlink" Target="https://advance.lexis.com/api/document?collection=cases&amp;id=urn:contentItem:3RX4-3WX0-003G-227Y-00000-00&amp;context=" TargetMode="External"/><Relationship Id="rId1084" Type="http://schemas.openxmlformats.org/officeDocument/2006/relationships/header" Target="header165.xml"/><Relationship Id="rId1305" Type="http://schemas.openxmlformats.org/officeDocument/2006/relationships/hyperlink" Target="https://advance.lexis.com/api/document?collection=cases&amp;id=urn:contentItem:3RX4-3710-003G-20WW-00000-00&amp;context=" TargetMode="External"/><Relationship Id="rId1957" Type="http://schemas.openxmlformats.org/officeDocument/2006/relationships/hyperlink" Target="https://advance.lexis.com/api/document?collection=cases&amp;id=urn:contentItem:3RX4-B7W0-003G-22WS-00000-00&amp;context=" TargetMode="External"/><Relationship Id="rId2482" Type="http://schemas.openxmlformats.org/officeDocument/2006/relationships/hyperlink" Target="https://advance.lexis.com/api/document?collection=jury-instructions&amp;id=urn:contentItem:5T0Y-CDN0-01KN-B07T-00000-00&amp;context=" TargetMode="External"/><Relationship Id="rId107" Type="http://schemas.openxmlformats.org/officeDocument/2006/relationships/hyperlink" Target="https://advance.lexis.com/api/document?collection=cases&amp;id=urn:contentItem:3RX4-30M0-003G-20FC-00000-00&amp;context=" TargetMode="External"/><Relationship Id="rId454" Type="http://schemas.openxmlformats.org/officeDocument/2006/relationships/hyperlink" Target="https://advance.lexis.com/api/document?collection=cases&amp;id=urn:contentItem:3RX4-3MG0-003G-21RC-00000-00&amp;context=" TargetMode="External"/><Relationship Id="rId661" Type="http://schemas.openxmlformats.org/officeDocument/2006/relationships/hyperlink" Target="https://advance.lexis.com/api/document?collection=cases&amp;id=urn:contentItem:3RX4-CST0-003G-21KP-00000-00&amp;context=" TargetMode="External"/><Relationship Id="rId759" Type="http://schemas.openxmlformats.org/officeDocument/2006/relationships/header" Target="header113.xml"/><Relationship Id="rId966" Type="http://schemas.openxmlformats.org/officeDocument/2006/relationships/hyperlink" Target="https://advance.lexis.com/api/document?collection=cases&amp;id=urn:contentItem:3RX4-9HV0-003G-2150-00000-00&amp;context=" TargetMode="External"/><Relationship Id="rId1291" Type="http://schemas.openxmlformats.org/officeDocument/2006/relationships/footer" Target="footer197.xml"/><Relationship Id="rId1389" Type="http://schemas.openxmlformats.org/officeDocument/2006/relationships/footer" Target="footer224.xml"/><Relationship Id="rId1512" Type="http://schemas.openxmlformats.org/officeDocument/2006/relationships/hyperlink" Target="https://advance.lexis.com/api/document?collection=jury-instructions&amp;id=urn:contentItem:5T0Y-CDN0-01KN-B050-00000-00&amp;context=" TargetMode="External"/><Relationship Id="rId1596" Type="http://schemas.openxmlformats.org/officeDocument/2006/relationships/hyperlink" Target="https://advance.lexis.com/api/document?collection=cases&amp;id=urn:contentItem:3RX4-3M70-003G-21PV-00000-00&amp;context=" TargetMode="External"/><Relationship Id="rId1817" Type="http://schemas.openxmlformats.org/officeDocument/2006/relationships/hyperlink" Target="https://advance.lexis.com/api/document?collection=cases&amp;id=urn:contentItem:3RX4-38J0-003G-210Y-00000-00&amp;context=" TargetMode="External"/><Relationship Id="rId2135" Type="http://schemas.openxmlformats.org/officeDocument/2006/relationships/hyperlink" Target="https://advance.lexis.com/api/document?collection=cases&amp;id=urn:contentItem:3RX4-B230-003G-22CN-00000-00&amp;context=" TargetMode="External"/><Relationship Id="rId2342" Type="http://schemas.openxmlformats.org/officeDocument/2006/relationships/hyperlink" Target="https://advance.lexis.com/api/document?collection=cases&amp;id=urn:contentItem:4BP4-18B0-0039-40HC-00000-00&amp;context=" TargetMode="External"/><Relationship Id="rId11" Type="http://schemas.openxmlformats.org/officeDocument/2006/relationships/hyperlink" Target="https://advance.lexis.com/api/document?id=urn:contentItem:5T0Y-CDN0-01KN-B01N-00000-00&amp;idtype=PID&amp;context=1000516" TargetMode="External"/><Relationship Id="rId314" Type="http://schemas.openxmlformats.org/officeDocument/2006/relationships/hyperlink" Target="https://advance.lexis.com/api/document?collection=cases&amp;id=urn:contentItem:3RX4-5CV0-003G-20D4-00000-00&amp;context=" TargetMode="External"/><Relationship Id="rId398" Type="http://schemas.openxmlformats.org/officeDocument/2006/relationships/header" Target="header35.xml"/><Relationship Id="rId521" Type="http://schemas.openxmlformats.org/officeDocument/2006/relationships/footer" Target="footer66.xml"/><Relationship Id="rId619" Type="http://schemas.openxmlformats.org/officeDocument/2006/relationships/footer" Target="footer89.xml"/><Relationship Id="rId1151" Type="http://schemas.openxmlformats.org/officeDocument/2006/relationships/hyperlink" Target="https://advance.lexis.com/api/document?collection=cases&amp;id=urn:contentItem:3RX4-4JW0-003G-23R2-00000-00&amp;context=" TargetMode="External"/><Relationship Id="rId1249" Type="http://schemas.openxmlformats.org/officeDocument/2006/relationships/hyperlink" Target="https://advance.lexis.com/api/document?collection=cases&amp;id=urn:contentItem:3RX4-7JG0-003G-21BK-00000-00&amp;context=" TargetMode="External"/><Relationship Id="rId2079" Type="http://schemas.openxmlformats.org/officeDocument/2006/relationships/hyperlink" Target="https://advance.lexis.com/api/document?collection=jury-instructions&amp;id=urn:contentItem:5T0Y-CDN0-01KN-B072-00000-00&amp;context=" TargetMode="External"/><Relationship Id="rId2202" Type="http://schemas.openxmlformats.org/officeDocument/2006/relationships/header" Target="header374.xml"/><Relationship Id="rId95" Type="http://schemas.openxmlformats.org/officeDocument/2006/relationships/hyperlink" Target="https://advance.lexis.com/api/document?collection=cases&amp;id=urn:contentItem:3RX4-9V90-003G-21WN-00000-00&amp;context=" TargetMode="External"/><Relationship Id="rId160" Type="http://schemas.openxmlformats.org/officeDocument/2006/relationships/footer" Target="footer29.xml"/><Relationship Id="rId826" Type="http://schemas.openxmlformats.org/officeDocument/2006/relationships/hyperlink" Target="https://advance.lexis.com/api/document?id=urn:contentItem:5T0Y-CDN0-01KN-B03W-00000-00&amp;idtype=PID&amp;context=1000516" TargetMode="External"/><Relationship Id="rId1011" Type="http://schemas.openxmlformats.org/officeDocument/2006/relationships/hyperlink" Target="https://advance.lexis.com/api/document?collection=cases&amp;id=urn:contentItem:3S12-2930-003D-Y0WW-00000-00&amp;context=" TargetMode="External"/><Relationship Id="rId1109" Type="http://schemas.openxmlformats.org/officeDocument/2006/relationships/hyperlink" Target="https://advance.lexis.com/api/document?id=urn:contentItem:5T0Y-CDN0-01KN-B04D-00000-00&amp;idtype=PID&amp;context=1000516" TargetMode="External"/><Relationship Id="rId1456" Type="http://schemas.openxmlformats.org/officeDocument/2006/relationships/footer" Target="footer240.xml"/><Relationship Id="rId1663" Type="http://schemas.openxmlformats.org/officeDocument/2006/relationships/hyperlink" Target="https://advance.lexis.com/api/document?collection=cases&amp;id=urn:contentItem:3RX4-C9Y0-003G-2071-00000-00&amp;context=" TargetMode="External"/><Relationship Id="rId1870" Type="http://schemas.openxmlformats.org/officeDocument/2006/relationships/hyperlink" Target="https://advance.lexis.com/api/document?collection=cases&amp;id=urn:contentItem:7Y3F-CJV0-YB0R-N003-00000-00&amp;context=" TargetMode="External"/><Relationship Id="rId1968" Type="http://schemas.openxmlformats.org/officeDocument/2006/relationships/hyperlink" Target="https://advance.lexis.com/api/document?collection=cases&amp;id=urn:contentItem:3RX4-B6B0-003G-22S3-00000-00&amp;context=" TargetMode="External"/><Relationship Id="rId2286" Type="http://schemas.openxmlformats.org/officeDocument/2006/relationships/header" Target="header387.xml"/><Relationship Id="rId258" Type="http://schemas.openxmlformats.org/officeDocument/2006/relationships/hyperlink" Target="https://advance.lexis.com/api/document?collection=cases&amp;id=urn:contentItem:3S12-2DD0-003D-Y1CJ-00000-00&amp;context=" TargetMode="External"/><Relationship Id="rId465" Type="http://schemas.openxmlformats.org/officeDocument/2006/relationships/hyperlink" Target="https://advance.lexis.com/api/document?collection=cases&amp;id=urn:contentItem:3RX4-B4P0-003G-22M6-00000-00&amp;context=" TargetMode="External"/><Relationship Id="rId672" Type="http://schemas.openxmlformats.org/officeDocument/2006/relationships/hyperlink" Target="https://advance.lexis.com/api/document?id=urn:contentItem:5T0Y-CDN0-01KN-B03D-00000-00&amp;idtype=PID&amp;context=1000516" TargetMode="External"/><Relationship Id="rId1095" Type="http://schemas.openxmlformats.org/officeDocument/2006/relationships/hyperlink" Target="https://advance.lexis.com/api/document?id=urn:contentItem:5T0Y-CDN0-01KN-B045-00000-00&amp;idtype=PID&amp;context=1000516" TargetMode="External"/><Relationship Id="rId1316" Type="http://schemas.openxmlformats.org/officeDocument/2006/relationships/hyperlink" Target="https://advance.lexis.com/api/document?id=urn:contentItem:5T0Y-CDN0-01KN-B04K-00000-00&amp;idtype=PID&amp;context=1000516" TargetMode="External"/><Relationship Id="rId1523" Type="http://schemas.openxmlformats.org/officeDocument/2006/relationships/hyperlink" Target="https://advance.lexis.com/api/document?collection=jury-instructions&amp;id=urn:contentItem:5T0Y-CDN0-01KN-B051-00000-00&amp;context=" TargetMode="External"/><Relationship Id="rId1730" Type="http://schemas.openxmlformats.org/officeDocument/2006/relationships/header" Target="header284.xml"/><Relationship Id="rId2146" Type="http://schemas.openxmlformats.org/officeDocument/2006/relationships/hyperlink" Target="https://advance.lexis.com/api/document?collection=cases&amp;id=urn:contentItem:3RX4-49D0-003G-2353-00000-00&amp;context=" TargetMode="External"/><Relationship Id="rId2353" Type="http://schemas.openxmlformats.org/officeDocument/2006/relationships/hyperlink" Target="https://advance.lexis.com/api/document?collection=cases&amp;id=urn:contentItem:3RX4-4JV0-003G-23R0-00000-00&amp;context=" TargetMode="External"/><Relationship Id="rId22" Type="http://schemas.openxmlformats.org/officeDocument/2006/relationships/hyperlink" Target="https://advance.lexis.com/api/document?id=urn:contentItem:5T0Y-CDN0-01KN-B01W-00000-00&amp;idtype=PID&amp;context=1000516" TargetMode="External"/><Relationship Id="rId118" Type="http://schemas.openxmlformats.org/officeDocument/2006/relationships/header" Target="header22.xml"/><Relationship Id="rId325" Type="http://schemas.openxmlformats.org/officeDocument/2006/relationships/hyperlink" Target="https://advance.lexis.com/api/document?collection=cases&amp;id=urn:contentItem:40DC-HK10-0039-417F-00000-00&amp;context=" TargetMode="External"/><Relationship Id="rId532" Type="http://schemas.openxmlformats.org/officeDocument/2006/relationships/hyperlink" Target="https://advance.lexis.com/api/document?id=urn:contentItem:5T0Y-CDN0-01KN-B035-00000-00&amp;idtype=PID&amp;context=1000516" TargetMode="External"/><Relationship Id="rId977" Type="http://schemas.openxmlformats.org/officeDocument/2006/relationships/hyperlink" Target="https://advance.lexis.com/api/document?collection=cases&amp;id=urn:contentItem:3S12-2GP0-003D-Y1RG-00000-00&amp;context=" TargetMode="External"/><Relationship Id="rId1162" Type="http://schemas.openxmlformats.org/officeDocument/2006/relationships/hyperlink" Target="https://advance.lexis.com/api/document?collection=cases&amp;id=urn:contentItem:3RX4-3F70-003G-21B7-00000-00&amp;context=" TargetMode="External"/><Relationship Id="rId1828" Type="http://schemas.openxmlformats.org/officeDocument/2006/relationships/hyperlink" Target="https://advance.lexis.com/api/document?id=urn:contentItem:5T0Y-CDN0-01KN-B05J-00000-00&amp;idtype=PID&amp;context=1000516" TargetMode="External"/><Relationship Id="rId2006" Type="http://schemas.openxmlformats.org/officeDocument/2006/relationships/hyperlink" Target="https://advance.lexis.com/api/document?id=urn:contentItem:5T0Y-CDN0-01KN-B071-00000-00&amp;idtype=PID&amp;context=1000516" TargetMode="External"/><Relationship Id="rId2213" Type="http://schemas.openxmlformats.org/officeDocument/2006/relationships/hyperlink" Target="https://advance.lexis.com/api/document?collection=cases&amp;id=urn:contentItem:3S12-2NM0-003D-Y2JC-00000-00&amp;context=" TargetMode="External"/><Relationship Id="rId2420" Type="http://schemas.openxmlformats.org/officeDocument/2006/relationships/hyperlink" Target="https://advance.lexis.com/api/document?collection=cases&amp;id=urn:contentItem:4F96-80H0-0039-4556-00000-00&amp;context=" TargetMode="External"/><Relationship Id="rId171" Type="http://schemas.openxmlformats.org/officeDocument/2006/relationships/hyperlink" Target="https://advance.lexis.com/api/document?collection=cases&amp;id=urn:contentItem:5358-D2C1-F04K-F4N0-00000-00&amp;context=" TargetMode="External"/><Relationship Id="rId837" Type="http://schemas.openxmlformats.org/officeDocument/2006/relationships/header" Target="header133.xml"/><Relationship Id="rId1022" Type="http://schemas.openxmlformats.org/officeDocument/2006/relationships/header" Target="header158.xml"/><Relationship Id="rId1467" Type="http://schemas.openxmlformats.org/officeDocument/2006/relationships/footer" Target="footer244.xml"/><Relationship Id="rId1674" Type="http://schemas.openxmlformats.org/officeDocument/2006/relationships/hyperlink" Target="https://advance.lexis.com/api/document?collection=cases&amp;id=urn:contentItem:4MH2-8KR0-0039-41F5-00000-00&amp;context=" TargetMode="External"/><Relationship Id="rId1881" Type="http://schemas.openxmlformats.org/officeDocument/2006/relationships/footer" Target="footer307.xml"/><Relationship Id="rId2297" Type="http://schemas.openxmlformats.org/officeDocument/2006/relationships/footer" Target="footer389.xml"/><Relationship Id="rId269" Type="http://schemas.openxmlformats.org/officeDocument/2006/relationships/hyperlink" Target="https://advance.lexis.com/api/document?collection=jury-instructions&amp;id=urn:contentItem:5T0Y-CDN0-01KN-B028-00000-00&amp;context=" TargetMode="External"/><Relationship Id="rId476" Type="http://schemas.openxmlformats.org/officeDocument/2006/relationships/hyperlink" Target="https://advance.lexis.com/api/document?collection=cases&amp;id=urn:contentItem:3RX4-3VM0-003G-225M-00000-00&amp;context=" TargetMode="External"/><Relationship Id="rId683" Type="http://schemas.openxmlformats.org/officeDocument/2006/relationships/hyperlink" Target="https://advance.lexis.com/api/document?id=urn:contentItem:5T0Y-CDN0-01KN-B03K-00000-00&amp;idtype=PID&amp;context=1000516" TargetMode="External"/><Relationship Id="rId890" Type="http://schemas.openxmlformats.org/officeDocument/2006/relationships/footer" Target="footer146.xml"/><Relationship Id="rId904" Type="http://schemas.openxmlformats.org/officeDocument/2006/relationships/hyperlink" Target="https://advance.lexis.com/api/document?collection=cases&amp;id=urn:contentItem:4N9P-YV70-0039-44KY-00000-00&amp;context=" TargetMode="External"/><Relationship Id="rId1327" Type="http://schemas.openxmlformats.org/officeDocument/2006/relationships/header" Target="header199.xml"/><Relationship Id="rId1534" Type="http://schemas.openxmlformats.org/officeDocument/2006/relationships/footer" Target="footer256.xml"/><Relationship Id="rId1741" Type="http://schemas.openxmlformats.org/officeDocument/2006/relationships/hyperlink" Target="https://advance.lexis.com/api/document?collection=cases&amp;id=urn:contentItem:3RX4-3CK0-003G-216W-00000-00&amp;context=" TargetMode="External"/><Relationship Id="rId1979" Type="http://schemas.openxmlformats.org/officeDocument/2006/relationships/hyperlink" Target="https://advance.lexis.com/api/document?collection=cases&amp;id=urn:contentItem:3XVV-G870-00KR-F4R5-00000-00&amp;context=" TargetMode="External"/><Relationship Id="rId2157" Type="http://schemas.openxmlformats.org/officeDocument/2006/relationships/header" Target="header366.xml"/><Relationship Id="rId2364" Type="http://schemas.openxmlformats.org/officeDocument/2006/relationships/hyperlink" Target="https://advance.lexis.com/api/document?id=urn:contentItem:5T0Y-CDN0-01KN-B07M-00000-00&amp;idtype=PID&amp;context=1000516" TargetMode="External"/><Relationship Id="rId33" Type="http://schemas.openxmlformats.org/officeDocument/2006/relationships/header" Target="header4.xml"/><Relationship Id="rId129" Type="http://schemas.openxmlformats.org/officeDocument/2006/relationships/footer" Target="footer25.xml"/><Relationship Id="rId336" Type="http://schemas.openxmlformats.org/officeDocument/2006/relationships/hyperlink" Target="https://advance.lexis.com/api/document?collection=cases&amp;id=urn:contentItem:3RX4-BW80-003G-24DX-00000-00&amp;context=" TargetMode="External"/><Relationship Id="rId543" Type="http://schemas.openxmlformats.org/officeDocument/2006/relationships/header" Target="header67.xml"/><Relationship Id="rId988" Type="http://schemas.openxmlformats.org/officeDocument/2006/relationships/hyperlink" Target="https://advance.lexis.com/api/document?collection=cases&amp;id=urn:contentItem:3RX4-4900-003G-2343-00000-00&amp;context=" TargetMode="External"/><Relationship Id="rId1173" Type="http://schemas.openxmlformats.org/officeDocument/2006/relationships/hyperlink" Target="https://advance.lexis.com/api/document?collection=cases&amp;id=urn:contentItem:3RX4-4C40-003G-238G-00000-00&amp;context=" TargetMode="External"/><Relationship Id="rId1380" Type="http://schemas.openxmlformats.org/officeDocument/2006/relationships/header" Target="header221.xml"/><Relationship Id="rId1601" Type="http://schemas.openxmlformats.org/officeDocument/2006/relationships/hyperlink" Target="https://advance.lexis.com/api/document?collection=cases&amp;id=urn:contentItem:3RX4-31B0-003G-20GP-00000-00&amp;context=" TargetMode="External"/><Relationship Id="rId1839" Type="http://schemas.openxmlformats.org/officeDocument/2006/relationships/hyperlink" Target="https://advance.lexis.com/api/document?id=urn:contentItem:5T0Y-CDN0-01KN-B05S-00000-00&amp;idtype=PID&amp;context=1000516" TargetMode="External"/><Relationship Id="rId2017" Type="http://schemas.openxmlformats.org/officeDocument/2006/relationships/hyperlink" Target="https://advance.lexis.com/api/document?id=urn:contentItem:5T0Y-CDN0-01KN-B076-00000-00&amp;idtype=PID&amp;context=1000516" TargetMode="External"/><Relationship Id="rId2224" Type="http://schemas.openxmlformats.org/officeDocument/2006/relationships/hyperlink" Target="https://advance.lexis.com/api/document?collection=cases&amp;id=urn:contentItem:3S12-2MM0-003D-Y2CF-00000-00&amp;context=" TargetMode="External"/><Relationship Id="rId182" Type="http://schemas.openxmlformats.org/officeDocument/2006/relationships/image" Target="media/image3.png"/><Relationship Id="rId403" Type="http://schemas.openxmlformats.org/officeDocument/2006/relationships/header" Target="header37.xml"/><Relationship Id="rId750" Type="http://schemas.openxmlformats.org/officeDocument/2006/relationships/hyperlink" Target="https://advance.lexis.com/api/document?collection=cases&amp;id=urn:contentItem:3S3K-18T0-003G-022C-00000-00&amp;context=" TargetMode="External"/><Relationship Id="rId848" Type="http://schemas.openxmlformats.org/officeDocument/2006/relationships/footer" Target="footer138.xml"/><Relationship Id="rId1033" Type="http://schemas.openxmlformats.org/officeDocument/2006/relationships/hyperlink" Target="https://advance.lexis.com/api/document?collection=cases&amp;id=urn:contentItem:5P69-R0G1-DXPM-S000-00000-00&amp;context=" TargetMode="External"/><Relationship Id="rId1478" Type="http://schemas.openxmlformats.org/officeDocument/2006/relationships/hyperlink" Target="https://advance.lexis.com/api/document?collection=cases&amp;id=urn:contentItem:3S12-2W20-003D-Y3DN-00000-00&amp;context=" TargetMode="External"/><Relationship Id="rId1685" Type="http://schemas.openxmlformats.org/officeDocument/2006/relationships/header" Target="header273.xml"/><Relationship Id="rId1892" Type="http://schemas.openxmlformats.org/officeDocument/2006/relationships/footer" Target="footer310.xml"/><Relationship Id="rId1906" Type="http://schemas.openxmlformats.org/officeDocument/2006/relationships/footer" Target="footer315.xml"/><Relationship Id="rId2431" Type="http://schemas.openxmlformats.org/officeDocument/2006/relationships/footer" Target="footer411.xml"/><Relationship Id="rId487" Type="http://schemas.openxmlformats.org/officeDocument/2006/relationships/hyperlink" Target="https://advance.lexis.com/api/document?collection=cases&amp;id=urn:contentItem:588J-F9C1-F04G-S022-00000-00&amp;context=" TargetMode="External"/><Relationship Id="rId610" Type="http://schemas.openxmlformats.org/officeDocument/2006/relationships/footer" Target="footer86.xml"/><Relationship Id="rId694" Type="http://schemas.openxmlformats.org/officeDocument/2006/relationships/header" Target="header102.xml"/><Relationship Id="rId708" Type="http://schemas.openxmlformats.org/officeDocument/2006/relationships/hyperlink" Target="https://advance.lexis.com/api/document?collection=cases&amp;id=urn:contentItem:3S4X-0CS0-003B-G0XP-00000-00&amp;context=" TargetMode="External"/><Relationship Id="rId915" Type="http://schemas.openxmlformats.org/officeDocument/2006/relationships/hyperlink" Target="https://advance.lexis.com/api/document?collection=cases&amp;id=urn:contentItem:4N9P-YV70-0039-44KY-00000-00&amp;context=" TargetMode="External"/><Relationship Id="rId1240" Type="http://schemas.openxmlformats.org/officeDocument/2006/relationships/footer" Target="footer187.xml"/><Relationship Id="rId1338" Type="http://schemas.openxmlformats.org/officeDocument/2006/relationships/footer" Target="footer204.xml"/><Relationship Id="rId1545" Type="http://schemas.openxmlformats.org/officeDocument/2006/relationships/hyperlink" Target="https://advance.lexis.com/api/document?collection=cases&amp;id=urn:contentItem:3RRM-3R10-003F-049B-00000-00&amp;context=" TargetMode="External"/><Relationship Id="rId2070" Type="http://schemas.openxmlformats.org/officeDocument/2006/relationships/hyperlink" Target="https://advance.lexis.com/api/document?collection=cases&amp;id=urn:contentItem:48XS-PXV0-004C-100T-00000-00&amp;context=" TargetMode="External"/><Relationship Id="rId2168" Type="http://schemas.openxmlformats.org/officeDocument/2006/relationships/hyperlink" Target="https://advance.lexis.com/api/document?id=urn:contentItem:5T0Y-CDN0-01KN-B078-00000-00&amp;idtype=PID&amp;context=1000516" TargetMode="External"/><Relationship Id="rId2375" Type="http://schemas.openxmlformats.org/officeDocument/2006/relationships/header" Target="header400.xml"/><Relationship Id="rId347" Type="http://schemas.openxmlformats.org/officeDocument/2006/relationships/hyperlink" Target="https://advance.lexis.com/api/document?collection=cases&amp;id=urn:contentItem:3RX4-CSW0-003G-21KX-00000-00&amp;context=" TargetMode="External"/><Relationship Id="rId999" Type="http://schemas.openxmlformats.org/officeDocument/2006/relationships/hyperlink" Target="https://advance.lexis.com/api/document?collection=cases&amp;id=urn:contentItem:3RX4-9P40-003G-21HD-00000-00&amp;context=" TargetMode="External"/><Relationship Id="rId1100" Type="http://schemas.openxmlformats.org/officeDocument/2006/relationships/hyperlink" Target="https://advance.lexis.com/api/document?id=urn:contentItem:5T0Y-CDN0-01KN-B047-00000-00&amp;idtype=PID&amp;context=1000516" TargetMode="External"/><Relationship Id="rId1184" Type="http://schemas.openxmlformats.org/officeDocument/2006/relationships/hyperlink" Target="https://advance.lexis.com/api/document?collection=cases&amp;id=urn:contentItem:3RX4-CP70-003G-219B-00000-00&amp;context=" TargetMode="External"/><Relationship Id="rId1405" Type="http://schemas.openxmlformats.org/officeDocument/2006/relationships/footer" Target="footer228.xml"/><Relationship Id="rId1752" Type="http://schemas.openxmlformats.org/officeDocument/2006/relationships/hyperlink" Target="https://advance.lexis.com/api/document?collection=cases&amp;id=urn:contentItem:3RX4-B370-003G-22GF-00000-00&amp;context=" TargetMode="External"/><Relationship Id="rId2028" Type="http://schemas.openxmlformats.org/officeDocument/2006/relationships/header" Target="header336.xml"/><Relationship Id="rId44" Type="http://schemas.openxmlformats.org/officeDocument/2006/relationships/hyperlink" Target="https://advance.lexis.com/api/document?collection=cases&amp;id=urn:contentItem:3RX4-4VV0-003G-248N-00000-00&amp;context=" TargetMode="External"/><Relationship Id="rId554" Type="http://schemas.openxmlformats.org/officeDocument/2006/relationships/footer" Target="footer72.xml"/><Relationship Id="rId761" Type="http://schemas.openxmlformats.org/officeDocument/2006/relationships/footer" Target="footer113.xml"/><Relationship Id="rId859" Type="http://schemas.openxmlformats.org/officeDocument/2006/relationships/hyperlink" Target="https://advance.lexis.com/api/document?collection=cases&amp;id=urn:contentItem:3XVN-RK50-00KR-F4J6-00000-00&amp;context=" TargetMode="External"/><Relationship Id="rId1391" Type="http://schemas.openxmlformats.org/officeDocument/2006/relationships/footer" Target="footer225.xml"/><Relationship Id="rId1489" Type="http://schemas.openxmlformats.org/officeDocument/2006/relationships/hyperlink" Target="https://advance.lexis.com/api/document?collection=cases&amp;id=urn:contentItem:3RX4-BWY0-003G-24GF-00000-00&amp;context=" TargetMode="External"/><Relationship Id="rId1612" Type="http://schemas.openxmlformats.org/officeDocument/2006/relationships/hyperlink" Target="https://advance.lexis.com/api/document?collection=cases&amp;id=urn:contentItem:3RX4-4WY0-003G-24BX-00000-00&amp;context=" TargetMode="External"/><Relationship Id="rId1696" Type="http://schemas.openxmlformats.org/officeDocument/2006/relationships/hyperlink" Target="https://advance.lexis.com/api/document?collection=cases&amp;id=urn:contentItem:3RX4-9FY0-003G-210K-00000-00&amp;context=" TargetMode="External"/><Relationship Id="rId1917" Type="http://schemas.openxmlformats.org/officeDocument/2006/relationships/footer" Target="footer319.xml"/><Relationship Id="rId2235" Type="http://schemas.openxmlformats.org/officeDocument/2006/relationships/hyperlink" Target="https://advance.lexis.com/api/document?collection=cases&amp;id=urn:contentItem:3RX4-B4X0-003G-22MR-00000-00&amp;context=" TargetMode="External"/><Relationship Id="rId2442" Type="http://schemas.openxmlformats.org/officeDocument/2006/relationships/hyperlink" Target="https://advance.lexis.com/api/document?collection=cases&amp;id=urn:contentItem:3RX4-3GN0-003G-21FC-00000-00&amp;context=" TargetMode="External"/><Relationship Id="rId193" Type="http://schemas.openxmlformats.org/officeDocument/2006/relationships/hyperlink" Target="https://advance.lexis.com/api/document?id=urn:contentItem:5T0Y-CDN0-01KN-B024-00000-00&amp;idtype=PID&amp;context=1000516" TargetMode="External"/><Relationship Id="rId207" Type="http://schemas.openxmlformats.org/officeDocument/2006/relationships/hyperlink" Target="https://advance.lexis.com/api/document?collection=cases&amp;id=urn:contentItem:3RX4-8KF0-003G-247X-00000-00&amp;context=" TargetMode="External"/><Relationship Id="rId414" Type="http://schemas.openxmlformats.org/officeDocument/2006/relationships/header" Target="header42.xml"/><Relationship Id="rId498" Type="http://schemas.openxmlformats.org/officeDocument/2006/relationships/header" Target="header59.xml"/><Relationship Id="rId621" Type="http://schemas.openxmlformats.org/officeDocument/2006/relationships/footer" Target="footer90.xml"/><Relationship Id="rId1044" Type="http://schemas.openxmlformats.org/officeDocument/2006/relationships/hyperlink" Target="https://advance.lexis.com/api/document?collection=cases&amp;id=urn:contentItem:3RX4-CNC0-003G-216H-00000-00&amp;context=" TargetMode="External"/><Relationship Id="rId1251" Type="http://schemas.openxmlformats.org/officeDocument/2006/relationships/hyperlink" Target="https://advance.lexis.com/api/document?collection=cases&amp;id=urn:contentItem:3RX4-B4K0-003G-22KY-00000-00&amp;context=" TargetMode="External"/><Relationship Id="rId1349" Type="http://schemas.openxmlformats.org/officeDocument/2006/relationships/hyperlink" Target="https://advance.lexis.com/api/document?collection=cases&amp;id=urn:contentItem:7YGT-WP01-2RHN-X00C-00000-00&amp;context=" TargetMode="External"/><Relationship Id="rId2081" Type="http://schemas.openxmlformats.org/officeDocument/2006/relationships/hyperlink" Target="https://advance.lexis.com/api/document?collection=cases&amp;id=urn:contentItem:3RX4-4960-003G-234M-00000-00&amp;context=" TargetMode="External"/><Relationship Id="rId2179" Type="http://schemas.openxmlformats.org/officeDocument/2006/relationships/hyperlink" Target="https://advance.lexis.com/api/document?id=urn:contentItem:5T0Y-CDN0-01KN-B07H-00000-00&amp;idtype=PID&amp;context=1000516" TargetMode="External"/><Relationship Id="rId2302" Type="http://schemas.openxmlformats.org/officeDocument/2006/relationships/header" Target="header392.xml"/><Relationship Id="rId260" Type="http://schemas.openxmlformats.org/officeDocument/2006/relationships/hyperlink" Target="https://advance.lexis.com/api/document?collection=jury-instructions&amp;id=urn:contentItem:5T0Y-CDN0-01KN-B025-00000-00&amp;context=" TargetMode="External"/><Relationship Id="rId719" Type="http://schemas.openxmlformats.org/officeDocument/2006/relationships/hyperlink" Target="https://advance.lexis.com/api/document?collection=cases&amp;id=urn:contentItem:3RX4-4M20-003G-23TG-00000-00&amp;context=" TargetMode="External"/><Relationship Id="rId926" Type="http://schemas.openxmlformats.org/officeDocument/2006/relationships/hyperlink" Target="https://advance.lexis.com/api/document?collection=cases&amp;id=urn:contentItem:3RX4-9YD0-003G-224Y-00000-00&amp;context=" TargetMode="External"/><Relationship Id="rId1111" Type="http://schemas.openxmlformats.org/officeDocument/2006/relationships/header" Target="header166.xml"/><Relationship Id="rId1556" Type="http://schemas.openxmlformats.org/officeDocument/2006/relationships/header" Target="header261.xml"/><Relationship Id="rId1763" Type="http://schemas.openxmlformats.org/officeDocument/2006/relationships/hyperlink" Target="https://advance.lexis.com/api/document?collection=cases&amp;id=urn:contentItem:3RX4-CD20-003G-20DK-00000-00&amp;context=" TargetMode="External"/><Relationship Id="rId1970" Type="http://schemas.openxmlformats.org/officeDocument/2006/relationships/header" Target="header326.xml"/><Relationship Id="rId2386" Type="http://schemas.openxmlformats.org/officeDocument/2006/relationships/footer" Target="footer405.xml"/><Relationship Id="rId55" Type="http://schemas.openxmlformats.org/officeDocument/2006/relationships/footer" Target="footer9.xml"/><Relationship Id="rId120" Type="http://schemas.openxmlformats.org/officeDocument/2006/relationships/footer" Target="footer22.xml"/><Relationship Id="rId358" Type="http://schemas.openxmlformats.org/officeDocument/2006/relationships/hyperlink" Target="https://advance.lexis.com/api/document?collection=cases&amp;id=urn:contentItem:3RX4-39T0-003G-213D-00000-00&amp;context=" TargetMode="External"/><Relationship Id="rId565" Type="http://schemas.openxmlformats.org/officeDocument/2006/relationships/hyperlink" Target="https://advance.lexis.com/api/document?collection=cases&amp;id=urn:contentItem:45K1-JXH0-0039-405W-00000-00&amp;context=" TargetMode="External"/><Relationship Id="rId772" Type="http://schemas.openxmlformats.org/officeDocument/2006/relationships/footer" Target="footer116.xml"/><Relationship Id="rId1195" Type="http://schemas.openxmlformats.org/officeDocument/2006/relationships/footer" Target="footer183.xml"/><Relationship Id="rId1209" Type="http://schemas.openxmlformats.org/officeDocument/2006/relationships/header" Target="header185.xml"/><Relationship Id="rId1416" Type="http://schemas.openxmlformats.org/officeDocument/2006/relationships/hyperlink" Target="https://advance.lexis.com/api/document?collection=jury-instructions&amp;id=urn:contentItem:5T0Y-CDN0-01KN-B04S-00000-00&amp;context=" TargetMode="External"/><Relationship Id="rId1623" Type="http://schemas.openxmlformats.org/officeDocument/2006/relationships/hyperlink" Target="https://advance.lexis.com/api/document?id=urn:contentItem:5T0Y-CDN0-01KN-B058-00000-00&amp;idtype=PID&amp;context=1000516" TargetMode="External"/><Relationship Id="rId1830" Type="http://schemas.openxmlformats.org/officeDocument/2006/relationships/hyperlink" Target="https://advance.lexis.com/api/document?id=urn:contentItem:5T0Y-CDN0-01KN-B05K-00000-00&amp;idtype=PID&amp;context=1000516" TargetMode="External"/><Relationship Id="rId2039" Type="http://schemas.openxmlformats.org/officeDocument/2006/relationships/header" Target="header341.xml"/><Relationship Id="rId2246" Type="http://schemas.openxmlformats.org/officeDocument/2006/relationships/header" Target="header378.xml"/><Relationship Id="rId2453" Type="http://schemas.openxmlformats.org/officeDocument/2006/relationships/hyperlink" Target="https://advance.lexis.com/api/document?collection=cases&amp;id=urn:contentItem:3RX4-3S70-003G-220X-00000-00&amp;context=" TargetMode="External"/><Relationship Id="rId218" Type="http://schemas.openxmlformats.org/officeDocument/2006/relationships/hyperlink" Target="https://advance.lexis.com/api/document?collection=cases&amp;id=urn:contentItem:3RX4-4PX0-003G-2411-00000-00&amp;context=" TargetMode="External"/><Relationship Id="rId425" Type="http://schemas.openxmlformats.org/officeDocument/2006/relationships/header" Target="header47.xml"/><Relationship Id="rId632" Type="http://schemas.openxmlformats.org/officeDocument/2006/relationships/hyperlink" Target="https://advance.lexis.com/api/document?collection=cases&amp;id=urn:contentItem:47XF-T480-0039-41KD-00000-00&amp;context=" TargetMode="External"/><Relationship Id="rId1055" Type="http://schemas.openxmlformats.org/officeDocument/2006/relationships/hyperlink" Target="https://advance.lexis.com/api/document?collection=cases&amp;id=urn:contentItem:50X5-V0F1-652M-6000-00000-00&amp;context=" TargetMode="External"/><Relationship Id="rId1262" Type="http://schemas.openxmlformats.org/officeDocument/2006/relationships/hyperlink" Target="https://advance.lexis.com/api/document?collection=cases&amp;id=urn:contentItem:3RX4-9JK0-003G-216X-00000-00&amp;context=" TargetMode="External"/><Relationship Id="rId1928" Type="http://schemas.openxmlformats.org/officeDocument/2006/relationships/hyperlink" Target="https://advance.lexis.com/api/document?collection=cases&amp;id=urn:contentItem:3RX4-8PX0-003G-24G6-00000-00&amp;context=" TargetMode="External"/><Relationship Id="rId2092" Type="http://schemas.openxmlformats.org/officeDocument/2006/relationships/header" Target="header356.xml"/><Relationship Id="rId2106" Type="http://schemas.openxmlformats.org/officeDocument/2006/relationships/hyperlink" Target="https://advance.lexis.com/api/document?collection=cases&amp;id=urn:contentItem:3RX4-9XP0-003G-2234-00000-00&amp;context=" TargetMode="External"/><Relationship Id="rId2313" Type="http://schemas.openxmlformats.org/officeDocument/2006/relationships/hyperlink" Target="https://advance.lexis.com/api/document?collection=cases&amp;id=urn:contentItem:41P2-G0Y0-0039-43V7-00000-00&amp;context=" TargetMode="External"/><Relationship Id="rId271" Type="http://schemas.openxmlformats.org/officeDocument/2006/relationships/hyperlink" Target="https://advance.lexis.com/api/document?collection=cases&amp;id=urn:contentItem:3S3H-PV00-0039-435T-00000-00&amp;context=" TargetMode="External"/><Relationship Id="rId937" Type="http://schemas.openxmlformats.org/officeDocument/2006/relationships/header" Target="header150.xml"/><Relationship Id="rId1122" Type="http://schemas.openxmlformats.org/officeDocument/2006/relationships/footer" Target="footer171.xml"/><Relationship Id="rId1567" Type="http://schemas.openxmlformats.org/officeDocument/2006/relationships/hyperlink" Target="https://advance.lexis.com/api/document?collection=cases&amp;id=urn:contentItem:3RJN-3TC0-0039-418P-00000-00&amp;context=" TargetMode="External"/><Relationship Id="rId1774" Type="http://schemas.openxmlformats.org/officeDocument/2006/relationships/hyperlink" Target="https://advance.lexis.com/api/document?collection=cases&amp;id=urn:contentItem:3RX4-4MP0-003G-23VT-00000-00&amp;context=" TargetMode="External"/><Relationship Id="rId1981" Type="http://schemas.openxmlformats.org/officeDocument/2006/relationships/header" Target="header329.xml"/><Relationship Id="rId2397" Type="http://schemas.openxmlformats.org/officeDocument/2006/relationships/hyperlink" Target="https://advance.lexis.com/api/document?collection=cases&amp;id=urn:contentItem:3RX4-38W0-003G-211M-00000-00&amp;context=" TargetMode="External"/><Relationship Id="rId66" Type="http://schemas.openxmlformats.org/officeDocument/2006/relationships/header" Target="header13.xml"/><Relationship Id="rId131" Type="http://schemas.openxmlformats.org/officeDocument/2006/relationships/header" Target="header27.xml"/><Relationship Id="rId369" Type="http://schemas.openxmlformats.org/officeDocument/2006/relationships/hyperlink" Target="https://advance.lexis.com/api/document?collection=cases&amp;id=urn:contentItem:3RX4-3PH0-003G-21WF-00000-00&amp;context=" TargetMode="External"/><Relationship Id="rId576" Type="http://schemas.openxmlformats.org/officeDocument/2006/relationships/hyperlink" Target="https://advance.lexis.com/api/document?collection=cases&amp;id=urn:contentItem:43BY-BPC0-0039-4036-00000-00&amp;context=" TargetMode="External"/><Relationship Id="rId783" Type="http://schemas.openxmlformats.org/officeDocument/2006/relationships/header" Target="header121.xml"/><Relationship Id="rId990" Type="http://schemas.openxmlformats.org/officeDocument/2006/relationships/hyperlink" Target="https://advance.lexis.com/api/document?collection=cases&amp;id=urn:contentItem:54XH-SM91-F04G-T00C-00000-00&amp;context=" TargetMode="External"/><Relationship Id="rId1427" Type="http://schemas.openxmlformats.org/officeDocument/2006/relationships/hyperlink" Target="https://advance.lexis.com/api/document?id=urn:contentItem:5T0Y-CDN0-01KN-B04Y-00000-00&amp;idtype=PID&amp;context=1000516" TargetMode="External"/><Relationship Id="rId1634" Type="http://schemas.openxmlformats.org/officeDocument/2006/relationships/hyperlink" Target="https://advance.lexis.com/api/document?id=urn:contentItem:5T0Y-CDN0-01KN-B05G-00000-00&amp;idtype=PID&amp;context=1000516" TargetMode="External"/><Relationship Id="rId1841" Type="http://schemas.openxmlformats.org/officeDocument/2006/relationships/hyperlink" Target="https://advance.lexis.com/api/document?id=urn:contentItem:5T0Y-CDN0-01KN-B05V-00000-00&amp;idtype=PID&amp;context=1000516" TargetMode="External"/><Relationship Id="rId2257" Type="http://schemas.openxmlformats.org/officeDocument/2006/relationships/hyperlink" Target="https://advance.lexis.com/api/document?collection=cases&amp;id=urn:contentItem:59PP-6911-F04G-T01R-00000-00&amp;context=" TargetMode="External"/><Relationship Id="rId2464" Type="http://schemas.openxmlformats.org/officeDocument/2006/relationships/header" Target="header419.xml"/><Relationship Id="rId229" Type="http://schemas.openxmlformats.org/officeDocument/2006/relationships/hyperlink" Target="https://advance.lexis.com/api/document?collection=cases&amp;id=urn:contentItem:42H3-9X30-0039-43KY-00000-00&amp;context=" TargetMode="External"/><Relationship Id="rId436" Type="http://schemas.openxmlformats.org/officeDocument/2006/relationships/footer" Target="footer50.xml"/><Relationship Id="rId643" Type="http://schemas.openxmlformats.org/officeDocument/2006/relationships/hyperlink" Target="https://advance.lexis.com/api/document?collection=cases&amp;id=urn:contentItem:3RX4-CCB0-003G-20BM-00000-00&amp;context=" TargetMode="External"/><Relationship Id="rId1066" Type="http://schemas.openxmlformats.org/officeDocument/2006/relationships/hyperlink" Target="https://advance.lexis.com/api/document?collection=cases&amp;id=urn:contentItem:3RX4-CS70-003G-21J0-00000-00&amp;context=" TargetMode="External"/><Relationship Id="rId1273" Type="http://schemas.openxmlformats.org/officeDocument/2006/relationships/header" Target="header193.xml"/><Relationship Id="rId1480" Type="http://schemas.openxmlformats.org/officeDocument/2006/relationships/hyperlink" Target="https://advance.lexis.com/api/document?collection=cases&amp;id=urn:contentItem:3S3J-YS60-003G-00V8-00000-00&amp;context=" TargetMode="External"/><Relationship Id="rId1939" Type="http://schemas.openxmlformats.org/officeDocument/2006/relationships/hyperlink" Target="https://advance.lexis.com/api/document?collection=cases&amp;id=urn:contentItem:3RX4-B7W0-003G-22WS-00000-00&amp;context=" TargetMode="External"/><Relationship Id="rId2117" Type="http://schemas.openxmlformats.org/officeDocument/2006/relationships/hyperlink" Target="https://advance.lexis.com/api/document?collection=cases&amp;id=urn:contentItem:4HHR-FJV0-0039-433S-00000-00&amp;context=" TargetMode="External"/><Relationship Id="rId2324" Type="http://schemas.openxmlformats.org/officeDocument/2006/relationships/footer" Target="footer396.xml"/><Relationship Id="rId850" Type="http://schemas.openxmlformats.org/officeDocument/2006/relationships/header" Target="header139.xml"/><Relationship Id="rId948" Type="http://schemas.openxmlformats.org/officeDocument/2006/relationships/footer" Target="footer152.xml"/><Relationship Id="rId1133" Type="http://schemas.openxmlformats.org/officeDocument/2006/relationships/hyperlink" Target="https://advance.lexis.com/api/document?collection=cases&amp;id=urn:contentItem:4GC9-WJV0-0039-41YX-00000-00&amp;context=" TargetMode="External"/><Relationship Id="rId1578" Type="http://schemas.openxmlformats.org/officeDocument/2006/relationships/hyperlink" Target="https://advance.lexis.com/api/document?collection=cases&amp;id=urn:contentItem:3RX4-4FJ0-003G-23FY-00000-00&amp;context=" TargetMode="External"/><Relationship Id="rId1701" Type="http://schemas.openxmlformats.org/officeDocument/2006/relationships/header" Target="header274.xml"/><Relationship Id="rId1785" Type="http://schemas.openxmlformats.org/officeDocument/2006/relationships/hyperlink" Target="https://advance.lexis.com/api/document?collection=cases&amp;id=urn:contentItem:4HS3-K5N0-0039-4421-00000-00&amp;context=" TargetMode="External"/><Relationship Id="rId1992" Type="http://schemas.openxmlformats.org/officeDocument/2006/relationships/hyperlink" Target="https://advance.lexis.com/api/document?collection=cases&amp;id=urn:contentItem:3RX4-3XK0-003G-229B-00000-00&amp;context=" TargetMode="External"/><Relationship Id="rId77" Type="http://schemas.openxmlformats.org/officeDocument/2006/relationships/header" Target="header18.xml"/><Relationship Id="rId282" Type="http://schemas.openxmlformats.org/officeDocument/2006/relationships/hyperlink" Target="https://advance.lexis.com/api/document?id=urn:contentItem:5T0Y-CDN0-01KN-B020-00000-00&amp;idtype=PID&amp;context=1000516" TargetMode="External"/><Relationship Id="rId503" Type="http://schemas.openxmlformats.org/officeDocument/2006/relationships/hyperlink" Target="https://advance.lexis.com/api/document?collection=jury-instructions&amp;id=urn:contentItem:5T0Y-CDN0-01KN-B02X-00000-00&amp;context=" TargetMode="External"/><Relationship Id="rId587" Type="http://schemas.openxmlformats.org/officeDocument/2006/relationships/hyperlink" Target="https://advance.lexis.com/api/document?collection=jury-instructions&amp;id=urn:contentItem:5T0Y-CDN0-01KN-B034-00000-00&amp;context=" TargetMode="External"/><Relationship Id="rId710" Type="http://schemas.openxmlformats.org/officeDocument/2006/relationships/header" Target="header106.xml"/><Relationship Id="rId808" Type="http://schemas.openxmlformats.org/officeDocument/2006/relationships/footer" Target="footer129.xml"/><Relationship Id="rId1340" Type="http://schemas.openxmlformats.org/officeDocument/2006/relationships/hyperlink" Target="https://advance.lexis.com/api/document?collection=cases&amp;id=urn:contentItem:5P69-R0G1-DXPM-S000-00000-00&amp;context=" TargetMode="External"/><Relationship Id="rId1438" Type="http://schemas.openxmlformats.org/officeDocument/2006/relationships/header" Target="header232.xml"/><Relationship Id="rId1645" Type="http://schemas.openxmlformats.org/officeDocument/2006/relationships/header" Target="header269.xml"/><Relationship Id="rId2170" Type="http://schemas.openxmlformats.org/officeDocument/2006/relationships/hyperlink" Target="https://advance.lexis.com/api/document?id=urn:contentItem:5T0Y-CDN0-01KN-B079-00000-00&amp;idtype=PID&amp;context=1000516" TargetMode="External"/><Relationship Id="rId2268" Type="http://schemas.openxmlformats.org/officeDocument/2006/relationships/hyperlink" Target="https://advance.lexis.com/api/document?collection=cases&amp;id=urn:contentItem:5739-2K51-F04G-S11P-00000-00&amp;context=" TargetMode="External"/><Relationship Id="rId8" Type="http://schemas.openxmlformats.org/officeDocument/2006/relationships/hyperlink" Target="https://advance.lexis.com/api/document?id=urn:contentItem:5T0Y-CDN0-01KN-B01K-00000-00&amp;idtype=PID&amp;context=1000516" TargetMode="External"/><Relationship Id="rId142" Type="http://schemas.openxmlformats.org/officeDocument/2006/relationships/hyperlink" Target="https://advance.lexis.com/api/document?collection=cases&amp;id=urn:contentItem:3RX4-3MH0-003G-21RG-00000-00&amp;context=" TargetMode="External"/><Relationship Id="rId447" Type="http://schemas.openxmlformats.org/officeDocument/2006/relationships/hyperlink" Target="https://advance.lexis.com/api/document?collection=cases&amp;id=urn:contentItem:3RX4-4990-003G-234S-00000-00&amp;context=" TargetMode="External"/><Relationship Id="rId794" Type="http://schemas.openxmlformats.org/officeDocument/2006/relationships/hyperlink" Target="https://advance.lexis.com/api/document?collection=cases&amp;id=urn:contentItem:7YSN-XP80-YB0V-90M9-00000-00&amp;context=" TargetMode="External"/><Relationship Id="rId1077" Type="http://schemas.openxmlformats.org/officeDocument/2006/relationships/hyperlink" Target="https://advance.lexis.com/api/document?collection=cases&amp;id=urn:contentItem:3RX4-C1C0-003G-24SR-00000-00&amp;context=" TargetMode="External"/><Relationship Id="rId1200" Type="http://schemas.openxmlformats.org/officeDocument/2006/relationships/hyperlink" Target="https://advance.lexis.com/api/document?collection=cases&amp;id=urn:contentItem:3RX4-5G60-003G-20M2-00000-00&amp;context=" TargetMode="External"/><Relationship Id="rId1852" Type="http://schemas.openxmlformats.org/officeDocument/2006/relationships/footer" Target="footer300.xml"/><Relationship Id="rId2030" Type="http://schemas.openxmlformats.org/officeDocument/2006/relationships/hyperlink" Target="https://advance.lexis.com/api/document?collection=jury-instructions&amp;id=urn:contentItem:5T0Y-CDN0-01KN-B06V-00000-00&amp;context=" TargetMode="External"/><Relationship Id="rId2128" Type="http://schemas.openxmlformats.org/officeDocument/2006/relationships/hyperlink" Target="https://advance.lexis.com/api/document?collection=cases&amp;id=urn:contentItem:3RX4-8JF0-003G-245R-00000-00&amp;context=" TargetMode="External"/><Relationship Id="rId2475" Type="http://schemas.openxmlformats.org/officeDocument/2006/relationships/hyperlink" Target="https://advance.lexis.com/api/document?collection=cases&amp;id=urn:contentItem:48KW-0TT0-0039-43WT-00000-00&amp;context=" TargetMode="External"/><Relationship Id="rId654" Type="http://schemas.openxmlformats.org/officeDocument/2006/relationships/header" Target="header97.xml"/><Relationship Id="rId861" Type="http://schemas.openxmlformats.org/officeDocument/2006/relationships/hyperlink" Target="https://advance.lexis.com/api/document?collection=cases&amp;id=urn:contentItem:3RX4-C6C0-003G-2563-00000-00&amp;context=" TargetMode="External"/><Relationship Id="rId959" Type="http://schemas.openxmlformats.org/officeDocument/2006/relationships/hyperlink" Target="https://advance.lexis.com/api/document?collection=cases&amp;id=urn:contentItem:3RX4-99B0-003G-20K3-00000-00&amp;context=" TargetMode="External"/><Relationship Id="rId1284" Type="http://schemas.openxmlformats.org/officeDocument/2006/relationships/hyperlink" Target="https://advance.lexis.com/api/document?collection=cases&amp;id=urn:contentItem:3RX4-3J90-003G-21JY-00000-00&amp;context=" TargetMode="External"/><Relationship Id="rId1491" Type="http://schemas.openxmlformats.org/officeDocument/2006/relationships/hyperlink" Target="https://advance.lexis.com/api/document?collection=cases&amp;id=urn:contentItem:3S12-2SS0-003D-Y326-00000-00&amp;context=" TargetMode="External"/><Relationship Id="rId1505" Type="http://schemas.openxmlformats.org/officeDocument/2006/relationships/hyperlink" Target="https://advance.lexis.com/api/document?collection=cases&amp;id=urn:contentItem:3XVN-DF90-00KR-F2MC-00000-00&amp;context=" TargetMode="External"/><Relationship Id="rId1589" Type="http://schemas.openxmlformats.org/officeDocument/2006/relationships/hyperlink" Target="https://advance.lexis.com/api/document?collection=cases&amp;id=urn:contentItem:801F-XGM1-2RHN-X009-00000-00&amp;context=" TargetMode="External"/><Relationship Id="rId1712" Type="http://schemas.openxmlformats.org/officeDocument/2006/relationships/header" Target="header277.xml"/><Relationship Id="rId2335" Type="http://schemas.openxmlformats.org/officeDocument/2006/relationships/hyperlink" Target="https://advance.lexis.com/api/document?collection=jury-instructions&amp;id=urn:contentItem:5T0Y-CDN0-01KN-B07J-00000-00&amp;context=" TargetMode="External"/><Relationship Id="rId293" Type="http://schemas.openxmlformats.org/officeDocument/2006/relationships/hyperlink" Target="https://advance.lexis.com/api/document?id=urn:contentItem:5T0Y-CDN0-01KN-B025-00000-00&amp;idtype=PID&amp;context=1000516" TargetMode="External"/><Relationship Id="rId307" Type="http://schemas.openxmlformats.org/officeDocument/2006/relationships/hyperlink" Target="https://advance.lexis.com/api/document?collection=cases&amp;id=urn:contentItem:3RX4-4G30-003G-23H2-00000-00&amp;context=" TargetMode="External"/><Relationship Id="rId514" Type="http://schemas.openxmlformats.org/officeDocument/2006/relationships/hyperlink" Target="https://advance.lexis.com/api/document?collection=cases&amp;id=urn:contentItem:3RX4-9TD0-003G-21TD-00000-00&amp;context=" TargetMode="External"/><Relationship Id="rId721" Type="http://schemas.openxmlformats.org/officeDocument/2006/relationships/hyperlink" Target="https://advance.lexis.com/api/document?collection=cases&amp;id=urn:contentItem:7XNK-3SX0-YB0R-N000-00000-00&amp;context=" TargetMode="External"/><Relationship Id="rId1144" Type="http://schemas.openxmlformats.org/officeDocument/2006/relationships/hyperlink" Target="https://advance.lexis.com/api/document?collection=cases&amp;id=urn:contentItem:3RX4-4TW0-003G-246M-00000-00&amp;context=" TargetMode="External"/><Relationship Id="rId1351" Type="http://schemas.openxmlformats.org/officeDocument/2006/relationships/header" Target="header208.xml"/><Relationship Id="rId1449" Type="http://schemas.openxmlformats.org/officeDocument/2006/relationships/footer" Target="footer237.xml"/><Relationship Id="rId1796" Type="http://schemas.openxmlformats.org/officeDocument/2006/relationships/footer" Target="footer293.xml"/><Relationship Id="rId2181" Type="http://schemas.openxmlformats.org/officeDocument/2006/relationships/hyperlink" Target="https://advance.lexis.com/api/document?id=urn:contentItem:5T0Y-CDN0-01KN-B07G-00000-00&amp;idtype=PID&amp;context=1000516" TargetMode="External"/><Relationship Id="rId2402" Type="http://schemas.openxmlformats.org/officeDocument/2006/relationships/footer" Target="footer406.xml"/><Relationship Id="rId88" Type="http://schemas.openxmlformats.org/officeDocument/2006/relationships/hyperlink" Target="https://advance.lexis.com/api/document?collection=jury-instructions&amp;id=urn:contentItem:5T0Y-CDN0-01KN-B01S-00000-00&amp;context=" TargetMode="External"/><Relationship Id="rId153" Type="http://schemas.openxmlformats.org/officeDocument/2006/relationships/hyperlink" Target="https://advance.lexis.com/api/document?collection=cases&amp;id=urn:contentItem:4H29-9BH0-0039-40C1-00000-00&amp;context=" TargetMode="External"/><Relationship Id="rId360" Type="http://schemas.openxmlformats.org/officeDocument/2006/relationships/hyperlink" Target="https://advance.lexis.com/api/document?collection=cases&amp;id=urn:contentItem:3S12-2GG0-003D-Y1PH-00000-00&amp;context=" TargetMode="External"/><Relationship Id="rId598" Type="http://schemas.openxmlformats.org/officeDocument/2006/relationships/header" Target="header83.xml"/><Relationship Id="rId819" Type="http://schemas.openxmlformats.org/officeDocument/2006/relationships/hyperlink" Target="https://advance.lexis.com/api/document?id=urn:contentItem:5T0Y-CDN0-01KN-B03S-00000-00&amp;idtype=PID&amp;context=1000516" TargetMode="External"/><Relationship Id="rId1004" Type="http://schemas.openxmlformats.org/officeDocument/2006/relationships/hyperlink" Target="https://advance.lexis.com/api/document?collection=cases&amp;id=urn:contentItem:3RX4-99B0-003G-20K3-00000-00&amp;context=" TargetMode="External"/><Relationship Id="rId1211" Type="http://schemas.openxmlformats.org/officeDocument/2006/relationships/footer" Target="footer185.xml"/><Relationship Id="rId1656" Type="http://schemas.openxmlformats.org/officeDocument/2006/relationships/hyperlink" Target="https://advance.lexis.com/api/document?collection=cases&amp;id=urn:contentItem:3RX4-99P0-003G-20M1-00000-00&amp;context=" TargetMode="External"/><Relationship Id="rId1863" Type="http://schemas.openxmlformats.org/officeDocument/2006/relationships/hyperlink" Target="https://advance.lexis.com/api/document?collection=cases&amp;id=urn:contentItem:3RX4-36T0-003G-20WD-00000-00&amp;context=" TargetMode="External"/><Relationship Id="rId2041" Type="http://schemas.openxmlformats.org/officeDocument/2006/relationships/footer" Target="footer341.xml"/><Relationship Id="rId2279" Type="http://schemas.openxmlformats.org/officeDocument/2006/relationships/header" Target="header384.xml"/><Relationship Id="rId220" Type="http://schemas.openxmlformats.org/officeDocument/2006/relationships/hyperlink" Target="https://advance.lexis.com/api/document?collection=cases&amp;id=urn:contentItem:3S4X-KTX0-0039-W0TF-00000-00&amp;context=" TargetMode="External"/><Relationship Id="rId458" Type="http://schemas.openxmlformats.org/officeDocument/2006/relationships/hyperlink" Target="https://advance.lexis.com/api/document?collection=cases&amp;id=urn:contentItem:3SD8-HJM0-0039-4407-00000-00&amp;context=" TargetMode="External"/><Relationship Id="rId665" Type="http://schemas.openxmlformats.org/officeDocument/2006/relationships/hyperlink" Target="https://advance.lexis.com/api/document?collection=cases&amp;id=urn:contentItem:4SH1-S5H0-TX4N-G033-00000-00&amp;context=" TargetMode="External"/><Relationship Id="rId872" Type="http://schemas.openxmlformats.org/officeDocument/2006/relationships/hyperlink" Target="https://advance.lexis.com/api/document?collection=cases&amp;id=urn:contentItem:3RX4-CJ30-003G-20TW-00000-00&amp;context=" TargetMode="External"/><Relationship Id="rId1088" Type="http://schemas.openxmlformats.org/officeDocument/2006/relationships/hyperlink" Target="https://advance.lexis.com/api/document?collection=cases&amp;id=urn:contentItem:3RX4-C1D0-003G-24SS-00000-00&amp;context=" TargetMode="External"/><Relationship Id="rId1295" Type="http://schemas.openxmlformats.org/officeDocument/2006/relationships/hyperlink" Target="https://advance.lexis.com/api/document?collection=cases&amp;id=urn:contentItem:3RX4-3K80-003G-21MX-00000-00&amp;context=" TargetMode="External"/><Relationship Id="rId1309" Type="http://schemas.openxmlformats.org/officeDocument/2006/relationships/hyperlink" Target="https://advance.lexis.com/api/document?id=urn:contentItem:5T0Y-CDN0-01KN-B04G-00000-00&amp;idtype=PID&amp;context=1000516" TargetMode="External"/><Relationship Id="rId1516" Type="http://schemas.openxmlformats.org/officeDocument/2006/relationships/hyperlink" Target="https://advance.lexis.com/api/document?collection=cases&amp;id=urn:contentItem:3W6N-K9W0-0039-448F-00000-00&amp;context=" TargetMode="External"/><Relationship Id="rId1723" Type="http://schemas.openxmlformats.org/officeDocument/2006/relationships/header" Target="header281.xml"/><Relationship Id="rId1930" Type="http://schemas.openxmlformats.org/officeDocument/2006/relationships/header" Target="header323.xml"/><Relationship Id="rId2139" Type="http://schemas.openxmlformats.org/officeDocument/2006/relationships/hyperlink" Target="https://advance.lexis.com/api/document?collection=cases&amp;id=urn:contentItem:4GMH-X520-0039-42GG-00000-00&amp;context=" TargetMode="External"/><Relationship Id="rId2346" Type="http://schemas.openxmlformats.org/officeDocument/2006/relationships/hyperlink" Target="https://advance.lexis.com/api/document?collection=cases&amp;id=urn:contentItem:3S12-23H0-003D-Y05M-00000-00&amp;context=" TargetMode="External"/><Relationship Id="rId15" Type="http://schemas.openxmlformats.org/officeDocument/2006/relationships/hyperlink" Target="https://advance.lexis.com/api/document?id=urn:contentItem:5T0Y-CDN0-01KN-B01R-00000-00&amp;idtype=PID&amp;context=1000516" TargetMode="External"/><Relationship Id="rId318" Type="http://schemas.openxmlformats.org/officeDocument/2006/relationships/hyperlink" Target="https://advance.lexis.com/api/document?collection=cases&amp;id=urn:contentItem:3S4X-KTX0-0039-W0TF-00000-00&amp;context=" TargetMode="External"/><Relationship Id="rId525" Type="http://schemas.openxmlformats.org/officeDocument/2006/relationships/hyperlink" Target="https://advance.lexis.com/api/document?id=urn:contentItem:5T0Y-CDN0-01KN-B032-00000-00&amp;idtype=PID&amp;context=1000516" TargetMode="External"/><Relationship Id="rId732" Type="http://schemas.openxmlformats.org/officeDocument/2006/relationships/hyperlink" Target="https://advance.lexis.com/api/document?collection=cases&amp;id=urn:contentItem:3S12-2PD0-003D-Y2NN-00000-00&amp;context=" TargetMode="External"/><Relationship Id="rId1155" Type="http://schemas.openxmlformats.org/officeDocument/2006/relationships/hyperlink" Target="https://advance.lexis.com/api/document?collection=cases&amp;id=urn:contentItem:3RX4-4JW0-003G-23R2-00000-00&amp;context=" TargetMode="External"/><Relationship Id="rId1362" Type="http://schemas.openxmlformats.org/officeDocument/2006/relationships/header" Target="header213.xml"/><Relationship Id="rId2192" Type="http://schemas.openxmlformats.org/officeDocument/2006/relationships/header" Target="header371.xml"/><Relationship Id="rId2206" Type="http://schemas.openxmlformats.org/officeDocument/2006/relationships/footer" Target="footer375.xml"/><Relationship Id="rId2413" Type="http://schemas.openxmlformats.org/officeDocument/2006/relationships/hyperlink" Target="https://advance.lexis.com/api/document?collection=cases&amp;id=urn:contentItem:3RX4-2WX0-003G-208N-00000-00&amp;context=" TargetMode="External"/><Relationship Id="rId99" Type="http://schemas.openxmlformats.org/officeDocument/2006/relationships/hyperlink" Target="https://advance.lexis.com/api/document?collection=cases&amp;id=urn:contentItem:3RX4-9V90-003G-21WN-00000-00&amp;context=" TargetMode="External"/><Relationship Id="rId164" Type="http://schemas.openxmlformats.org/officeDocument/2006/relationships/hyperlink" Target="https://advance.lexis.com/api/document?collection=cases&amp;id=urn:contentItem:3RX4-8VP0-003G-24T1-00000-00&amp;context=" TargetMode="External"/><Relationship Id="rId371" Type="http://schemas.openxmlformats.org/officeDocument/2006/relationships/hyperlink" Target="https://advance.lexis.com/api/document?collection=cases&amp;id=urn:contentItem:3RX4-3PH0-003G-21WF-00000-00&amp;context=" TargetMode="External"/><Relationship Id="rId1015" Type="http://schemas.openxmlformats.org/officeDocument/2006/relationships/hyperlink" Target="https://advance.lexis.com/api/document?collection=cases&amp;id=urn:contentItem:3RX4-C8R0-003G-204M-00000-00&amp;context=" TargetMode="External"/><Relationship Id="rId1222" Type="http://schemas.openxmlformats.org/officeDocument/2006/relationships/hyperlink" Target="https://advance.lexis.com/api/document?collection=cases&amp;id=urn:contentItem:3RX4-32S0-003G-20KP-00000-00&amp;context=" TargetMode="External"/><Relationship Id="rId1667" Type="http://schemas.openxmlformats.org/officeDocument/2006/relationships/hyperlink" Target="https://advance.lexis.com/api/document?collection=cases&amp;id=urn:contentItem:3RX4-CGH0-003G-20MX-00000-00&amp;context=" TargetMode="External"/><Relationship Id="rId1874" Type="http://schemas.openxmlformats.org/officeDocument/2006/relationships/footer" Target="footer304.xml"/><Relationship Id="rId2052" Type="http://schemas.openxmlformats.org/officeDocument/2006/relationships/header" Target="header346.xml"/><Relationship Id="rId469" Type="http://schemas.openxmlformats.org/officeDocument/2006/relationships/hyperlink" Target="https://advance.lexis.com/api/document?collection=cases&amp;id=urn:contentItem:3RX4-3F70-003G-21B7-00000-00&amp;context=" TargetMode="External"/><Relationship Id="rId676" Type="http://schemas.openxmlformats.org/officeDocument/2006/relationships/hyperlink" Target="https://advance.lexis.com/api/document?id=urn:contentItem:5T0Y-CDN0-01KN-B03G-00000-00&amp;idtype=PID&amp;context=1000516" TargetMode="External"/><Relationship Id="rId883" Type="http://schemas.openxmlformats.org/officeDocument/2006/relationships/hyperlink" Target="https://advance.lexis.com/api/document?collection=cases&amp;id=urn:contentItem:3S12-2VG0-003D-Y39R-00000-00&amp;context=" TargetMode="External"/><Relationship Id="rId1099" Type="http://schemas.openxmlformats.org/officeDocument/2006/relationships/hyperlink" Target="https://advance.lexis.com/api/document?id=urn:contentItem:5T0Y-CDN0-01KN-B047-00000-00&amp;idtype=PID&amp;context=1000516" TargetMode="External"/><Relationship Id="rId1527" Type="http://schemas.openxmlformats.org/officeDocument/2006/relationships/hyperlink" Target="https://advance.lexis.com/api/document?collection=cases&amp;id=urn:contentItem:7XY1-WCS0-YB0R-N000-00000-00&amp;context=" TargetMode="External"/><Relationship Id="rId1734" Type="http://schemas.openxmlformats.org/officeDocument/2006/relationships/footer" Target="footer285.xml"/><Relationship Id="rId1941" Type="http://schemas.openxmlformats.org/officeDocument/2006/relationships/hyperlink" Target="https://advance.lexis.com/api/document?collection=cases&amp;id=urn:contentItem:3RX4-BC80-003G-2368-00000-00&amp;context=" TargetMode="External"/><Relationship Id="rId2357" Type="http://schemas.openxmlformats.org/officeDocument/2006/relationships/hyperlink" Target="https://advance.lexis.com/api/document?collection=cases&amp;id=urn:contentItem:3RX4-9M80-003G-21BY-00000-00&amp;context=" TargetMode="External"/><Relationship Id="rId26" Type="http://schemas.openxmlformats.org/officeDocument/2006/relationships/hyperlink" Target="https://advance.lexis.com/api/document?id=urn:contentItem:5T0Y-CDN0-01KN-B01V-00000-00&amp;idtype=PID&amp;context=1000516" TargetMode="External"/><Relationship Id="rId231" Type="http://schemas.openxmlformats.org/officeDocument/2006/relationships/hyperlink" Target="https://advance.lexis.com/api/document?collection=cases&amp;id=urn:contentItem:3RX6-DXX0-003G-222H-00000-00&amp;context=" TargetMode="External"/><Relationship Id="rId329" Type="http://schemas.openxmlformats.org/officeDocument/2006/relationships/hyperlink" Target="https://advance.lexis.com/api/document?collection=cases&amp;id=urn:contentItem:3RX6-DY40-003G-2237-00000-00&amp;context=" TargetMode="External"/><Relationship Id="rId536" Type="http://schemas.openxmlformats.org/officeDocument/2006/relationships/hyperlink" Target="https://advance.lexis.com/api/document?id=urn:contentItem:5T0Y-CDN0-01KN-B037-00000-00&amp;idtype=PID&amp;context=1000516" TargetMode="External"/><Relationship Id="rId1166" Type="http://schemas.openxmlformats.org/officeDocument/2006/relationships/footer" Target="footer175.xml"/><Relationship Id="rId1373" Type="http://schemas.openxmlformats.org/officeDocument/2006/relationships/header" Target="header218.xml"/><Relationship Id="rId2217" Type="http://schemas.openxmlformats.org/officeDocument/2006/relationships/hyperlink" Target="https://advance.lexis.com/api/document?collection=cases&amp;id=urn:contentItem:3RX4-C0V0-003G-24RF-00000-00&amp;context=" TargetMode="External"/><Relationship Id="rId175" Type="http://schemas.openxmlformats.org/officeDocument/2006/relationships/footer" Target="footer32.xml"/><Relationship Id="rId743" Type="http://schemas.openxmlformats.org/officeDocument/2006/relationships/hyperlink" Target="https://advance.lexis.com/api/document?collection=cases&amp;id=urn:contentItem:3RX4-4Y90-003G-24FN-00000-00&amp;context=" TargetMode="External"/><Relationship Id="rId950" Type="http://schemas.openxmlformats.org/officeDocument/2006/relationships/footer" Target="footer153.xml"/><Relationship Id="rId1026" Type="http://schemas.openxmlformats.org/officeDocument/2006/relationships/footer" Target="footer159.xml"/><Relationship Id="rId1580" Type="http://schemas.openxmlformats.org/officeDocument/2006/relationships/hyperlink" Target="https://advance.lexis.com/api/document?collection=cases&amp;id=urn:contentItem:3S12-34R0-003D-Y4HY-00000-00&amp;context=" TargetMode="External"/><Relationship Id="rId1678" Type="http://schemas.openxmlformats.org/officeDocument/2006/relationships/hyperlink" Target="https://advance.lexis.com/api/document?collection=cases&amp;id=urn:contentItem:3RX4-9WP0-003G-2214-00000-00&amp;context=" TargetMode="External"/><Relationship Id="rId1801" Type="http://schemas.openxmlformats.org/officeDocument/2006/relationships/hyperlink" Target="https://advance.lexis.com/api/document?collection=cases&amp;id=urn:contentItem:42H7-GF50-0039-43RR-00000-00&amp;context=" TargetMode="External"/><Relationship Id="rId1885" Type="http://schemas.openxmlformats.org/officeDocument/2006/relationships/hyperlink" Target="https://advance.lexis.com/api/document?collection=jury-instructions&amp;id=urn:contentItem:5T0Y-CDN0-01KN-B05M-00000-00&amp;context=" TargetMode="External"/><Relationship Id="rId2424" Type="http://schemas.openxmlformats.org/officeDocument/2006/relationships/hyperlink" Target="https://advance.lexis.com/api/document?collection=cases&amp;id=urn:contentItem:3RX4-3XM0-003G-229F-00000-00&amp;context=" TargetMode="External"/><Relationship Id="rId382" Type="http://schemas.openxmlformats.org/officeDocument/2006/relationships/hyperlink" Target="https://advance.lexis.com/api/document?id=urn:contentItem:5T0Y-CDN0-01KN-B02R-00000-00&amp;idtype=PID&amp;context=1000516" TargetMode="External"/><Relationship Id="rId603" Type="http://schemas.openxmlformats.org/officeDocument/2006/relationships/hyperlink" Target="https://advance.lexis.com/api/document?collection=jury-instructions&amp;id=urn:contentItem:5T0Y-CDN0-01KN-B035-00000-00&amp;context=" TargetMode="External"/><Relationship Id="rId687" Type="http://schemas.openxmlformats.org/officeDocument/2006/relationships/hyperlink" Target="https://advance.lexis.com/api/document?id=urn:contentItem:5T0Y-CDN0-01KN-B03N-00000-00&amp;idtype=PID&amp;context=1000516" TargetMode="External"/><Relationship Id="rId810" Type="http://schemas.openxmlformats.org/officeDocument/2006/relationships/header" Target="header130.xml"/><Relationship Id="rId908" Type="http://schemas.openxmlformats.org/officeDocument/2006/relationships/hyperlink" Target="https://advance.lexis.com/api/document?collection=cases&amp;id=urn:contentItem:3S12-25J0-003D-Y0CT-00000-00&amp;context=" TargetMode="External"/><Relationship Id="rId1233" Type="http://schemas.openxmlformats.org/officeDocument/2006/relationships/hyperlink" Target="https://advance.lexis.com/api/document?collection=cases&amp;id=urn:contentItem:3RX4-CM90-003G-212R-00000-00&amp;context=" TargetMode="External"/><Relationship Id="rId1440" Type="http://schemas.openxmlformats.org/officeDocument/2006/relationships/footer" Target="footer232.xml"/><Relationship Id="rId1538" Type="http://schemas.openxmlformats.org/officeDocument/2006/relationships/hyperlink" Target="https://advance.lexis.com/api/document?collection=jury-instructions&amp;id=urn:contentItem:5T0Y-CDN0-01KN-B053-00000-00&amp;context=" TargetMode="External"/><Relationship Id="rId2063" Type="http://schemas.openxmlformats.org/officeDocument/2006/relationships/header" Target="header351.xml"/><Relationship Id="rId2270" Type="http://schemas.openxmlformats.org/officeDocument/2006/relationships/hyperlink" Target="https://advance.lexis.com/api/document?collection=cases&amp;id=urn:contentItem:5739-2K51-F04G-S11P-00000-00&amp;context=" TargetMode="External"/><Relationship Id="rId2368" Type="http://schemas.openxmlformats.org/officeDocument/2006/relationships/hyperlink" Target="https://advance.lexis.com/api/document?id=urn:contentItem:5T0Y-CDN0-01KN-B07P-00000-00&amp;idtype=PID&amp;context=1000516" TargetMode="External"/><Relationship Id="rId242" Type="http://schemas.openxmlformats.org/officeDocument/2006/relationships/hyperlink" Target="https://advance.lexis.com/api/document?collection=cases&amp;id=urn:contentItem:3Y52-5JS0-0039-4012-00000-00&amp;context=" TargetMode="External"/><Relationship Id="rId894" Type="http://schemas.openxmlformats.org/officeDocument/2006/relationships/hyperlink" Target="https://advance.lexis.com/api/document?collection=cases&amp;id=urn:contentItem:4BT3-KJ30-0039-4426-00000-00&amp;context=" TargetMode="External"/><Relationship Id="rId1177" Type="http://schemas.openxmlformats.org/officeDocument/2006/relationships/footer" Target="footer179.xml"/><Relationship Id="rId1300" Type="http://schemas.openxmlformats.org/officeDocument/2006/relationships/hyperlink" Target="https://advance.lexis.com/api/document?collection=cases&amp;id=urn:contentItem:3RX4-3VC0-003G-2253-00000-00&amp;context=" TargetMode="External"/><Relationship Id="rId1745" Type="http://schemas.openxmlformats.org/officeDocument/2006/relationships/footer" Target="footer286.xml"/><Relationship Id="rId1952" Type="http://schemas.openxmlformats.org/officeDocument/2006/relationships/hyperlink" Target="https://advance.lexis.com/api/document?collection=cases&amp;id=urn:contentItem:3S12-2GK0-003D-Y1R3-00000-00&amp;context=" TargetMode="External"/><Relationship Id="rId2130" Type="http://schemas.openxmlformats.org/officeDocument/2006/relationships/hyperlink" Target="https://advance.lexis.com/api/document?collection=cases&amp;id=urn:contentItem:3RX4-44N0-003G-22RN-00000-00&amp;context=" TargetMode="External"/><Relationship Id="rId37" Type="http://schemas.openxmlformats.org/officeDocument/2006/relationships/header" Target="header6.xml"/><Relationship Id="rId102" Type="http://schemas.openxmlformats.org/officeDocument/2006/relationships/hyperlink" Target="https://advance.lexis.com/api/document?collection=cases&amp;id=urn:contentItem:3RX4-3GM0-003G-21F9-00000-00&amp;context=" TargetMode="External"/><Relationship Id="rId547" Type="http://schemas.openxmlformats.org/officeDocument/2006/relationships/header" Target="header69.xml"/><Relationship Id="rId754" Type="http://schemas.openxmlformats.org/officeDocument/2006/relationships/hyperlink" Target="https://advance.lexis.com/api/document?collection=cases&amp;id=urn:contentItem:3RX4-CRV0-003G-21GS-00000-00&amp;context=" TargetMode="External"/><Relationship Id="rId961" Type="http://schemas.openxmlformats.org/officeDocument/2006/relationships/hyperlink" Target="https://advance.lexis.com/api/document?collection=cases&amp;id=urn:contentItem:3RX4-9PX0-003G-21KB-00000-00&amp;context=" TargetMode="External"/><Relationship Id="rId1384" Type="http://schemas.openxmlformats.org/officeDocument/2006/relationships/footer" Target="footer222.xml"/><Relationship Id="rId1591" Type="http://schemas.openxmlformats.org/officeDocument/2006/relationships/hyperlink" Target="https://advance.lexis.com/api/document?collection=cases&amp;id=urn:contentItem:3RJN-3TC0-0039-418P-00000-00&amp;context=" TargetMode="External"/><Relationship Id="rId1605" Type="http://schemas.openxmlformats.org/officeDocument/2006/relationships/footer" Target="footer262.xml"/><Relationship Id="rId1689" Type="http://schemas.openxmlformats.org/officeDocument/2006/relationships/hyperlink" Target="https://advance.lexis.com/api/document?collection=cases&amp;id=urn:contentItem:3RX4-CGH0-003G-20MX-00000-00&amp;context=" TargetMode="External"/><Relationship Id="rId1812" Type="http://schemas.openxmlformats.org/officeDocument/2006/relationships/footer" Target="footer296.xml"/><Relationship Id="rId2228" Type="http://schemas.openxmlformats.org/officeDocument/2006/relationships/hyperlink" Target="https://advance.lexis.com/api/document?collection=cases&amp;id=urn:contentItem:3RX4-7XS0-003G-22GN-00000-00&amp;context=" TargetMode="External"/><Relationship Id="rId2435" Type="http://schemas.openxmlformats.org/officeDocument/2006/relationships/header" Target="header412.xml"/><Relationship Id="rId90" Type="http://schemas.openxmlformats.org/officeDocument/2006/relationships/hyperlink" Target="https://advance.lexis.com/api/document?collection=cases&amp;id=urn:contentItem:3RX4-91B0-003G-255J-00000-00&amp;context=" TargetMode="External"/><Relationship Id="rId186" Type="http://schemas.openxmlformats.org/officeDocument/2006/relationships/hyperlink" Target="https://advance.lexis.com/api/document?id=urn:contentItem:5T0Y-CDN0-01KN-B020-00000-00&amp;idtype=PID&amp;context=1000516" TargetMode="External"/><Relationship Id="rId393" Type="http://schemas.openxmlformats.org/officeDocument/2006/relationships/hyperlink" Target="https://advance.lexis.com/api/document?id=urn:contentItem:5T0Y-CDN0-01KN-B030-00000-00&amp;idtype=PID&amp;context=1000516" TargetMode="External"/><Relationship Id="rId407" Type="http://schemas.openxmlformats.org/officeDocument/2006/relationships/header" Target="header39.xml"/><Relationship Id="rId614" Type="http://schemas.openxmlformats.org/officeDocument/2006/relationships/hyperlink" Target="https://advance.lexis.com/api/document?collection=cases&amp;id=urn:contentItem:3RX4-9X90-003G-2224-00000-00&amp;context=" TargetMode="External"/><Relationship Id="rId821" Type="http://schemas.openxmlformats.org/officeDocument/2006/relationships/hyperlink" Target="https://advance.lexis.com/api/document?id=urn:contentItem:5T0Y-CDN0-01KN-B03T-00000-00&amp;idtype=PID&amp;context=1000516" TargetMode="External"/><Relationship Id="rId1037" Type="http://schemas.openxmlformats.org/officeDocument/2006/relationships/footer" Target="footer161.xml"/><Relationship Id="rId1244" Type="http://schemas.openxmlformats.org/officeDocument/2006/relationships/hyperlink" Target="https://advance.lexis.com/api/document?collection=jury-instructions&amp;id=urn:contentItem:5T0Y-CDN0-01KN-B049-00000-00&amp;context=" TargetMode="External"/><Relationship Id="rId1451" Type="http://schemas.openxmlformats.org/officeDocument/2006/relationships/header" Target="header238.xml"/><Relationship Id="rId1896" Type="http://schemas.openxmlformats.org/officeDocument/2006/relationships/hyperlink" Target="https://advance.lexis.com/api/document?collection=jury-instructions&amp;id=urn:contentItem:5T0Y-CDN0-01KN-B05N-00000-00&amp;context=" TargetMode="External"/><Relationship Id="rId2074" Type="http://schemas.openxmlformats.org/officeDocument/2006/relationships/header" Target="header353.xml"/><Relationship Id="rId2281" Type="http://schemas.openxmlformats.org/officeDocument/2006/relationships/hyperlink" Target="https://advance.lexis.com/api/document?collection=jury-instructions&amp;id=urn:contentItem:5T0Y-CDN0-01KN-B07C-00000-00&amp;context=" TargetMode="External"/><Relationship Id="rId253" Type="http://schemas.openxmlformats.org/officeDocument/2006/relationships/hyperlink" Target="https://advance.lexis.com/api/document?collection=cases&amp;id=urn:contentItem:3RX4-8BK0-003G-23NV-00000-00&amp;context=" TargetMode="External"/><Relationship Id="rId460" Type="http://schemas.openxmlformats.org/officeDocument/2006/relationships/hyperlink" Target="https://advance.lexis.com/api/document?collection=cases&amp;id=urn:contentItem:3RX4-BVB0-003G-24BJ-00000-00&amp;context=" TargetMode="External"/><Relationship Id="rId698" Type="http://schemas.openxmlformats.org/officeDocument/2006/relationships/footer" Target="footer103.xml"/><Relationship Id="rId919" Type="http://schemas.openxmlformats.org/officeDocument/2006/relationships/hyperlink" Target="https://advance.lexis.com/api/document?collection=cases&amp;id=urn:contentItem:3S12-34D0-003D-Y4GF-00000-00&amp;context=" TargetMode="External"/><Relationship Id="rId1090" Type="http://schemas.openxmlformats.org/officeDocument/2006/relationships/hyperlink" Target="https://advance.lexis.com/api/document?collection=cases&amp;id=urn:contentItem:56DH-JGP1-F04G-S0M4-00000-00&amp;context=" TargetMode="External"/><Relationship Id="rId1104" Type="http://schemas.openxmlformats.org/officeDocument/2006/relationships/hyperlink" Target="https://advance.lexis.com/api/document?id=urn:contentItem:5T0Y-CDN0-01KN-B049-00000-00&amp;idtype=PID&amp;context=1000516" TargetMode="External"/><Relationship Id="rId1311" Type="http://schemas.openxmlformats.org/officeDocument/2006/relationships/hyperlink" Target="https://advance.lexis.com/api/document?id=urn:contentItem:5T0Y-CDN0-01KN-B04H-00000-00&amp;idtype=PID&amp;context=1000516" TargetMode="External"/><Relationship Id="rId1549" Type="http://schemas.openxmlformats.org/officeDocument/2006/relationships/hyperlink" Target="https://advance.lexis.com/api/document?collection=cases&amp;id=urn:contentItem:515D-W0R1-652M-7002-00000-00&amp;context=" TargetMode="External"/><Relationship Id="rId1756" Type="http://schemas.openxmlformats.org/officeDocument/2006/relationships/hyperlink" Target="https://advance.lexis.com/api/document?collection=cases&amp;id=urn:contentItem:3RX4-B370-003G-22GF-00000-00&amp;context=" TargetMode="External"/><Relationship Id="rId1963" Type="http://schemas.openxmlformats.org/officeDocument/2006/relationships/hyperlink" Target="https://advance.lexis.com/api/document?collection=cases&amp;id=urn:contentItem:3RX4-B7W0-003G-22WS-00000-00&amp;context=" TargetMode="External"/><Relationship Id="rId2141" Type="http://schemas.openxmlformats.org/officeDocument/2006/relationships/hyperlink" Target="https://advance.lexis.com/api/document?collection=cases&amp;id=urn:contentItem:3S65-KC40-003B-R0B8-00000-00&amp;context=" TargetMode="External"/><Relationship Id="rId2379" Type="http://schemas.openxmlformats.org/officeDocument/2006/relationships/header" Target="header402.xml"/><Relationship Id="rId48" Type="http://schemas.openxmlformats.org/officeDocument/2006/relationships/hyperlink" Target="https://advance.lexis.com/api/document?collection=cases&amp;id=urn:contentItem:3RX4-4VV0-003G-248N-00000-00&amp;context=" TargetMode="External"/><Relationship Id="rId113" Type="http://schemas.openxmlformats.org/officeDocument/2006/relationships/hyperlink" Target="https://advance.lexis.com/api/document?collection=cases&amp;id=urn:contentItem:3RX4-8VF0-003G-24SC-00000-00&amp;context=" TargetMode="External"/><Relationship Id="rId320" Type="http://schemas.openxmlformats.org/officeDocument/2006/relationships/hyperlink" Target="https://advance.lexis.com/api/document?collection=cases&amp;id=urn:contentItem:7Y6G-Y3P0-YB0R-M027-00000-00&amp;context=" TargetMode="External"/><Relationship Id="rId558" Type="http://schemas.openxmlformats.org/officeDocument/2006/relationships/footer" Target="footer73.xml"/><Relationship Id="rId765" Type="http://schemas.openxmlformats.org/officeDocument/2006/relationships/hyperlink" Target="https://advance.lexis.com/api/document?collection=cases&amp;id=urn:contentItem:3RX4-CP60-003G-2198-00000-00&amp;context=" TargetMode="External"/><Relationship Id="rId972" Type="http://schemas.openxmlformats.org/officeDocument/2006/relationships/footer" Target="footer154.xml"/><Relationship Id="rId1188" Type="http://schemas.openxmlformats.org/officeDocument/2006/relationships/hyperlink" Target="https://advance.lexis.com/api/document?collection=cases&amp;id=urn:contentItem:44R4-TW80-0039-447K-00000-00&amp;context=" TargetMode="External"/><Relationship Id="rId1395" Type="http://schemas.openxmlformats.org/officeDocument/2006/relationships/hyperlink" Target="https://advance.lexis.com/api/document?collection=cases&amp;id=urn:contentItem:3S12-2NG0-003D-Y2HN-00000-00&amp;context=" TargetMode="External"/><Relationship Id="rId1409" Type="http://schemas.openxmlformats.org/officeDocument/2006/relationships/hyperlink" Target="https://advance.lexis.com/api/document?collection=cases&amp;id=urn:contentItem:4XC5-P3N0-TXFT-C23K-00000-00&amp;context=" TargetMode="External"/><Relationship Id="rId1616" Type="http://schemas.openxmlformats.org/officeDocument/2006/relationships/hyperlink" Target="https://advance.lexis.com/api/document?collection=cases&amp;id=urn:contentItem:3S4W-TPX0-0039-M27Y-00000-00&amp;context=" TargetMode="External"/><Relationship Id="rId1823" Type="http://schemas.openxmlformats.org/officeDocument/2006/relationships/hyperlink" Target="https://advance.lexis.com/api/document?collection=cases&amp;id=urn:contentItem:3RX4-38J0-003G-210Y-00000-00&amp;context=" TargetMode="External"/><Relationship Id="rId2001" Type="http://schemas.openxmlformats.org/officeDocument/2006/relationships/hyperlink" Target="https://advance.lexis.com/api/document?id=urn:contentItem:5T0Y-CDN0-01KN-B06X-00000-00&amp;idtype=PID&amp;context=1000516" TargetMode="External"/><Relationship Id="rId2239" Type="http://schemas.openxmlformats.org/officeDocument/2006/relationships/hyperlink" Target="https://advance.lexis.com/api/document?collection=cases&amp;id=urn:contentItem:3S12-3B50-003D-Y044-00000-00&amp;context=" TargetMode="External"/><Relationship Id="rId2446" Type="http://schemas.openxmlformats.org/officeDocument/2006/relationships/hyperlink" Target="https://advance.lexis.com/api/document?collection=cases&amp;id=urn:contentItem:3RX4-9NR0-003G-21GF-00000-00&amp;context=" TargetMode="External"/><Relationship Id="rId197" Type="http://schemas.openxmlformats.org/officeDocument/2006/relationships/hyperlink" Target="https://advance.lexis.com/api/document?id=urn:contentItem:5T0Y-CDN0-01KN-B026-00000-00&amp;idtype=PID&amp;context=1000516" TargetMode="External"/><Relationship Id="rId418" Type="http://schemas.openxmlformats.org/officeDocument/2006/relationships/header" Target="header44.xml"/><Relationship Id="rId625" Type="http://schemas.openxmlformats.org/officeDocument/2006/relationships/footer" Target="footer91.xml"/><Relationship Id="rId832" Type="http://schemas.openxmlformats.org/officeDocument/2006/relationships/hyperlink" Target="https://advance.lexis.com/api/document?id=urn:contentItem:5T0Y-CDN0-01KN-B040-00000-00&amp;idtype=PID&amp;context=1000516" TargetMode="External"/><Relationship Id="rId1048" Type="http://schemas.openxmlformats.org/officeDocument/2006/relationships/hyperlink" Target="https://advance.lexis.com/api/document?collection=cases&amp;id=urn:contentItem:3RX4-C1M0-003G-24T5-00000-00&amp;context=" TargetMode="External"/><Relationship Id="rId1255" Type="http://schemas.openxmlformats.org/officeDocument/2006/relationships/hyperlink" Target="https://advance.lexis.com/api/document?collection=cases&amp;id=urn:contentItem:4HPM-SJV0-0039-41F5-00000-00&amp;context=" TargetMode="External"/><Relationship Id="rId1462" Type="http://schemas.openxmlformats.org/officeDocument/2006/relationships/header" Target="header243.xml"/><Relationship Id="rId2085" Type="http://schemas.openxmlformats.org/officeDocument/2006/relationships/hyperlink" Target="https://advance.lexis.com/api/document?collection=cases&amp;id=urn:contentItem:3RX4-3HK0-003G-21HC-00000-00&amp;context=" TargetMode="External"/><Relationship Id="rId2292" Type="http://schemas.openxmlformats.org/officeDocument/2006/relationships/hyperlink" Target="https://advance.lexis.com/api/document?collection=cases&amp;id=urn:contentItem:3RX4-CJG0-003G-20W0-00000-00&amp;context=" TargetMode="External"/><Relationship Id="rId2306" Type="http://schemas.openxmlformats.org/officeDocument/2006/relationships/footer" Target="footer393.xml"/><Relationship Id="rId264" Type="http://schemas.openxmlformats.org/officeDocument/2006/relationships/hyperlink" Target="https://advance.lexis.com/api/document?collection=cases&amp;id=urn:contentItem:3RX4-CHR0-003G-20SR-00000-00&amp;context=" TargetMode="External"/><Relationship Id="rId471" Type="http://schemas.openxmlformats.org/officeDocument/2006/relationships/hyperlink" Target="https://advance.lexis.com/api/document?collection=cases&amp;id=urn:contentItem:3RX4-3BM0-003G-2151-00000-00&amp;context=" TargetMode="External"/><Relationship Id="rId1115" Type="http://schemas.openxmlformats.org/officeDocument/2006/relationships/header" Target="header168.xml"/><Relationship Id="rId1322" Type="http://schemas.openxmlformats.org/officeDocument/2006/relationships/hyperlink" Target="https://advance.lexis.com/api/document?id=urn:contentItem:5T0Y-CDN0-01KN-B04N-00000-00&amp;idtype=PID&amp;context=1000516" TargetMode="External"/><Relationship Id="rId1767" Type="http://schemas.openxmlformats.org/officeDocument/2006/relationships/hyperlink" Target="https://advance.lexis.com/api/document?collection=cases&amp;id=urn:contentItem:3RX4-8VH0-003G-24SH-00000-00&amp;context=" TargetMode="External"/><Relationship Id="rId1974" Type="http://schemas.openxmlformats.org/officeDocument/2006/relationships/footer" Target="footer327.xml"/><Relationship Id="rId2152" Type="http://schemas.openxmlformats.org/officeDocument/2006/relationships/hyperlink" Target="https://advance.lexis.com/api/document?collection=cases&amp;id=urn:contentItem:3RX4-3GP0-003G-21FG-00000-00&amp;context=" TargetMode="External"/><Relationship Id="rId59" Type="http://schemas.openxmlformats.org/officeDocument/2006/relationships/footer" Target="footer10.xml"/><Relationship Id="rId124" Type="http://schemas.openxmlformats.org/officeDocument/2006/relationships/hyperlink" Target="https://advance.lexis.com/api/document?collection=jury-instructions&amp;id=urn:contentItem:5T0Y-CDN0-01KN-B01T-00000-00&amp;context=" TargetMode="External"/><Relationship Id="rId569" Type="http://schemas.openxmlformats.org/officeDocument/2006/relationships/header" Target="header76.xml"/><Relationship Id="rId776" Type="http://schemas.openxmlformats.org/officeDocument/2006/relationships/header" Target="header118.xml"/><Relationship Id="rId983" Type="http://schemas.openxmlformats.org/officeDocument/2006/relationships/hyperlink" Target="https://advance.lexis.com/api/document?collection=cases&amp;id=urn:contentItem:3RX4-3JT0-003G-21KX-00000-00&amp;context=" TargetMode="External"/><Relationship Id="rId1199" Type="http://schemas.openxmlformats.org/officeDocument/2006/relationships/hyperlink" Target="https://advance.lexis.com/api/document?collection=cases&amp;id=urn:contentItem:3RX4-C1M0-003G-24T5-00000-00&amp;context=" TargetMode="External"/><Relationship Id="rId1627" Type="http://schemas.openxmlformats.org/officeDocument/2006/relationships/hyperlink" Target="https://advance.lexis.com/api/document?id=urn:contentItem:5T0Y-CDN0-01KN-B05B-00000-00&amp;idtype=PID&amp;context=1000516" TargetMode="External"/><Relationship Id="rId1834" Type="http://schemas.openxmlformats.org/officeDocument/2006/relationships/hyperlink" Target="https://advance.lexis.com/api/document?id=urn:contentItem:5T0Y-CDN0-01KN-B05N-00000-00&amp;idtype=PID&amp;context=1000516" TargetMode="External"/><Relationship Id="rId2457" Type="http://schemas.openxmlformats.org/officeDocument/2006/relationships/footer" Target="footer415.xml"/><Relationship Id="rId331" Type="http://schemas.openxmlformats.org/officeDocument/2006/relationships/hyperlink" Target="https://advance.lexis.com/api/document?collection=cases&amp;id=urn:contentItem:3RX4-5KC0-003G-20XP-00000-00&amp;context=" TargetMode="External"/><Relationship Id="rId429" Type="http://schemas.openxmlformats.org/officeDocument/2006/relationships/footer" Target="footer48.xml"/><Relationship Id="rId636" Type="http://schemas.openxmlformats.org/officeDocument/2006/relationships/hyperlink" Target="https://advance.lexis.com/api/document?collection=cases&amp;id=urn:contentItem:52XN-3BY1-652M-6029-00000-00&amp;context=" TargetMode="External"/><Relationship Id="rId1059" Type="http://schemas.openxmlformats.org/officeDocument/2006/relationships/hyperlink" Target="https://advance.lexis.com/api/document?collection=cases&amp;id=urn:contentItem:3RX4-3JT0-003G-21KX-00000-00&amp;context=" TargetMode="External"/><Relationship Id="rId1266" Type="http://schemas.openxmlformats.org/officeDocument/2006/relationships/header" Target="header191.xml"/><Relationship Id="rId1473" Type="http://schemas.openxmlformats.org/officeDocument/2006/relationships/hyperlink" Target="https://advance.lexis.com/api/document?collection=cases&amp;id=urn:contentItem:4NHV-9J10-0039-4361-00000-00&amp;context=" TargetMode="External"/><Relationship Id="rId2012" Type="http://schemas.openxmlformats.org/officeDocument/2006/relationships/hyperlink" Target="https://advance.lexis.com/api/document?id=urn:contentItem:5T0Y-CDN0-01KN-B074-00000-00&amp;idtype=PID&amp;context=1000516" TargetMode="External"/><Relationship Id="rId2096" Type="http://schemas.openxmlformats.org/officeDocument/2006/relationships/footer" Target="footer357.xml"/><Relationship Id="rId2317" Type="http://schemas.openxmlformats.org/officeDocument/2006/relationships/hyperlink" Target="https://advance.lexis.com/api/document?collection=cases&amp;id=urn:contentItem:3RX4-8PR0-003G-24FS-00000-00&amp;context=" TargetMode="External"/><Relationship Id="rId843" Type="http://schemas.openxmlformats.org/officeDocument/2006/relationships/header" Target="header136.xml"/><Relationship Id="rId1126" Type="http://schemas.openxmlformats.org/officeDocument/2006/relationships/footer" Target="footer172.xml"/><Relationship Id="rId1680" Type="http://schemas.openxmlformats.org/officeDocument/2006/relationships/hyperlink" Target="https://advance.lexis.com/api/document?collection=cases&amp;id=urn:contentItem:484T-XWW0-0039-412T-00000-00&amp;context=" TargetMode="External"/><Relationship Id="rId1778" Type="http://schemas.openxmlformats.org/officeDocument/2006/relationships/hyperlink" Target="https://advance.lexis.com/api/document?collection=cases&amp;id=urn:contentItem:3S4X-5KM0-003B-J4BJ-00000-00&amp;context=" TargetMode="External"/><Relationship Id="rId1901" Type="http://schemas.openxmlformats.org/officeDocument/2006/relationships/header" Target="header313.xml"/><Relationship Id="rId1985" Type="http://schemas.openxmlformats.org/officeDocument/2006/relationships/footer" Target="footer330.xml"/><Relationship Id="rId275" Type="http://schemas.openxmlformats.org/officeDocument/2006/relationships/hyperlink" Target="https://advance.lexis.com/api/document?collection=cases&amp;id=urn:contentItem:3RX4-3PH0-003G-21WF-00000-00&amp;context=" TargetMode="External"/><Relationship Id="rId482" Type="http://schemas.openxmlformats.org/officeDocument/2006/relationships/footer" Target="footer53.xml"/><Relationship Id="rId703" Type="http://schemas.openxmlformats.org/officeDocument/2006/relationships/hyperlink" Target="https://advance.lexis.com/api/document?collection=cases&amp;id=urn:contentItem:3RX4-8WD0-003G-24VS-00000-00&amp;context=" TargetMode="External"/><Relationship Id="rId910" Type="http://schemas.openxmlformats.org/officeDocument/2006/relationships/hyperlink" Target="https://advance.lexis.com/api/document?collection=cases&amp;id=urn:contentItem:3RX4-9VV0-003G-21XY-00000-00&amp;context=" TargetMode="External"/><Relationship Id="rId1333" Type="http://schemas.openxmlformats.org/officeDocument/2006/relationships/header" Target="header202.xml"/><Relationship Id="rId1540" Type="http://schemas.openxmlformats.org/officeDocument/2006/relationships/hyperlink" Target="https://advance.lexis.com/api/document?collection=cases&amp;id=urn:contentItem:3S4X-9V00-003B-S1XN-00000-00&amp;context=" TargetMode="External"/><Relationship Id="rId1638" Type="http://schemas.openxmlformats.org/officeDocument/2006/relationships/header" Target="header265.xml"/><Relationship Id="rId2163" Type="http://schemas.openxmlformats.org/officeDocument/2006/relationships/hyperlink" Target="https://advance.lexis.com/api/document?collection=cases&amp;id=urn:contentItem:3RX4-9KG0-003G-2191-00000-00&amp;context=" TargetMode="External"/><Relationship Id="rId2370" Type="http://schemas.openxmlformats.org/officeDocument/2006/relationships/hyperlink" Target="https://advance.lexis.com/api/document?id=urn:contentItem:5T0Y-CDN0-01KN-B07R-00000-00&amp;idtype=PID&amp;context=1000516" TargetMode="External"/><Relationship Id="rId135" Type="http://schemas.openxmlformats.org/officeDocument/2006/relationships/hyperlink" Target="https://advance.lexis.com/api/document?collection=cases&amp;id=urn:contentItem:3RX4-44P0-003G-22RT-00000-00&amp;context=" TargetMode="External"/><Relationship Id="rId342" Type="http://schemas.openxmlformats.org/officeDocument/2006/relationships/hyperlink" Target="https://advance.lexis.com/api/document?collection=cases&amp;id=urn:contentItem:3RX4-BYP0-003G-24MR-00000-00&amp;context=" TargetMode="External"/><Relationship Id="rId787" Type="http://schemas.openxmlformats.org/officeDocument/2006/relationships/header" Target="header123.xml"/><Relationship Id="rId994" Type="http://schemas.openxmlformats.org/officeDocument/2006/relationships/hyperlink" Target="https://advance.lexis.com/api/document?collection=cases&amp;id=urn:contentItem:3RX4-9DM0-003G-20W9-00000-00&amp;context=" TargetMode="External"/><Relationship Id="rId1400" Type="http://schemas.openxmlformats.org/officeDocument/2006/relationships/header" Target="header226.xml"/><Relationship Id="rId1845" Type="http://schemas.openxmlformats.org/officeDocument/2006/relationships/hyperlink" Target="https://advance.lexis.com/api/document?id=urn:contentItem:5T0Y-CDN0-01KN-B05T-00000-00&amp;idtype=PID&amp;context=1000516" TargetMode="External"/><Relationship Id="rId2023" Type="http://schemas.openxmlformats.org/officeDocument/2006/relationships/footer" Target="footer333.xml"/><Relationship Id="rId2230" Type="http://schemas.openxmlformats.org/officeDocument/2006/relationships/hyperlink" Target="https://advance.lexis.com/api/document?collection=cases&amp;id=urn:contentItem:3S12-2DN0-003D-Y1DG-00000-00&amp;context=" TargetMode="External"/><Relationship Id="rId2468" Type="http://schemas.openxmlformats.org/officeDocument/2006/relationships/footer" Target="footer420.xml"/><Relationship Id="rId202" Type="http://schemas.openxmlformats.org/officeDocument/2006/relationships/hyperlink" Target="https://advance.lexis.com/api/document?id=urn:contentItem:5T0Y-CDN0-01KN-B027-00000-00&amp;idtype=PID&amp;context=1000516" TargetMode="External"/><Relationship Id="rId647" Type="http://schemas.openxmlformats.org/officeDocument/2006/relationships/header" Target="header95.xml"/><Relationship Id="rId854" Type="http://schemas.openxmlformats.org/officeDocument/2006/relationships/header" Target="header141.xml"/><Relationship Id="rId1277" Type="http://schemas.openxmlformats.org/officeDocument/2006/relationships/header" Target="header195.xml"/><Relationship Id="rId1484" Type="http://schemas.openxmlformats.org/officeDocument/2006/relationships/footer" Target="footer247.xml"/><Relationship Id="rId1691" Type="http://schemas.openxmlformats.org/officeDocument/2006/relationships/hyperlink" Target="https://advance.lexis.com/api/document?collection=cases&amp;id=urn:contentItem:3RX4-4WK0-003G-24B6-00000-00&amp;context=" TargetMode="External"/><Relationship Id="rId1705" Type="http://schemas.openxmlformats.org/officeDocument/2006/relationships/header" Target="header276.xml"/><Relationship Id="rId1912" Type="http://schemas.openxmlformats.org/officeDocument/2006/relationships/header" Target="header318.xml"/><Relationship Id="rId2328" Type="http://schemas.openxmlformats.org/officeDocument/2006/relationships/hyperlink" Target="https://advance.lexis.com/api/document?collection=cases&amp;id=urn:contentItem:3WXP-VJH0-0039-44NC-00000-00&amp;context=" TargetMode="External"/><Relationship Id="rId286" Type="http://schemas.openxmlformats.org/officeDocument/2006/relationships/hyperlink" Target="https://advance.lexis.com/api/document?id=urn:contentItem:5T0Y-CDN0-01KN-B022-00000-00&amp;idtype=PID&amp;context=1000516" TargetMode="External"/><Relationship Id="rId493" Type="http://schemas.openxmlformats.org/officeDocument/2006/relationships/footer" Target="footer56.xml"/><Relationship Id="rId507" Type="http://schemas.openxmlformats.org/officeDocument/2006/relationships/footer" Target="footer62.xml"/><Relationship Id="rId714" Type="http://schemas.openxmlformats.org/officeDocument/2006/relationships/header" Target="header108.xml"/><Relationship Id="rId921" Type="http://schemas.openxmlformats.org/officeDocument/2006/relationships/hyperlink" Target="https://advance.lexis.com/api/document?collection=cases&amp;id=urn:contentItem:3RX4-3SC0-003G-2215-00000-00&amp;context=" TargetMode="External"/><Relationship Id="rId1137" Type="http://schemas.openxmlformats.org/officeDocument/2006/relationships/hyperlink" Target="https://advance.lexis.com/api/document?collection=cases&amp;id=urn:contentItem:3RX4-95X0-003G-2099-00000-00&amp;context=" TargetMode="External"/><Relationship Id="rId1344" Type="http://schemas.openxmlformats.org/officeDocument/2006/relationships/footer" Target="footer206.xml"/><Relationship Id="rId1551" Type="http://schemas.openxmlformats.org/officeDocument/2006/relationships/hyperlink" Target="https://advance.lexis.com/api/document?collection=cases&amp;id=urn:contentItem:3RX4-8VV0-003G-24TC-00000-00&amp;context=" TargetMode="External"/><Relationship Id="rId1789" Type="http://schemas.openxmlformats.org/officeDocument/2006/relationships/footer" Target="footer290.xml"/><Relationship Id="rId1996" Type="http://schemas.openxmlformats.org/officeDocument/2006/relationships/hyperlink" Target="https://advance.lexis.com/api/document?id=urn:contentItem:5T0Y-CDN0-01KN-B06V-00000-00&amp;idtype=PID&amp;context=1000516" TargetMode="External"/><Relationship Id="rId2174" Type="http://schemas.openxmlformats.org/officeDocument/2006/relationships/hyperlink" Target="https://advance.lexis.com/api/document?id=urn:contentItem:5T0Y-CDN0-01KN-B07C-00000-00&amp;idtype=PID&amp;context=1000516" TargetMode="External"/><Relationship Id="rId2381" Type="http://schemas.openxmlformats.org/officeDocument/2006/relationships/header" Target="header403.xml"/><Relationship Id="rId50" Type="http://schemas.openxmlformats.org/officeDocument/2006/relationships/header" Target="header7.xml"/><Relationship Id="rId146" Type="http://schemas.openxmlformats.org/officeDocument/2006/relationships/hyperlink" Target="https://advance.lexis.com/api/document?collection=cases&amp;id=urn:contentItem:3RX4-3VC0-003G-2253-00000-00&amp;context=" TargetMode="External"/><Relationship Id="rId353" Type="http://schemas.openxmlformats.org/officeDocument/2006/relationships/hyperlink" Target="https://advance.lexis.com/api/document?collection=cases&amp;id=urn:contentItem:3RX4-3NK0-003G-21TM-00000-00&amp;context=" TargetMode="External"/><Relationship Id="rId560" Type="http://schemas.openxmlformats.org/officeDocument/2006/relationships/header" Target="header75.xml"/><Relationship Id="rId798" Type="http://schemas.openxmlformats.org/officeDocument/2006/relationships/footer" Target="footer125.xml"/><Relationship Id="rId1190" Type="http://schemas.openxmlformats.org/officeDocument/2006/relationships/header" Target="header181.xml"/><Relationship Id="rId1204" Type="http://schemas.openxmlformats.org/officeDocument/2006/relationships/hyperlink" Target="https://advance.lexis.com/api/document?collection=cases&amp;id=urn:contentItem:3RX4-9500-003G-2071-00000-00&amp;context=" TargetMode="External"/><Relationship Id="rId1411" Type="http://schemas.openxmlformats.org/officeDocument/2006/relationships/header" Target="header230.xml"/><Relationship Id="rId1649" Type="http://schemas.openxmlformats.org/officeDocument/2006/relationships/footer" Target="footer270.xml"/><Relationship Id="rId1856" Type="http://schemas.openxmlformats.org/officeDocument/2006/relationships/footer" Target="footer302.xml"/><Relationship Id="rId2034" Type="http://schemas.openxmlformats.org/officeDocument/2006/relationships/footer" Target="footer338.xml"/><Relationship Id="rId2241" Type="http://schemas.openxmlformats.org/officeDocument/2006/relationships/hyperlink" Target="https://advance.lexis.com/api/document?collection=cases&amp;id=urn:contentItem:3RX4-9H50-003G-213D-00000-00&amp;context=" TargetMode="External"/><Relationship Id="rId2479" Type="http://schemas.openxmlformats.org/officeDocument/2006/relationships/footer" Target="footer422.xml"/><Relationship Id="rId213" Type="http://schemas.openxmlformats.org/officeDocument/2006/relationships/hyperlink" Target="https://advance.lexis.com/api/document?collection=cases&amp;id=urn:contentItem:3W9C-DSR0-0039-42MX-00000-00&amp;context=" TargetMode="External"/><Relationship Id="rId420" Type="http://schemas.openxmlformats.org/officeDocument/2006/relationships/footer" Target="footer44.xml"/><Relationship Id="rId658" Type="http://schemas.openxmlformats.org/officeDocument/2006/relationships/header" Target="header99.xml"/><Relationship Id="rId865" Type="http://schemas.openxmlformats.org/officeDocument/2006/relationships/hyperlink" Target="https://advance.lexis.com/api/document?collection=cases&amp;id=urn:contentItem:3RX4-CTC0-003G-21NM-00000-00&amp;context=" TargetMode="External"/><Relationship Id="rId1050" Type="http://schemas.openxmlformats.org/officeDocument/2006/relationships/hyperlink" Target="https://advance.lexis.com/api/document?collection=cases&amp;id=urn:contentItem:3RX4-93W0-003G-204C-00000-00&amp;context=" TargetMode="External"/><Relationship Id="rId1288" Type="http://schemas.openxmlformats.org/officeDocument/2006/relationships/header" Target="header196.xml"/><Relationship Id="rId1495" Type="http://schemas.openxmlformats.org/officeDocument/2006/relationships/hyperlink" Target="https://advance.lexis.com/api/document?collection=cases&amp;id=urn:contentItem:3RX4-9F20-003G-20XF-00000-00&amp;context=" TargetMode="External"/><Relationship Id="rId1509" Type="http://schemas.openxmlformats.org/officeDocument/2006/relationships/footer" Target="footer251.xml"/><Relationship Id="rId1716" Type="http://schemas.openxmlformats.org/officeDocument/2006/relationships/header" Target="header279.xml"/><Relationship Id="rId1923" Type="http://schemas.openxmlformats.org/officeDocument/2006/relationships/hyperlink" Target="https://advance.lexis.com/api/document?collection=cases&amp;id=urn:contentItem:3RX4-3890-003G-210C-00000-00&amp;context=" TargetMode="External"/><Relationship Id="rId2101" Type="http://schemas.openxmlformats.org/officeDocument/2006/relationships/hyperlink" Target="https://advance.lexis.com/api/document?collection=cases&amp;id=urn:contentItem:3RX4-39F0-003G-212M-00000-00&amp;context=" TargetMode="External"/><Relationship Id="rId2339" Type="http://schemas.openxmlformats.org/officeDocument/2006/relationships/hyperlink" Target="https://advance.lexis.com/api/document?collection=cases&amp;id=urn:contentItem:3RX4-8SY0-003G-24MS-00000-00&amp;context=" TargetMode="External"/><Relationship Id="rId297" Type="http://schemas.openxmlformats.org/officeDocument/2006/relationships/hyperlink" Target="https://advance.lexis.com/api/document?id=urn:contentItem:5T0Y-CDN0-01KN-B028-00000-00&amp;idtype=PID&amp;context=1000516" TargetMode="External"/><Relationship Id="rId518" Type="http://schemas.openxmlformats.org/officeDocument/2006/relationships/footer" Target="footer64.xml"/><Relationship Id="rId725" Type="http://schemas.openxmlformats.org/officeDocument/2006/relationships/header" Target="header109.xml"/><Relationship Id="rId932" Type="http://schemas.openxmlformats.org/officeDocument/2006/relationships/hyperlink" Target="https://advance.lexis.com/api/document?collection=cases&amp;id=urn:contentItem:3RX4-2WP0-003G-208B-00000-00&amp;context=" TargetMode="External"/><Relationship Id="rId1148" Type="http://schemas.openxmlformats.org/officeDocument/2006/relationships/hyperlink" Target="https://advance.lexis.com/api/document?collection=cases&amp;id=urn:contentItem:3RX4-BB70-003G-233N-00000-00&amp;context=" TargetMode="External"/><Relationship Id="rId1355" Type="http://schemas.openxmlformats.org/officeDocument/2006/relationships/header" Target="header210.xml"/><Relationship Id="rId1562" Type="http://schemas.openxmlformats.org/officeDocument/2006/relationships/hyperlink" Target="https://advance.lexis.com/api/document?collection=cases&amp;id=urn:contentItem:3RX4-8SC0-003G-24KF-00000-00&amp;context=" TargetMode="External"/><Relationship Id="rId2185" Type="http://schemas.openxmlformats.org/officeDocument/2006/relationships/header" Target="header367.xml"/><Relationship Id="rId2392" Type="http://schemas.openxmlformats.org/officeDocument/2006/relationships/hyperlink" Target="https://advance.lexis.com/api/document?collection=cases&amp;id=urn:contentItem:3RX6-DXF0-003G-2217-00000-00&amp;context=" TargetMode="External"/><Relationship Id="rId2406" Type="http://schemas.openxmlformats.org/officeDocument/2006/relationships/hyperlink" Target="https://advance.lexis.com/api/document?collection=jury-instructions&amp;id=urn:contentItem:5T0Y-CDN0-01KN-B07M-00000-00&amp;context=" TargetMode="External"/><Relationship Id="rId157" Type="http://schemas.openxmlformats.org/officeDocument/2006/relationships/header" Target="header28.xml"/><Relationship Id="rId364" Type="http://schemas.openxmlformats.org/officeDocument/2006/relationships/hyperlink" Target="https://advance.lexis.com/api/document?collection=cases&amp;id=urn:contentItem:3RX4-39T0-003G-213D-00000-00&amp;context=" TargetMode="External"/><Relationship Id="rId1008" Type="http://schemas.openxmlformats.org/officeDocument/2006/relationships/hyperlink" Target="https://advance.lexis.com/api/document?collection=cases&amp;id=urn:contentItem:3S12-2930-003D-Y0WW-00000-00&amp;context=" TargetMode="External"/><Relationship Id="rId1215" Type="http://schemas.openxmlformats.org/officeDocument/2006/relationships/hyperlink" Target="https://advance.lexis.com/api/document?collection=cases&amp;id=urn:contentItem:3S12-2JR0-003D-Y220-00000-00&amp;context=" TargetMode="External"/><Relationship Id="rId1422" Type="http://schemas.openxmlformats.org/officeDocument/2006/relationships/hyperlink" Target="https://advance.lexis.com/api/document?id=urn:contentItem:5T0Y-CDN0-01KN-B04W-00000-00&amp;idtype=PID&amp;context=1000516" TargetMode="External"/><Relationship Id="rId1867" Type="http://schemas.openxmlformats.org/officeDocument/2006/relationships/hyperlink" Target="https://advance.lexis.com/api/document?collection=cases&amp;id=urn:contentItem:3S4X-8CN0-003B-51C2-00000-00&amp;context=" TargetMode="External"/><Relationship Id="rId2045" Type="http://schemas.openxmlformats.org/officeDocument/2006/relationships/header" Target="header343.xml"/><Relationship Id="rId61" Type="http://schemas.openxmlformats.org/officeDocument/2006/relationships/header" Target="header12.xml"/><Relationship Id="rId571" Type="http://schemas.openxmlformats.org/officeDocument/2006/relationships/footer" Target="footer76.xml"/><Relationship Id="rId669" Type="http://schemas.openxmlformats.org/officeDocument/2006/relationships/hyperlink" Target="https://advance.lexis.com/api/document?collection=cases&amp;id=urn:contentItem:4P54-42D0-TX4N-G1TK-00000-00&amp;context=" TargetMode="External"/><Relationship Id="rId876" Type="http://schemas.openxmlformats.org/officeDocument/2006/relationships/footer" Target="footer143.xml"/><Relationship Id="rId1299" Type="http://schemas.openxmlformats.org/officeDocument/2006/relationships/hyperlink" Target="https://advance.lexis.com/api/document?collection=cases&amp;id=urn:contentItem:3RX4-3K80-003G-21MW-00000-00&amp;context=" TargetMode="External"/><Relationship Id="rId1727" Type="http://schemas.openxmlformats.org/officeDocument/2006/relationships/footer" Target="footer282.xml"/><Relationship Id="rId1934" Type="http://schemas.openxmlformats.org/officeDocument/2006/relationships/footer" Target="footer324.xml"/><Relationship Id="rId2252" Type="http://schemas.openxmlformats.org/officeDocument/2006/relationships/hyperlink" Target="https://advance.lexis.com/api/document?collection=cases&amp;id=urn:contentItem:59PP-6911-F04G-T01R-00000-00&amp;context=" TargetMode="External"/><Relationship Id="rId19" Type="http://schemas.openxmlformats.org/officeDocument/2006/relationships/hyperlink" Target="https://advance.lexis.com/api/document?id=urn:contentItem:5T0Y-CDN0-01KN-B01T-00000-00&amp;idtype=PID&amp;context=1000516" TargetMode="External"/><Relationship Id="rId224" Type="http://schemas.openxmlformats.org/officeDocument/2006/relationships/hyperlink" Target="https://advance.lexis.com/api/document?collection=jury-instructions&amp;id=urn:contentItem:5T0Y-CDN0-01KN-B023-00000-00&amp;context=" TargetMode="External"/><Relationship Id="rId431" Type="http://schemas.openxmlformats.org/officeDocument/2006/relationships/hyperlink" Target="https://advance.lexis.com/api/document?collection=cases&amp;id=urn:contentItem:4X7H-K940-TXFT-B371-00000-00&amp;context=" TargetMode="External"/><Relationship Id="rId529" Type="http://schemas.openxmlformats.org/officeDocument/2006/relationships/hyperlink" Target="https://advance.lexis.com/api/document?id=urn:contentItem:5T0Y-CDN0-01KN-B034-00000-00&amp;idtype=PID&amp;context=1000516" TargetMode="External"/><Relationship Id="rId736" Type="http://schemas.openxmlformats.org/officeDocument/2006/relationships/hyperlink" Target="https://advance.lexis.com/api/document?collection=cases&amp;id=urn:contentItem:3S12-2HY0-003D-Y1WW-00000-00&amp;context=" TargetMode="External"/><Relationship Id="rId1061" Type="http://schemas.openxmlformats.org/officeDocument/2006/relationships/hyperlink" Target="https://advance.lexis.com/api/document?collection=cases&amp;id=urn:contentItem:3RX4-3GT0-003G-21FR-00000-00&amp;context=" TargetMode="External"/><Relationship Id="rId1159" Type="http://schemas.openxmlformats.org/officeDocument/2006/relationships/hyperlink" Target="https://advance.lexis.com/api/document?collection=cases&amp;id=urn:contentItem:3RX4-5890-003G-2030-00000-00&amp;context=" TargetMode="External"/><Relationship Id="rId1366" Type="http://schemas.openxmlformats.org/officeDocument/2006/relationships/header" Target="header215.xml"/><Relationship Id="rId2112" Type="http://schemas.openxmlformats.org/officeDocument/2006/relationships/footer" Target="footer358.xml"/><Relationship Id="rId2196" Type="http://schemas.openxmlformats.org/officeDocument/2006/relationships/footer" Target="footer372.xml"/><Relationship Id="rId2417" Type="http://schemas.openxmlformats.org/officeDocument/2006/relationships/hyperlink" Target="https://advance.lexis.com/api/document?collection=cases&amp;id=urn:contentItem:3RX4-B1H0-003G-22B9-00000-00&amp;context=" TargetMode="External"/><Relationship Id="rId168" Type="http://schemas.openxmlformats.org/officeDocument/2006/relationships/hyperlink" Target="https://advance.lexis.com/api/document?collection=cases&amp;id=urn:contentItem:4WM1-RXD0-TXFX-12GR-00000-00&amp;context=" TargetMode="External"/><Relationship Id="rId943" Type="http://schemas.openxmlformats.org/officeDocument/2006/relationships/hyperlink" Target="https://advance.lexis.com/api/document?collection=cases&amp;id=urn:contentItem:4D1C-X9N0-0039-4083-00000-00&amp;context=" TargetMode="External"/><Relationship Id="rId1019" Type="http://schemas.openxmlformats.org/officeDocument/2006/relationships/hyperlink" Target="https://advance.lexis.com/api/document?collection=cases&amp;id=urn:contentItem:4SWH-CDT0-TX4N-G01B-00000-00&amp;context=" TargetMode="External"/><Relationship Id="rId1573" Type="http://schemas.openxmlformats.org/officeDocument/2006/relationships/hyperlink" Target="https://advance.lexis.com/api/document?collection=cases&amp;id=urn:contentItem:4BP4-18B0-0039-40HD-00000-00&amp;context=" TargetMode="External"/><Relationship Id="rId1780" Type="http://schemas.openxmlformats.org/officeDocument/2006/relationships/hyperlink" Target="https://advance.lexis.com/api/document?collection=cases&amp;id=urn:contentItem:3RX4-CBP0-003G-208T-00000-00&amp;context=" TargetMode="External"/><Relationship Id="rId1878" Type="http://schemas.openxmlformats.org/officeDocument/2006/relationships/hyperlink" Target="https://advance.lexis.com/api/document?collection=jury-instructions&amp;id=urn:contentItem:5T0Y-CDN0-01KN-B05K-00000-00&amp;context=" TargetMode="External"/><Relationship Id="rId72" Type="http://schemas.openxmlformats.org/officeDocument/2006/relationships/hyperlink" Target="https://advance.lexis.com/api/document?collection=jury-instructions&amp;id=urn:contentItem:5T0Y-CDN0-01KN-B01P-00000-00&amp;context=" TargetMode="External"/><Relationship Id="rId375" Type="http://schemas.openxmlformats.org/officeDocument/2006/relationships/hyperlink" Target="https://advance.lexis.com/api/document?collection=cases&amp;id=urn:contentItem:3VXS-NRX0-0039-435D-00000-00&amp;context=" TargetMode="External"/><Relationship Id="rId582" Type="http://schemas.openxmlformats.org/officeDocument/2006/relationships/header" Target="header80.xml"/><Relationship Id="rId803" Type="http://schemas.openxmlformats.org/officeDocument/2006/relationships/header" Target="header127.xml"/><Relationship Id="rId1226" Type="http://schemas.openxmlformats.org/officeDocument/2006/relationships/hyperlink" Target="https://advance.lexis.com/api/document?collection=cases&amp;id=urn:contentItem:3VD1-R5X0-0039-42G7-00000-00&amp;context=" TargetMode="External"/><Relationship Id="rId1433" Type="http://schemas.openxmlformats.org/officeDocument/2006/relationships/hyperlink" Target="https://advance.lexis.com/api/document?id=urn:contentItem:5T0Y-CDN0-01KN-B053-00000-00&amp;idtype=PID&amp;context=1000516" TargetMode="External"/><Relationship Id="rId1640" Type="http://schemas.openxmlformats.org/officeDocument/2006/relationships/footer" Target="footer265.xml"/><Relationship Id="rId1738" Type="http://schemas.openxmlformats.org/officeDocument/2006/relationships/hyperlink" Target="https://advance.lexis.com/api/document?collection=cases&amp;id=urn:contentItem:3RX4-9PF0-003G-21J6-00000-00&amp;context=" TargetMode="External"/><Relationship Id="rId2056" Type="http://schemas.openxmlformats.org/officeDocument/2006/relationships/header" Target="header348.xml"/><Relationship Id="rId2263" Type="http://schemas.openxmlformats.org/officeDocument/2006/relationships/footer" Target="footer381.xml"/><Relationship Id="rId2470" Type="http://schemas.openxmlformats.org/officeDocument/2006/relationships/hyperlink" Target="https://advance.lexis.com/api/document?collection=cases&amp;id=urn:contentItem:48KW-0TT0-0039-43WT-00000-00&amp;context=" TargetMode="External"/><Relationship Id="rId3" Type="http://schemas.openxmlformats.org/officeDocument/2006/relationships/webSettings" Target="webSettings.xml"/><Relationship Id="rId235" Type="http://schemas.openxmlformats.org/officeDocument/2006/relationships/hyperlink" Target="https://advance.lexis.com/api/document?collection=cases&amp;id=urn:contentItem:514S-YF91-652M-7000-00000-00&amp;context=" TargetMode="External"/><Relationship Id="rId442" Type="http://schemas.openxmlformats.org/officeDocument/2006/relationships/hyperlink" Target="https://advance.lexis.com/api/document?collection=cases&amp;id=urn:contentItem:3RX4-9470-003G-2057-00000-00&amp;context=" TargetMode="External"/><Relationship Id="rId887" Type="http://schemas.openxmlformats.org/officeDocument/2006/relationships/header" Target="header145.xml"/><Relationship Id="rId1072" Type="http://schemas.openxmlformats.org/officeDocument/2006/relationships/hyperlink" Target="https://advance.lexis.com/api/document?collection=cases&amp;id=urn:contentItem:3RX4-56N0-003G-2553-00000-00&amp;context=" TargetMode="External"/><Relationship Id="rId1500" Type="http://schemas.openxmlformats.org/officeDocument/2006/relationships/hyperlink" Target="https://advance.lexis.com/api/document?collection=cases&amp;id=urn:contentItem:3RX4-BDH0-003G-239F-00000-00&amp;context=" TargetMode="External"/><Relationship Id="rId1945" Type="http://schemas.openxmlformats.org/officeDocument/2006/relationships/hyperlink" Target="https://advance.lexis.com/api/document?collection=cases&amp;id=urn:contentItem:3XVN-PVV0-00KR-F3V3-00000-00&amp;context=" TargetMode="External"/><Relationship Id="rId2123" Type="http://schemas.openxmlformats.org/officeDocument/2006/relationships/header" Target="header363.xml"/><Relationship Id="rId2330" Type="http://schemas.openxmlformats.org/officeDocument/2006/relationships/header" Target="header398.xml"/><Relationship Id="rId302" Type="http://schemas.openxmlformats.org/officeDocument/2006/relationships/hyperlink" Target="https://advance.lexis.com/api/document?collection=cases&amp;id=urn:contentItem:3RX4-8KF0-003G-247X-00000-00&amp;context=" TargetMode="External"/><Relationship Id="rId747" Type="http://schemas.openxmlformats.org/officeDocument/2006/relationships/hyperlink" Target="https://advance.lexis.com/api/document?collection=cases&amp;id=urn:contentItem:3S12-2DN0-003D-Y1DK-00000-00&amp;context=" TargetMode="External"/><Relationship Id="rId954" Type="http://schemas.openxmlformats.org/officeDocument/2006/relationships/hyperlink" Target="https://advance.lexis.com/api/document?collection=cases&amp;id=urn:contentItem:4SR0-C740-TX4N-G0P6-00000-00&amp;context=" TargetMode="External"/><Relationship Id="rId1377" Type="http://schemas.openxmlformats.org/officeDocument/2006/relationships/footer" Target="footer219.xml"/><Relationship Id="rId1584" Type="http://schemas.openxmlformats.org/officeDocument/2006/relationships/hyperlink" Target="https://advance.lexis.com/api/document?collection=cases&amp;id=urn:contentItem:3RX4-CPP0-003G-21C1-00000-00&amp;context=" TargetMode="External"/><Relationship Id="rId1791" Type="http://schemas.openxmlformats.org/officeDocument/2006/relationships/footer" Target="footer291.xml"/><Relationship Id="rId1805" Type="http://schemas.openxmlformats.org/officeDocument/2006/relationships/hyperlink" Target="https://advance.lexis.com/api/document?collection=cases&amp;id=urn:contentItem:3RX4-3SS0-003G-221W-00000-00&amp;context=" TargetMode="External"/><Relationship Id="rId2428" Type="http://schemas.openxmlformats.org/officeDocument/2006/relationships/footer" Target="footer409.xml"/><Relationship Id="rId83" Type="http://schemas.openxmlformats.org/officeDocument/2006/relationships/header" Target="header20.xml"/><Relationship Id="rId179" Type="http://schemas.openxmlformats.org/officeDocument/2006/relationships/hyperlink" Target="https://advance.lexis.com/api/document?collection=cases&amp;id=urn:contentItem:83HC-1391-652M-702F-00000-00&amp;context=" TargetMode="External"/><Relationship Id="rId386" Type="http://schemas.openxmlformats.org/officeDocument/2006/relationships/hyperlink" Target="https://advance.lexis.com/api/document?id=urn:contentItem:5T0Y-CDN0-01KN-B02T-00000-00&amp;idtype=PID&amp;context=1000516" TargetMode="External"/><Relationship Id="rId593" Type="http://schemas.openxmlformats.org/officeDocument/2006/relationships/hyperlink" Target="https://advance.lexis.com/api/document?collection=cases&amp;id=urn:contentItem:3RX4-BXY0-003G-24JY-00000-00&amp;context=" TargetMode="External"/><Relationship Id="rId607" Type="http://schemas.openxmlformats.org/officeDocument/2006/relationships/header" Target="header85.xml"/><Relationship Id="rId814" Type="http://schemas.openxmlformats.org/officeDocument/2006/relationships/header" Target="header132.xml"/><Relationship Id="rId1237" Type="http://schemas.openxmlformats.org/officeDocument/2006/relationships/hyperlink" Target="https://advance.lexis.com/api/document?collection=cases&amp;id=urn:contentItem:3RX4-BV60-003G-24B7-00000-00&amp;context=" TargetMode="External"/><Relationship Id="rId1444" Type="http://schemas.openxmlformats.org/officeDocument/2006/relationships/header" Target="header235.xml"/><Relationship Id="rId1651" Type="http://schemas.openxmlformats.org/officeDocument/2006/relationships/hyperlink" Target="https://advance.lexis.com/api/document?collection=cases&amp;id=urn:contentItem:3RX4-CH40-003G-20PS-00000-00&amp;context=" TargetMode="External"/><Relationship Id="rId1889" Type="http://schemas.openxmlformats.org/officeDocument/2006/relationships/hyperlink" Target="https://advance.lexis.com/api/document?collection=cases&amp;id=urn:contentItem:3RX4-5YN0-003G-21XP-00000-00&amp;context=" TargetMode="External"/><Relationship Id="rId2067" Type="http://schemas.openxmlformats.org/officeDocument/2006/relationships/hyperlink" Target="https://advance.lexis.com/api/document?collection=cases&amp;id=urn:contentItem:3S12-2690-003D-Y0HB-00000-00&amp;context=" TargetMode="External"/><Relationship Id="rId2274" Type="http://schemas.openxmlformats.org/officeDocument/2006/relationships/hyperlink" Target="https://advance.lexis.com/api/document?collection=cases&amp;id=urn:contentItem:4GMH-X510-0039-42GB-00000-00&amp;context=" TargetMode="External"/><Relationship Id="rId2481" Type="http://schemas.openxmlformats.org/officeDocument/2006/relationships/footer" Target="footer423.xml"/><Relationship Id="rId246" Type="http://schemas.openxmlformats.org/officeDocument/2006/relationships/hyperlink" Target="https://advance.lexis.com/api/document?collection=cases&amp;id=urn:contentItem:3RX4-BYJ0-003G-24MD-00000-00&amp;context=" TargetMode="External"/><Relationship Id="rId453" Type="http://schemas.openxmlformats.org/officeDocument/2006/relationships/hyperlink" Target="https://advance.lexis.com/api/document?collection=cases&amp;id=urn:contentItem:3RX4-CNW0-003G-2188-00000-00&amp;context=" TargetMode="External"/><Relationship Id="rId660" Type="http://schemas.openxmlformats.org/officeDocument/2006/relationships/hyperlink" Target="https://advance.lexis.com/api/document?collection=jury-instructions&amp;id=urn:contentItem:5T0Y-CDN0-01KN-B039-00000-00&amp;context=" TargetMode="External"/><Relationship Id="rId898" Type="http://schemas.openxmlformats.org/officeDocument/2006/relationships/hyperlink" Target="https://advance.lexis.com/api/document?collection=cases&amp;id=urn:contentItem:3RX4-C1M0-003G-24T5-00000-00&amp;context=" TargetMode="External"/><Relationship Id="rId1083" Type="http://schemas.openxmlformats.org/officeDocument/2006/relationships/footer" Target="footer164.xml"/><Relationship Id="rId1290" Type="http://schemas.openxmlformats.org/officeDocument/2006/relationships/footer" Target="footer196.xml"/><Relationship Id="rId1304" Type="http://schemas.openxmlformats.org/officeDocument/2006/relationships/hyperlink" Target="https://advance.lexis.com/api/document?collection=cases&amp;id=urn:contentItem:3RX4-2XP0-003G-209Y-00000-00&amp;context=" TargetMode="External"/><Relationship Id="rId1511" Type="http://schemas.openxmlformats.org/officeDocument/2006/relationships/footer" Target="footer252.xml"/><Relationship Id="rId1749" Type="http://schemas.openxmlformats.org/officeDocument/2006/relationships/hyperlink" Target="https://advance.lexis.com/api/document?collection=jury-instructions&amp;id=urn:contentItem:5T0Y-CDN0-01KN-B05F-00000-00&amp;context=" TargetMode="External"/><Relationship Id="rId1956" Type="http://schemas.openxmlformats.org/officeDocument/2006/relationships/hyperlink" Target="https://advance.lexis.com/api/document?collection=cases&amp;id=urn:contentItem:3RX4-99J0-003G-20KM-00000-00&amp;context=" TargetMode="External"/><Relationship Id="rId2134" Type="http://schemas.openxmlformats.org/officeDocument/2006/relationships/hyperlink" Target="https://advance.lexis.com/api/document?collection=cases&amp;id=urn:contentItem:3RX4-B1C0-003G-229W-00000-00&amp;context=" TargetMode="External"/><Relationship Id="rId2341" Type="http://schemas.openxmlformats.org/officeDocument/2006/relationships/hyperlink" Target="https://advance.lexis.com/api/document?collection=cases&amp;id=urn:contentItem:40FW-D270-0039-451V-00000-00&amp;context=" TargetMode="External"/><Relationship Id="rId106" Type="http://schemas.openxmlformats.org/officeDocument/2006/relationships/hyperlink" Target="https://advance.lexis.com/api/document?collection=cases&amp;id=urn:contentItem:3RX4-30M0-003G-20FC-00000-00&amp;context=" TargetMode="External"/><Relationship Id="rId313" Type="http://schemas.openxmlformats.org/officeDocument/2006/relationships/hyperlink" Target="https://advance.lexis.com/api/document?collection=jury-instructions&amp;id=urn:contentItem:5T0Y-CDN0-01KN-B022-00000-00&amp;context=" TargetMode="External"/><Relationship Id="rId758" Type="http://schemas.openxmlformats.org/officeDocument/2006/relationships/header" Target="header112.xml"/><Relationship Id="rId965" Type="http://schemas.openxmlformats.org/officeDocument/2006/relationships/hyperlink" Target="https://advance.lexis.com/api/document?collection=cases&amp;id=urn:contentItem:3RX4-9HV0-003G-2150-00000-00&amp;context=" TargetMode="External"/><Relationship Id="rId1150" Type="http://schemas.openxmlformats.org/officeDocument/2006/relationships/hyperlink" Target="https://advance.lexis.com/api/document?collection=cases&amp;id=urn:contentItem:3RX4-C0T0-003G-24RD-00000-00&amp;context=" TargetMode="External"/><Relationship Id="rId1388" Type="http://schemas.openxmlformats.org/officeDocument/2006/relationships/footer" Target="footer223.xml"/><Relationship Id="rId1595" Type="http://schemas.openxmlformats.org/officeDocument/2006/relationships/hyperlink" Target="https://advance.lexis.com/api/document?collection=cases&amp;id=urn:contentItem:3RX4-3M80-003G-21PX-00000-00&amp;context=" TargetMode="External"/><Relationship Id="rId1609" Type="http://schemas.openxmlformats.org/officeDocument/2006/relationships/hyperlink" Target="https://advance.lexis.com/api/document?collection=jury-instructions&amp;id=urn:contentItem:5T0Y-CDN0-01KN-B054-00000-00&amp;context=" TargetMode="External"/><Relationship Id="rId1816" Type="http://schemas.openxmlformats.org/officeDocument/2006/relationships/hyperlink" Target="https://advance.lexis.com/api/document?collection=cases&amp;id=urn:contentItem:3RX4-38J0-003G-210Y-00000-00&amp;context=" TargetMode="External"/><Relationship Id="rId2439" Type="http://schemas.openxmlformats.org/officeDocument/2006/relationships/header" Target="header414.xml"/><Relationship Id="rId10" Type="http://schemas.openxmlformats.org/officeDocument/2006/relationships/hyperlink" Target="https://advance.lexis.com/api/document?id=urn:contentItem:5T0Y-CDN0-01KN-B01M-00000-00&amp;idtype=PID&amp;context=1000516" TargetMode="External"/><Relationship Id="rId94" Type="http://schemas.openxmlformats.org/officeDocument/2006/relationships/hyperlink" Target="https://advance.lexis.com/api/document?collection=cases&amp;id=urn:contentItem:3RX4-4GH0-003G-23HW-00000-00&amp;context=" TargetMode="External"/><Relationship Id="rId397" Type="http://schemas.openxmlformats.org/officeDocument/2006/relationships/header" Target="header34.xml"/><Relationship Id="rId520" Type="http://schemas.openxmlformats.org/officeDocument/2006/relationships/header" Target="header66.xml"/><Relationship Id="rId618" Type="http://schemas.openxmlformats.org/officeDocument/2006/relationships/footer" Target="footer88.xml"/><Relationship Id="rId825" Type="http://schemas.openxmlformats.org/officeDocument/2006/relationships/hyperlink" Target="https://advance.lexis.com/api/document?id=urn:contentItem:5T0Y-CDN0-01KN-B03W-00000-00&amp;idtype=PID&amp;context=1000516" TargetMode="External"/><Relationship Id="rId1248" Type="http://schemas.openxmlformats.org/officeDocument/2006/relationships/hyperlink" Target="https://advance.lexis.com/api/document?collection=cases&amp;id=urn:contentItem:3RX4-CVB0-003G-21SC-00000-00&amp;context=" TargetMode="External"/><Relationship Id="rId1455" Type="http://schemas.openxmlformats.org/officeDocument/2006/relationships/header" Target="header240.xml"/><Relationship Id="rId1662" Type="http://schemas.openxmlformats.org/officeDocument/2006/relationships/hyperlink" Target="https://advance.lexis.com/api/document?collection=cases&amp;id=urn:contentItem:3RX4-5MP0-003G-211T-00000-00&amp;context=" TargetMode="External"/><Relationship Id="rId2078" Type="http://schemas.openxmlformats.org/officeDocument/2006/relationships/footer" Target="footer354.xml"/><Relationship Id="rId2201" Type="http://schemas.openxmlformats.org/officeDocument/2006/relationships/header" Target="header373.xml"/><Relationship Id="rId2285" Type="http://schemas.openxmlformats.org/officeDocument/2006/relationships/footer" Target="footer386.xml"/><Relationship Id="rId257" Type="http://schemas.openxmlformats.org/officeDocument/2006/relationships/hyperlink" Target="https://advance.lexis.com/api/document?collection=cases&amp;id=urn:contentItem:3RX4-3NK0-003G-21TM-00000-00&amp;context=" TargetMode="External"/><Relationship Id="rId464" Type="http://schemas.openxmlformats.org/officeDocument/2006/relationships/hyperlink" Target="https://advance.lexis.com/api/document?collection=cases&amp;id=urn:contentItem:3RX4-3CF0-003G-216K-00000-00&amp;context=" TargetMode="External"/><Relationship Id="rId1010" Type="http://schemas.openxmlformats.org/officeDocument/2006/relationships/hyperlink" Target="https://advance.lexis.com/api/document?collection=cases&amp;id=urn:contentItem:3YGV-V7Y0-0039-408H-00000-00&amp;context=" TargetMode="External"/><Relationship Id="rId1094" Type="http://schemas.openxmlformats.org/officeDocument/2006/relationships/hyperlink" Target="https://advance.lexis.com/api/document?id=urn:contentItem:5T0Y-CDN0-01KN-B044-00000-00&amp;idtype=PID&amp;context=1000516" TargetMode="External"/><Relationship Id="rId1108" Type="http://schemas.openxmlformats.org/officeDocument/2006/relationships/hyperlink" Target="https://advance.lexis.com/api/document?id=urn:contentItem:5T0Y-CDN0-01KN-B04B-00000-00&amp;idtype=PID&amp;context=1000516" TargetMode="External"/><Relationship Id="rId1315" Type="http://schemas.openxmlformats.org/officeDocument/2006/relationships/hyperlink" Target="https://advance.lexis.com/api/document?id=urn:contentItem:5T0Y-CDN0-01KN-B04K-00000-00&amp;idtype=PID&amp;context=1000516" TargetMode="External"/><Relationship Id="rId1967" Type="http://schemas.openxmlformats.org/officeDocument/2006/relationships/hyperlink" Target="https://advance.lexis.com/api/document?collection=cases&amp;id=urn:contentItem:3RX4-B6B0-003G-22S3-00000-00&amp;context=" TargetMode="External"/><Relationship Id="rId2145" Type="http://schemas.openxmlformats.org/officeDocument/2006/relationships/hyperlink" Target="https://advance.lexis.com/api/document?collection=cases&amp;id=urn:contentItem:3RX4-8S30-003G-24JV-00000-00&amp;context=" TargetMode="External"/><Relationship Id="rId117" Type="http://schemas.openxmlformats.org/officeDocument/2006/relationships/hyperlink" Target="https://advance.lexis.com/api/document?collection=cases&amp;id=urn:contentItem:4SWH-CDT0-TX4N-G01B-00000-00&amp;context=" TargetMode="External"/><Relationship Id="rId671" Type="http://schemas.openxmlformats.org/officeDocument/2006/relationships/hyperlink" Target="https://advance.lexis.com/api/document?id=urn:contentItem:5T0Y-CDN0-01KN-B03C-00000-00&amp;idtype=PID&amp;context=1000516" TargetMode="External"/><Relationship Id="rId769" Type="http://schemas.openxmlformats.org/officeDocument/2006/relationships/header" Target="header115.xml"/><Relationship Id="rId976" Type="http://schemas.openxmlformats.org/officeDocument/2006/relationships/hyperlink" Target="https://advance.lexis.com/api/document?collection=jury-instructions&amp;id=urn:contentItem:5T0Y-CDN0-01KN-B03Y-00000-00&amp;context=" TargetMode="External"/><Relationship Id="rId1399" Type="http://schemas.openxmlformats.org/officeDocument/2006/relationships/hyperlink" Target="https://advance.lexis.com/api/document?collection=cases&amp;id=urn:contentItem:3RX6-DX20-003G-2201-00000-00&amp;context=" TargetMode="External"/><Relationship Id="rId2352" Type="http://schemas.openxmlformats.org/officeDocument/2006/relationships/hyperlink" Target="https://advance.lexis.com/api/document?collection=cases&amp;id=urn:contentItem:3RX4-46R0-003G-22XX-00000-00&amp;context=" TargetMode="External"/><Relationship Id="rId324" Type="http://schemas.openxmlformats.org/officeDocument/2006/relationships/hyperlink" Target="https://advance.lexis.com/api/document?collection=cases&amp;id=urn:contentItem:3RX4-3Y80-003G-22BT-00000-00&amp;context=" TargetMode="External"/><Relationship Id="rId531" Type="http://schemas.openxmlformats.org/officeDocument/2006/relationships/hyperlink" Target="https://advance.lexis.com/api/document?id=urn:contentItem:5T0Y-CDN0-01KN-B035-00000-00&amp;idtype=PID&amp;context=1000516" TargetMode="External"/><Relationship Id="rId629" Type="http://schemas.openxmlformats.org/officeDocument/2006/relationships/hyperlink" Target="https://advance.lexis.com/api/document?collection=jury-instructions&amp;id=urn:contentItem:5T0Y-CDN0-01KN-B038-00000-00&amp;context=" TargetMode="External"/><Relationship Id="rId1161" Type="http://schemas.openxmlformats.org/officeDocument/2006/relationships/hyperlink" Target="https://advance.lexis.com/api/document?collection=cases&amp;id=urn:contentItem:3RX4-9B40-003G-20N2-00000-00&amp;context=" TargetMode="External"/><Relationship Id="rId1259" Type="http://schemas.openxmlformats.org/officeDocument/2006/relationships/hyperlink" Target="https://advance.lexis.com/api/document?collection=cases&amp;id=urn:contentItem:3S12-3390-003D-Y491-00000-00&amp;context=" TargetMode="External"/><Relationship Id="rId1466" Type="http://schemas.openxmlformats.org/officeDocument/2006/relationships/header" Target="header245.xml"/><Relationship Id="rId2005" Type="http://schemas.openxmlformats.org/officeDocument/2006/relationships/hyperlink" Target="https://advance.lexis.com/api/document?id=urn:contentItem:5T0Y-CDN0-01KN-B070-00000-00&amp;idtype=PID&amp;context=1000516" TargetMode="External"/><Relationship Id="rId2212" Type="http://schemas.openxmlformats.org/officeDocument/2006/relationships/hyperlink" Target="https://advance.lexis.com/api/document?collection=cases&amp;id=urn:contentItem:3RX4-3KM0-003G-21NM-00000-00&amp;context=" TargetMode="External"/><Relationship Id="rId836" Type="http://schemas.openxmlformats.org/officeDocument/2006/relationships/hyperlink" Target="https://advance.lexis.com/api/document?id=urn:contentItem:5T0Y-CDN0-01KN-B042-00000-00&amp;idtype=PID&amp;context=1000516" TargetMode="External"/><Relationship Id="rId1021" Type="http://schemas.openxmlformats.org/officeDocument/2006/relationships/header" Target="header157.xml"/><Relationship Id="rId1119" Type="http://schemas.openxmlformats.org/officeDocument/2006/relationships/footer" Target="footer169.xml"/><Relationship Id="rId1673" Type="http://schemas.openxmlformats.org/officeDocument/2006/relationships/hyperlink" Target="https://advance.lexis.com/api/document?collection=cases&amp;id=urn:contentItem:3RX4-3TS0-003G-223V-00000-00&amp;context=" TargetMode="External"/><Relationship Id="rId1880" Type="http://schemas.openxmlformats.org/officeDocument/2006/relationships/header" Target="header308.xml"/><Relationship Id="rId1978" Type="http://schemas.openxmlformats.org/officeDocument/2006/relationships/hyperlink" Target="https://advance.lexis.com/api/document?collection=cases&amp;id=urn:contentItem:3RX4-BC80-003G-2368-00000-00&amp;context=" TargetMode="External"/><Relationship Id="rId903" Type="http://schemas.openxmlformats.org/officeDocument/2006/relationships/hyperlink" Target="https://advance.lexis.com/api/document?collection=cases&amp;id=urn:contentItem:3RX4-8BX0-003G-23PT-00000-00&amp;context=" TargetMode="External"/><Relationship Id="rId1326" Type="http://schemas.openxmlformats.org/officeDocument/2006/relationships/hyperlink" Target="https://advance.lexis.com/api/document?id=urn:contentItem:5T0Y-CDN0-01KN-B04S-00000-00&amp;idtype=PID&amp;context=1000516" TargetMode="External"/><Relationship Id="rId1533" Type="http://schemas.openxmlformats.org/officeDocument/2006/relationships/header" Target="header257.xml"/><Relationship Id="rId1740" Type="http://schemas.openxmlformats.org/officeDocument/2006/relationships/hyperlink" Target="https://advance.lexis.com/api/document?collection=cases&amp;id=urn:contentItem:3RX4-9X90-003G-2224-00000-00&amp;context=" TargetMode="External"/><Relationship Id="rId32" Type="http://schemas.openxmlformats.org/officeDocument/2006/relationships/footer" Target="footer3.xml"/><Relationship Id="rId1600" Type="http://schemas.openxmlformats.org/officeDocument/2006/relationships/hyperlink" Target="https://advance.lexis.com/api/document?collection=cases&amp;id=urn:contentItem:4F78-FMB0-0039-40M7-00000-00&amp;context=" TargetMode="External"/><Relationship Id="rId1838" Type="http://schemas.openxmlformats.org/officeDocument/2006/relationships/hyperlink" Target="https://advance.lexis.com/api/document?id=urn:contentItem:5T0Y-CDN0-01KN-B05R-00000-00&amp;idtype=PID&amp;context=1000516" TargetMode="External"/><Relationship Id="rId181" Type="http://schemas.openxmlformats.org/officeDocument/2006/relationships/hyperlink" Target="https://advance.lexis.com/api/document?collection=cases&amp;id=urn:contentItem:83HC-1391-652M-702F-00000-00&amp;context=" TargetMode="External"/><Relationship Id="rId1905" Type="http://schemas.openxmlformats.org/officeDocument/2006/relationships/header" Target="header315.xml"/><Relationship Id="rId279" Type="http://schemas.openxmlformats.org/officeDocument/2006/relationships/hyperlink" Target="https://advance.lexis.com/api/document?collection=cases&amp;id=urn:contentItem:3VXS-NRX0-0039-435D-00000-00&amp;context=" TargetMode="External"/><Relationship Id="rId486" Type="http://schemas.openxmlformats.org/officeDocument/2006/relationships/hyperlink" Target="https://advance.lexis.com/api/document?collection=cases&amp;id=urn:contentItem:588J-F9C1-F04G-S020-00000-00&amp;context=" TargetMode="External"/><Relationship Id="rId693" Type="http://schemas.openxmlformats.org/officeDocument/2006/relationships/footer" Target="footer101.xml"/><Relationship Id="rId2167" Type="http://schemas.openxmlformats.org/officeDocument/2006/relationships/hyperlink" Target="https://advance.lexis.com/api/document?id=urn:contentItem:5T0Y-CDN0-01KN-B078-00000-00&amp;idtype=PID&amp;context=1000516" TargetMode="External"/><Relationship Id="rId2374" Type="http://schemas.openxmlformats.org/officeDocument/2006/relationships/hyperlink" Target="https://advance.lexis.com/api/document?id=urn:contentItem:5T0Y-CDN0-01KN-B07T-00000-00&amp;idtype=PID&amp;context=1000516" TargetMode="External"/><Relationship Id="rId139" Type="http://schemas.openxmlformats.org/officeDocument/2006/relationships/hyperlink" Target="https://advance.lexis.com/api/document?collection=cases&amp;id=urn:contentItem:3RX4-89R0-003G-23KG-00000-00&amp;context=" TargetMode="External"/><Relationship Id="rId346" Type="http://schemas.openxmlformats.org/officeDocument/2006/relationships/hyperlink" Target="https://advance.lexis.com/api/document?collection=cases&amp;id=urn:contentItem:3RX4-89R0-003G-23KH-00000-00&amp;context=" TargetMode="External"/><Relationship Id="rId553" Type="http://schemas.openxmlformats.org/officeDocument/2006/relationships/header" Target="header72.xml"/><Relationship Id="rId760" Type="http://schemas.openxmlformats.org/officeDocument/2006/relationships/footer" Target="footer112.xml"/><Relationship Id="rId998" Type="http://schemas.openxmlformats.org/officeDocument/2006/relationships/hyperlink" Target="https://advance.lexis.com/api/document?collection=cases&amp;id=urn:contentItem:3RX4-3860-003G-2104-00000-00&amp;context=" TargetMode="External"/><Relationship Id="rId1183" Type="http://schemas.openxmlformats.org/officeDocument/2006/relationships/hyperlink" Target="https://advance.lexis.com/api/document?collection=cases&amp;id=urn:contentItem:5MYB-13X1-JKHB-6242-00000-00&amp;context=" TargetMode="External"/><Relationship Id="rId1390" Type="http://schemas.openxmlformats.org/officeDocument/2006/relationships/header" Target="header225.xml"/><Relationship Id="rId2027" Type="http://schemas.openxmlformats.org/officeDocument/2006/relationships/footer" Target="footer335.xml"/><Relationship Id="rId2234" Type="http://schemas.openxmlformats.org/officeDocument/2006/relationships/hyperlink" Target="https://advance.lexis.com/api/document?collection=cases&amp;id=urn:contentItem:4RV2-XKD0-TX4N-G1GF-00000-00&amp;context=" TargetMode="External"/><Relationship Id="rId2441" Type="http://schemas.openxmlformats.org/officeDocument/2006/relationships/hyperlink" Target="https://advance.lexis.com/api/document?collection=jury-instructions&amp;id=urn:contentItem:5T0Y-CDN0-01KN-B07P-00000-00&amp;context=" TargetMode="External"/><Relationship Id="rId206" Type="http://schemas.openxmlformats.org/officeDocument/2006/relationships/hyperlink" Target="https://advance.lexis.com/api/document?collection=cases&amp;id=urn:contentItem:3RX4-8KF0-003G-247X-00000-00&amp;context=" TargetMode="External"/><Relationship Id="rId413" Type="http://schemas.openxmlformats.org/officeDocument/2006/relationships/footer" Target="footer41.xml"/><Relationship Id="rId858" Type="http://schemas.openxmlformats.org/officeDocument/2006/relationships/hyperlink" Target="https://advance.lexis.com/api/document?collection=cases&amp;id=urn:contentItem:3S12-2R80-003D-Y2TV-00000-00&amp;context=" TargetMode="External"/><Relationship Id="rId1043" Type="http://schemas.openxmlformats.org/officeDocument/2006/relationships/hyperlink" Target="https://advance.lexis.com/api/document?collection=cases&amp;id=urn:contentItem:3RX4-BS60-003G-2457-00000-00&amp;context=" TargetMode="External"/><Relationship Id="rId1488" Type="http://schemas.openxmlformats.org/officeDocument/2006/relationships/hyperlink" Target="https://advance.lexis.com/api/document?collection=jury-instructions&amp;id=urn:contentItem:5T0Y-CDN0-01KN-B04Y-00000-00&amp;context=" TargetMode="External"/><Relationship Id="rId1695" Type="http://schemas.openxmlformats.org/officeDocument/2006/relationships/hyperlink" Target="https://advance.lexis.com/api/document?collection=cases&amp;id=urn:contentItem:3RX4-CCV0-003G-20CY-00000-00&amp;context=" TargetMode="External"/><Relationship Id="rId620" Type="http://schemas.openxmlformats.org/officeDocument/2006/relationships/header" Target="header90.xml"/><Relationship Id="rId718" Type="http://schemas.openxmlformats.org/officeDocument/2006/relationships/hyperlink" Target="https://advance.lexis.com/api/document?collection=cases&amp;id=urn:contentItem:3RX4-CJB0-003G-20VK-00000-00&amp;context=" TargetMode="External"/><Relationship Id="rId925" Type="http://schemas.openxmlformats.org/officeDocument/2006/relationships/hyperlink" Target="https://advance.lexis.com/api/document?collection=cases&amp;id=urn:contentItem:3RX4-9950-003G-20JN-00000-00&amp;context=" TargetMode="External"/><Relationship Id="rId1250" Type="http://schemas.openxmlformats.org/officeDocument/2006/relationships/hyperlink" Target="https://advance.lexis.com/api/document?collection=cases&amp;id=urn:contentItem:3RX4-BV60-003G-24B7-00000-00&amp;context=" TargetMode="External"/><Relationship Id="rId1348" Type="http://schemas.openxmlformats.org/officeDocument/2006/relationships/hyperlink" Target="https://advance.lexis.com/api/document?collection=cases&amp;id=urn:contentItem:7YGT-WP01-2RHN-X00C-00000-00&amp;context=" TargetMode="External"/><Relationship Id="rId1555" Type="http://schemas.openxmlformats.org/officeDocument/2006/relationships/footer" Target="footer260.xml"/><Relationship Id="rId1762" Type="http://schemas.openxmlformats.org/officeDocument/2006/relationships/hyperlink" Target="https://advance.lexis.com/api/document?collection=cases&amp;id=urn:contentItem:3RX4-5WS0-003G-21R4-00000-00&amp;context=" TargetMode="External"/><Relationship Id="rId2301" Type="http://schemas.openxmlformats.org/officeDocument/2006/relationships/header" Target="header391.xml"/><Relationship Id="rId1110" Type="http://schemas.openxmlformats.org/officeDocument/2006/relationships/hyperlink" Target="https://advance.lexis.com/api/document?id=urn:contentItem:5T0Y-CDN0-01KN-B04D-00000-00&amp;idtype=PID&amp;context=1000516" TargetMode="External"/><Relationship Id="rId1208" Type="http://schemas.openxmlformats.org/officeDocument/2006/relationships/header" Target="header184.xml"/><Relationship Id="rId1415" Type="http://schemas.openxmlformats.org/officeDocument/2006/relationships/footer" Target="footer231.xml"/><Relationship Id="rId54" Type="http://schemas.openxmlformats.org/officeDocument/2006/relationships/header" Target="header9.xml"/><Relationship Id="rId1622" Type="http://schemas.openxmlformats.org/officeDocument/2006/relationships/hyperlink" Target="https://advance.lexis.com/api/document?id=urn:contentItem:5T0Y-CDN0-01KN-B058-00000-00&amp;idtype=PID&amp;context=1000516" TargetMode="External"/><Relationship Id="rId1927" Type="http://schemas.openxmlformats.org/officeDocument/2006/relationships/hyperlink" Target="https://advance.lexis.com/api/document?collection=cases&amp;id=urn:contentItem:436W-MDK0-0039-43KS-00000-00&amp;context=" TargetMode="External"/><Relationship Id="rId2091" Type="http://schemas.openxmlformats.org/officeDocument/2006/relationships/header" Target="header355.xml"/><Relationship Id="rId2189" Type="http://schemas.openxmlformats.org/officeDocument/2006/relationships/header" Target="header369.xml"/><Relationship Id="rId270" Type="http://schemas.openxmlformats.org/officeDocument/2006/relationships/hyperlink" Target="https://advance.lexis.com/api/document?collection=cases&amp;id=urn:contentItem:3VXS-NRX0-0039-435D-00000-00&amp;context=" TargetMode="External"/><Relationship Id="rId2396" Type="http://schemas.openxmlformats.org/officeDocument/2006/relationships/hyperlink" Target="https://advance.lexis.com/api/document?collection=cases&amp;id=urn:contentItem:3RX4-8B00-003G-23M6-00000-00&amp;context=" TargetMode="External"/><Relationship Id="rId130" Type="http://schemas.openxmlformats.org/officeDocument/2006/relationships/footer" Target="footer26.xml"/><Relationship Id="rId368" Type="http://schemas.openxmlformats.org/officeDocument/2006/relationships/hyperlink" Target="https://advance.lexis.com/api/document?collection=cases&amp;id=urn:contentItem:3S3H-PV00-0039-435T-00000-00&amp;context=" TargetMode="External"/><Relationship Id="rId575" Type="http://schemas.openxmlformats.org/officeDocument/2006/relationships/hyperlink" Target="https://advance.lexis.com/api/document?collection=jury-instructions&amp;id=urn:contentItem:5T0Y-CDN0-01KN-B033-00000-00&amp;context=" TargetMode="External"/><Relationship Id="rId782" Type="http://schemas.openxmlformats.org/officeDocument/2006/relationships/hyperlink" Target="https://advance.lexis.com/api/document?collection=jury-instructions&amp;id=urn:contentItem:5T0Y-CDN0-01KN-B03J-00000-00&amp;context=" TargetMode="External"/><Relationship Id="rId2049" Type="http://schemas.openxmlformats.org/officeDocument/2006/relationships/header" Target="header345.xml"/><Relationship Id="rId2256" Type="http://schemas.openxmlformats.org/officeDocument/2006/relationships/hyperlink" Target="https://advance.lexis.com/api/document?collection=cases&amp;id=urn:contentItem:59PP-6911-F04G-T01R-00000-00&amp;context=" TargetMode="External"/><Relationship Id="rId2463" Type="http://schemas.openxmlformats.org/officeDocument/2006/relationships/header" Target="header418.xml"/><Relationship Id="rId228" Type="http://schemas.openxmlformats.org/officeDocument/2006/relationships/hyperlink" Target="https://advance.lexis.com/api/document?collection=cases&amp;id=urn:contentItem:40DC-HK10-0039-417F-00000-00&amp;context=" TargetMode="External"/><Relationship Id="rId435" Type="http://schemas.openxmlformats.org/officeDocument/2006/relationships/footer" Target="footer49.xml"/><Relationship Id="rId642" Type="http://schemas.openxmlformats.org/officeDocument/2006/relationships/hyperlink" Target="https://advance.lexis.com/api/document?collection=cases&amp;id=urn:contentItem:3RX4-4NN0-003G-23XM-00000-00&amp;context=" TargetMode="External"/><Relationship Id="rId1065" Type="http://schemas.openxmlformats.org/officeDocument/2006/relationships/hyperlink" Target="https://advance.lexis.com/api/document?collection=cases&amp;id=urn:contentItem:3S12-3340-003D-Y48F-00000-00&amp;context=" TargetMode="External"/><Relationship Id="rId1272" Type="http://schemas.openxmlformats.org/officeDocument/2006/relationships/hyperlink" Target="https://advance.lexis.com/api/document?collection=cases&amp;id=urn:contentItem:4KJV-N6N0-0039-44BB-00000-00&amp;context=" TargetMode="External"/><Relationship Id="rId2116" Type="http://schemas.openxmlformats.org/officeDocument/2006/relationships/hyperlink" Target="https://advance.lexis.com/api/document?collection=jury-instructions&amp;id=urn:contentItem:5T0Y-CDN0-01KN-B074-00000-00&amp;context=" TargetMode="External"/><Relationship Id="rId2323" Type="http://schemas.openxmlformats.org/officeDocument/2006/relationships/header" Target="header396.xml"/><Relationship Id="rId502" Type="http://schemas.openxmlformats.org/officeDocument/2006/relationships/footer" Target="footer60.xml"/><Relationship Id="rId947" Type="http://schemas.openxmlformats.org/officeDocument/2006/relationships/footer" Target="footer151.xml"/><Relationship Id="rId1132" Type="http://schemas.openxmlformats.org/officeDocument/2006/relationships/hyperlink" Target="https://advance.lexis.com/api/document?collection=cases&amp;id=urn:contentItem:3RX4-5G60-003G-20M2-00000-00&amp;context=" TargetMode="External"/><Relationship Id="rId1577" Type="http://schemas.openxmlformats.org/officeDocument/2006/relationships/hyperlink" Target="https://advance.lexis.com/api/document?collection=cases&amp;id=urn:contentItem:4B7G-2320-004C-001H-00000-00&amp;context=" TargetMode="External"/><Relationship Id="rId1784" Type="http://schemas.openxmlformats.org/officeDocument/2006/relationships/hyperlink" Target="https://advance.lexis.com/api/document?collection=cases&amp;id=urn:contentItem:49G0-S8F0-0039-41HP-00000-00&amp;context=" TargetMode="External"/><Relationship Id="rId1991" Type="http://schemas.openxmlformats.org/officeDocument/2006/relationships/hyperlink" Target="https://advance.lexis.com/api/document?collection=cases&amp;id=urn:contentItem:3RX4-4RH0-003G-2424-00000-00&amp;context=" TargetMode="External"/><Relationship Id="rId76" Type="http://schemas.openxmlformats.org/officeDocument/2006/relationships/footer" Target="footer17.xml"/><Relationship Id="rId807" Type="http://schemas.openxmlformats.org/officeDocument/2006/relationships/header" Target="header129.xml"/><Relationship Id="rId1437" Type="http://schemas.openxmlformats.org/officeDocument/2006/relationships/hyperlink" Target="https://advance.lexis.com/api/document?id=urn:contentItem:5T0Y-CDN0-01KN-B054-00000-00&amp;idtype=PID&amp;context=1000516" TargetMode="External"/><Relationship Id="rId1644" Type="http://schemas.openxmlformats.org/officeDocument/2006/relationships/header" Target="header268.xml"/><Relationship Id="rId1851" Type="http://schemas.openxmlformats.org/officeDocument/2006/relationships/header" Target="header300.xml"/><Relationship Id="rId1504" Type="http://schemas.openxmlformats.org/officeDocument/2006/relationships/hyperlink" Target="https://advance.lexis.com/api/document?collection=cases&amp;id=urn:contentItem:4J8C-MHH0-0039-42NW-00000-00&amp;context=" TargetMode="External"/><Relationship Id="rId1711" Type="http://schemas.openxmlformats.org/officeDocument/2006/relationships/hyperlink" Target="https://advance.lexis.com/api/document?collection=cases&amp;id=urn:contentItem:83HC-1391-652M-702F-00000-00&amp;context=" TargetMode="External"/><Relationship Id="rId1949" Type="http://schemas.openxmlformats.org/officeDocument/2006/relationships/hyperlink" Target="https://advance.lexis.com/api/document?collection=cases&amp;id=urn:contentItem:3RX4-BC80-003G-2368-00000-00&amp;context=" TargetMode="External"/><Relationship Id="rId292" Type="http://schemas.openxmlformats.org/officeDocument/2006/relationships/hyperlink" Target="https://advance.lexis.com/api/document?id=urn:contentItem:5T0Y-CDN0-01KN-B025-00000-00&amp;idtype=PID&amp;context=1000516" TargetMode="External"/><Relationship Id="rId1809" Type="http://schemas.openxmlformats.org/officeDocument/2006/relationships/header" Target="header295.xml"/><Relationship Id="rId597" Type="http://schemas.openxmlformats.org/officeDocument/2006/relationships/header" Target="header82.xml"/><Relationship Id="rId2180" Type="http://schemas.openxmlformats.org/officeDocument/2006/relationships/hyperlink" Target="https://advance.lexis.com/api/document?id=urn:contentItem:5T0Y-CDN0-01KN-B07H-00000-00&amp;idtype=PID&amp;context=1000516" TargetMode="External"/><Relationship Id="rId2278" Type="http://schemas.openxmlformats.org/officeDocument/2006/relationships/footer" Target="footer383.xml"/><Relationship Id="rId152" Type="http://schemas.openxmlformats.org/officeDocument/2006/relationships/hyperlink" Target="https://advance.lexis.com/api/document?collection=cases&amp;id=urn:contentItem:3RX4-2VB0-003G-2060-00000-00&amp;context=" TargetMode="External"/><Relationship Id="rId457" Type="http://schemas.openxmlformats.org/officeDocument/2006/relationships/hyperlink" Target="https://advance.lexis.com/api/document?collection=cases&amp;id=urn:contentItem:3S4X-8BW0-0039-P1MT-00000-00&amp;context=" TargetMode="External"/><Relationship Id="rId1087" Type="http://schemas.openxmlformats.org/officeDocument/2006/relationships/hyperlink" Target="https://advance.lexis.com/api/document?collection=cases&amp;id=urn:contentItem:3RX4-C1D0-003G-24SS-00000-00&amp;context=" TargetMode="External"/><Relationship Id="rId1294" Type="http://schemas.openxmlformats.org/officeDocument/2006/relationships/hyperlink" Target="https://advance.lexis.com/api/document?collection=jury-instructions&amp;id=urn:contentItem:5T0Y-CDN0-01KN-B04D-00000-00&amp;context=" TargetMode="External"/><Relationship Id="rId2040" Type="http://schemas.openxmlformats.org/officeDocument/2006/relationships/footer" Target="footer340.xml"/><Relationship Id="rId2138" Type="http://schemas.openxmlformats.org/officeDocument/2006/relationships/hyperlink" Target="https://advance.lexis.com/api/document?collection=cases&amp;id=urn:contentItem:3RX4-B9V0-003G-232R-00000-00&amp;context=" TargetMode="External"/><Relationship Id="rId664" Type="http://schemas.openxmlformats.org/officeDocument/2006/relationships/hyperlink" Target="https://advance.lexis.com/api/document?collection=cases&amp;id=urn:contentItem:3RX4-CST0-003G-21KP-00000-00&amp;context=" TargetMode="External"/><Relationship Id="rId871" Type="http://schemas.openxmlformats.org/officeDocument/2006/relationships/hyperlink" Target="https://advance.lexis.com/api/document?collection=cases&amp;id=urn:contentItem:3RX4-CR90-003G-21F1-00000-00&amp;context=" TargetMode="External"/><Relationship Id="rId969" Type="http://schemas.openxmlformats.org/officeDocument/2006/relationships/hyperlink" Target="https://advance.lexis.com/api/document?collection=cases&amp;id=urn:contentItem:3RX4-3B70-003G-2147-00000-00&amp;context=" TargetMode="External"/><Relationship Id="rId1599" Type="http://schemas.openxmlformats.org/officeDocument/2006/relationships/hyperlink" Target="https://advance.lexis.com/api/document?collection=cases&amp;id=urn:contentItem:4F78-FMB0-0039-40M7-00000-00&amp;context=" TargetMode="External"/><Relationship Id="rId2345" Type="http://schemas.openxmlformats.org/officeDocument/2006/relationships/hyperlink" Target="https://advance.lexis.com/api/document?collection=cases&amp;id=urn:contentItem:3RX4-3G80-003G-21DF-00000-00&amp;context=" TargetMode="External"/><Relationship Id="rId317" Type="http://schemas.openxmlformats.org/officeDocument/2006/relationships/hyperlink" Target="https://advance.lexis.com/api/document?collection=cases&amp;id=urn:contentItem:3S4X-KTX0-0039-W0TF-00000-00&amp;context=" TargetMode="External"/><Relationship Id="rId524" Type="http://schemas.openxmlformats.org/officeDocument/2006/relationships/hyperlink" Target="https://advance.lexis.com/api/document?id=urn:contentItem:5T0Y-CDN0-01KN-B031-00000-00&amp;idtype=PID&amp;context=1000516" TargetMode="External"/><Relationship Id="rId731" Type="http://schemas.openxmlformats.org/officeDocument/2006/relationships/hyperlink" Target="https://advance.lexis.com/api/document?collection=jury-instructions&amp;id=urn:contentItem:5T0Y-CDN0-01KN-B03F-00000-00&amp;context=" TargetMode="External"/><Relationship Id="rId1154" Type="http://schemas.openxmlformats.org/officeDocument/2006/relationships/hyperlink" Target="https://advance.lexis.com/api/document?collection=cases&amp;id=urn:contentItem:3RX4-4JW0-003G-23R2-00000-00&amp;context=" TargetMode="External"/><Relationship Id="rId1361" Type="http://schemas.openxmlformats.org/officeDocument/2006/relationships/footer" Target="footer212.xml"/><Relationship Id="rId1459" Type="http://schemas.openxmlformats.org/officeDocument/2006/relationships/header" Target="header242.xml"/><Relationship Id="rId2205" Type="http://schemas.openxmlformats.org/officeDocument/2006/relationships/header" Target="header375.xml"/><Relationship Id="rId2412" Type="http://schemas.openxmlformats.org/officeDocument/2006/relationships/hyperlink" Target="https://advance.lexis.com/api/document?collection=cases&amp;id=urn:contentItem:3RX4-BR70-003G-242S-00000-00&amp;context=" TargetMode="External"/><Relationship Id="rId98" Type="http://schemas.openxmlformats.org/officeDocument/2006/relationships/hyperlink" Target="https://advance.lexis.com/api/document?collection=cases&amp;id=urn:contentItem:7YMC-C581-2RHN-Y00P-00000-00&amp;context=" TargetMode="External"/><Relationship Id="rId829" Type="http://schemas.openxmlformats.org/officeDocument/2006/relationships/hyperlink" Target="https://advance.lexis.com/api/document?id=urn:contentItem:5T0Y-CDN0-01KN-B03Y-00000-00&amp;idtype=PID&amp;context=1000516" TargetMode="External"/><Relationship Id="rId1014" Type="http://schemas.openxmlformats.org/officeDocument/2006/relationships/hyperlink" Target="https://advance.lexis.com/api/document?collection=cases&amp;id=urn:contentItem:3RRJ-5MN0-003V-D3S2-00000-00&amp;context=" TargetMode="External"/><Relationship Id="rId1221" Type="http://schemas.openxmlformats.org/officeDocument/2006/relationships/hyperlink" Target="https://advance.lexis.com/api/document?collection=cases&amp;id=urn:contentItem:3RX4-32S0-003G-20KP-00000-00&amp;context=" TargetMode="External"/><Relationship Id="rId1666" Type="http://schemas.openxmlformats.org/officeDocument/2006/relationships/hyperlink" Target="https://advance.lexis.com/api/document?collection=cases&amp;id=urn:contentItem:3RX4-CFP0-003G-20JM-00000-00&amp;context=" TargetMode="External"/><Relationship Id="rId1873" Type="http://schemas.openxmlformats.org/officeDocument/2006/relationships/header" Target="header305.xml"/><Relationship Id="rId1319" Type="http://schemas.openxmlformats.org/officeDocument/2006/relationships/hyperlink" Target="https://advance.lexis.com/api/document?id=urn:contentItem:5T0Y-CDN0-01KN-B04R-00000-00&amp;idtype=PID&amp;context=1000516" TargetMode="External"/><Relationship Id="rId1526" Type="http://schemas.openxmlformats.org/officeDocument/2006/relationships/hyperlink" Target="https://advance.lexis.com/api/document?collection=cases&amp;id=urn:contentItem:3RX4-40R0-003G-22FR-00000-00&amp;context=" TargetMode="External"/><Relationship Id="rId1733" Type="http://schemas.openxmlformats.org/officeDocument/2006/relationships/header" Target="header285.xml"/><Relationship Id="rId1940" Type="http://schemas.openxmlformats.org/officeDocument/2006/relationships/hyperlink" Target="https://advance.lexis.com/api/document?collection=cases&amp;id=urn:contentItem:3RX4-4JK0-003G-23PC-00000-00&amp;context=" TargetMode="External"/><Relationship Id="rId25" Type="http://schemas.openxmlformats.org/officeDocument/2006/relationships/hyperlink" Target="https://advance.lexis.com/api/document?id=urn:contentItem:5T0Y-CDN0-01KN-B01V-00000-00&amp;idtype=PID&amp;context=1000516" TargetMode="External"/><Relationship Id="rId1800" Type="http://schemas.openxmlformats.org/officeDocument/2006/relationships/hyperlink" Target="https://advance.lexis.com/api/document?collection=cases&amp;id=urn:contentItem:3RX4-8RP0-003G-24HX-00000-00&amp;context=" TargetMode="External"/><Relationship Id="rId174" Type="http://schemas.openxmlformats.org/officeDocument/2006/relationships/footer" Target="footer31.xml"/><Relationship Id="rId381" Type="http://schemas.openxmlformats.org/officeDocument/2006/relationships/hyperlink" Target="https://advance.lexis.com/api/document?id=urn:contentItem:5T0Y-CDN0-01KN-B02R-00000-00&amp;idtype=PID&amp;context=1000516" TargetMode="External"/><Relationship Id="rId2062" Type="http://schemas.openxmlformats.org/officeDocument/2006/relationships/footer" Target="footer350.xml"/><Relationship Id="rId241" Type="http://schemas.openxmlformats.org/officeDocument/2006/relationships/hyperlink" Target="https://advance.lexis.com/api/document?collection=cases&amp;id=urn:contentItem:3RX4-B4S0-003G-22MC-00000-00&amp;context=" TargetMode="External"/><Relationship Id="rId479" Type="http://schemas.openxmlformats.org/officeDocument/2006/relationships/header" Target="header52.xml"/><Relationship Id="rId686" Type="http://schemas.openxmlformats.org/officeDocument/2006/relationships/hyperlink" Target="https://advance.lexis.com/api/document?id=urn:contentItem:5T0Y-CDN0-01KN-B03N-00000-00&amp;idtype=PID&amp;context=1000516" TargetMode="External"/><Relationship Id="rId893" Type="http://schemas.openxmlformats.org/officeDocument/2006/relationships/hyperlink" Target="https://advance.lexis.com/api/document?collection=jury-instructions&amp;id=urn:contentItem:5T0Y-CDN0-01KN-B03V-00000-00&amp;context=" TargetMode="External"/><Relationship Id="rId2367" Type="http://schemas.openxmlformats.org/officeDocument/2006/relationships/hyperlink" Target="https://advance.lexis.com/api/document?id=urn:contentItem:5T0Y-CDN0-01KN-B07P-00000-00&amp;idtype=PID&amp;context=1000516" TargetMode="External"/><Relationship Id="rId339" Type="http://schemas.openxmlformats.org/officeDocument/2006/relationships/hyperlink" Target="https://advance.lexis.com/api/document?collection=cases&amp;id=urn:contentItem:3Y52-5JS0-0039-4012-00000-00&amp;context=" TargetMode="External"/><Relationship Id="rId546" Type="http://schemas.openxmlformats.org/officeDocument/2006/relationships/footer" Target="footer68.xml"/><Relationship Id="rId753" Type="http://schemas.openxmlformats.org/officeDocument/2006/relationships/hyperlink" Target="https://advance.lexis.com/api/document?collection=cases&amp;id=urn:contentItem:3RX4-CNN0-003G-217H-00000-00&amp;context=" TargetMode="External"/><Relationship Id="rId1176" Type="http://schemas.openxmlformats.org/officeDocument/2006/relationships/footer" Target="footer178.xml"/><Relationship Id="rId1383" Type="http://schemas.openxmlformats.org/officeDocument/2006/relationships/header" Target="header222.xml"/><Relationship Id="rId2227" Type="http://schemas.openxmlformats.org/officeDocument/2006/relationships/hyperlink" Target="https://advance.lexis.com/api/document?collection=cases&amp;id=urn:contentItem:3RX6-F0K0-003G-227K-00000-00&amp;context=" TargetMode="External"/><Relationship Id="rId2434" Type="http://schemas.openxmlformats.org/officeDocument/2006/relationships/hyperlink" Target="https://advance.lexis.com/api/document?collection=cases&amp;id=urn:contentItem:3RX4-9G80-003G-211D-00000-00&amp;context=" TargetMode="External"/><Relationship Id="rId101" Type="http://schemas.openxmlformats.org/officeDocument/2006/relationships/hyperlink" Target="https://advance.lexis.com/api/document?collection=cases&amp;id=urn:contentItem:3RX4-35C0-003G-20SV-00000-00&amp;context=" TargetMode="External"/><Relationship Id="rId406" Type="http://schemas.openxmlformats.org/officeDocument/2006/relationships/footer" Target="footer38.xml"/><Relationship Id="rId960" Type="http://schemas.openxmlformats.org/officeDocument/2006/relationships/hyperlink" Target="https://advance.lexis.com/api/document?collection=cases&amp;id=urn:contentItem:3RX4-40R0-003G-22FR-00000-00&amp;context=" TargetMode="External"/><Relationship Id="rId1036" Type="http://schemas.openxmlformats.org/officeDocument/2006/relationships/footer" Target="footer160.xml"/><Relationship Id="rId1243" Type="http://schemas.openxmlformats.org/officeDocument/2006/relationships/footer" Target="footer189.xml"/><Relationship Id="rId1590" Type="http://schemas.openxmlformats.org/officeDocument/2006/relationships/hyperlink" Target="https://advance.lexis.com/api/document?collection=cases&amp;id=urn:contentItem:801F-XGM1-2RHN-X009-00000-00&amp;context=" TargetMode="External"/><Relationship Id="rId1688" Type="http://schemas.openxmlformats.org/officeDocument/2006/relationships/hyperlink" Target="https://advance.lexis.com/api/document?collection=cases&amp;id=urn:contentItem:3RX4-4WK0-003G-24B6-00000-00&amp;context=" TargetMode="External"/><Relationship Id="rId1895" Type="http://schemas.openxmlformats.org/officeDocument/2006/relationships/footer" Target="footer312.xml"/><Relationship Id="rId613" Type="http://schemas.openxmlformats.org/officeDocument/2006/relationships/hyperlink" Target="https://advance.lexis.com/api/document?collection=jury-instructions&amp;id=urn:contentItem:5T0Y-CDN0-01KN-B036-00000-00&amp;context=" TargetMode="External"/><Relationship Id="rId820" Type="http://schemas.openxmlformats.org/officeDocument/2006/relationships/hyperlink" Target="https://advance.lexis.com/api/document?id=urn:contentItem:5T0Y-CDN0-01KN-B03S-00000-00&amp;idtype=PID&amp;context=1000516" TargetMode="External"/><Relationship Id="rId918" Type="http://schemas.openxmlformats.org/officeDocument/2006/relationships/hyperlink" Target="https://advance.lexis.com/api/document?collection=cases&amp;id=urn:contentItem:3RX4-42S0-003G-22KD-00000-00&amp;context=" TargetMode="External"/><Relationship Id="rId1450" Type="http://schemas.openxmlformats.org/officeDocument/2006/relationships/hyperlink" Target="https://advance.lexis.com/api/document?collection=jury-instructions&amp;id=urn:contentItem:5T0Y-CDN0-01KN-B04T-00000-00&amp;context=" TargetMode="External"/><Relationship Id="rId1548" Type="http://schemas.openxmlformats.org/officeDocument/2006/relationships/hyperlink" Target="https://advance.lexis.com/api/document?collection=cases&amp;id=urn:contentItem:3RX4-C110-003G-24RY-00000-00&amp;context=" TargetMode="External"/><Relationship Id="rId1755" Type="http://schemas.openxmlformats.org/officeDocument/2006/relationships/hyperlink" Target="https://advance.lexis.com/api/document?collection=cases&amp;id=urn:contentItem:3S4X-5KM0-003B-J4BJ-00000-00&amp;context=" TargetMode="External"/><Relationship Id="rId1103" Type="http://schemas.openxmlformats.org/officeDocument/2006/relationships/hyperlink" Target="https://advance.lexis.com/api/document?id=urn:contentItem:5T0Y-CDN0-01KN-B049-00000-00&amp;idtype=PID&amp;context=1000516" TargetMode="External"/><Relationship Id="rId1310" Type="http://schemas.openxmlformats.org/officeDocument/2006/relationships/hyperlink" Target="https://advance.lexis.com/api/document?id=urn:contentItem:5T0Y-CDN0-01KN-B04G-00000-00&amp;idtype=PID&amp;context=1000516" TargetMode="External"/><Relationship Id="rId1408" Type="http://schemas.openxmlformats.org/officeDocument/2006/relationships/hyperlink" Target="https://advance.lexis.com/api/document?collection=cases&amp;id=urn:contentItem:4XC5-P3N0-TXFT-C23K-00000-00&amp;context=" TargetMode="External"/><Relationship Id="rId1962" Type="http://schemas.openxmlformats.org/officeDocument/2006/relationships/hyperlink" Target="https://advance.lexis.com/api/document?collection=cases&amp;id=urn:contentItem:3RX4-CP60-003G-2199-00000-00&amp;context=" TargetMode="External"/><Relationship Id="rId47" Type="http://schemas.openxmlformats.org/officeDocument/2006/relationships/hyperlink" Target="https://advance.lexis.com/api/document?collection=cases&amp;id=urn:contentItem:3RX4-C4F0-003G-251M-00000-00&amp;context=" TargetMode="External"/><Relationship Id="rId1615" Type="http://schemas.openxmlformats.org/officeDocument/2006/relationships/hyperlink" Target="https://advance.lexis.com/api/document?collection=cases&amp;id=urn:contentItem:3S4X-JNG0-0039-P017-00000-00&amp;context=" TargetMode="External"/><Relationship Id="rId1822" Type="http://schemas.openxmlformats.org/officeDocument/2006/relationships/hyperlink" Target="https://advance.lexis.com/api/document?collection=cases&amp;id=urn:contentItem:3RX4-38J0-003G-210Y-00000-00&amp;context=" TargetMode="External"/><Relationship Id="rId196" Type="http://schemas.openxmlformats.org/officeDocument/2006/relationships/hyperlink" Target="https://advance.lexis.com/api/document?id=urn:contentItem:5T0Y-CDN0-01KN-B025-00000-00&amp;idtype=PID&amp;context=1000516" TargetMode="External"/><Relationship Id="rId2084" Type="http://schemas.openxmlformats.org/officeDocument/2006/relationships/hyperlink" Target="https://advance.lexis.com/api/document?collection=cases&amp;id=urn:contentItem:3RX4-CCF0-003G-20BX-00000-00&amp;context=" TargetMode="External"/><Relationship Id="rId2291" Type="http://schemas.openxmlformats.org/officeDocument/2006/relationships/hyperlink" Target="https://advance.lexis.com/api/document?collection=cases&amp;id=urn:contentItem:3RX4-CJG0-003G-20W0-00000-00&amp;context=" TargetMode="External"/><Relationship Id="rId263" Type="http://schemas.openxmlformats.org/officeDocument/2006/relationships/hyperlink" Target="https://advance.lexis.com/api/document?collection=cases&amp;id=urn:contentItem:3S12-2GG0-003D-Y1PH-00000-00&amp;context=" TargetMode="External"/><Relationship Id="rId470" Type="http://schemas.openxmlformats.org/officeDocument/2006/relationships/hyperlink" Target="https://advance.lexis.com/api/document?collection=cases&amp;id=urn:contentItem:3RX4-3TM0-003G-223J-00000-00&amp;context=" TargetMode="External"/><Relationship Id="rId2151" Type="http://schemas.openxmlformats.org/officeDocument/2006/relationships/hyperlink" Target="https://advance.lexis.com/api/document?collection=cases&amp;id=urn:contentItem:3RX4-49D0-003G-2353-00000-00&amp;context=" TargetMode="External"/><Relationship Id="rId2389" Type="http://schemas.openxmlformats.org/officeDocument/2006/relationships/hyperlink" Target="https://advance.lexis.com/api/document?collection=cases&amp;id=urn:contentItem:3S12-3CG0-003D-Y09B-00000-00&amp;context=" TargetMode="External"/><Relationship Id="rId123" Type="http://schemas.openxmlformats.org/officeDocument/2006/relationships/footer" Target="footer24.xml"/><Relationship Id="rId330" Type="http://schemas.openxmlformats.org/officeDocument/2006/relationships/hyperlink" Target="https://advance.lexis.com/api/document?collection=cases&amp;id=urn:contentItem:3RX4-C4N0-003G-2525-00000-00&amp;context=" TargetMode="External"/><Relationship Id="rId568" Type="http://schemas.openxmlformats.org/officeDocument/2006/relationships/hyperlink" Target="https://advance.lexis.com/api/document?collection=cases&amp;id=urn:contentItem:3RX4-9JM0-003G-2173-00000-00&amp;context=" TargetMode="External"/><Relationship Id="rId775" Type="http://schemas.openxmlformats.org/officeDocument/2006/relationships/hyperlink" Target="https://advance.lexis.com/api/document?collection=jury-instructions&amp;id=urn:contentItem:5T0Y-CDN0-01KN-B03H-00000-00&amp;context=" TargetMode="External"/><Relationship Id="rId982" Type="http://schemas.openxmlformats.org/officeDocument/2006/relationships/hyperlink" Target="https://advance.lexis.com/api/document?collection=cases&amp;id=urn:contentItem:3RX4-CM90-003G-212R-00000-00&amp;context=" TargetMode="External"/><Relationship Id="rId1198" Type="http://schemas.openxmlformats.org/officeDocument/2006/relationships/hyperlink" Target="https://advance.lexis.com/api/document?collection=cases&amp;id=urn:contentItem:3RX4-3YN0-003G-22CM-00000-00&amp;context=" TargetMode="External"/><Relationship Id="rId2011" Type="http://schemas.openxmlformats.org/officeDocument/2006/relationships/hyperlink" Target="https://advance.lexis.com/api/document?id=urn:contentItem:5T0Y-CDN0-01KN-B073-00000-00&amp;idtype=PID&amp;context=1000516" TargetMode="External"/><Relationship Id="rId2249" Type="http://schemas.openxmlformats.org/officeDocument/2006/relationships/hyperlink" Target="https://advance.lexis.com/api/document?collection=cases&amp;id=urn:contentItem:59PP-6911-F04G-T01R-00000-00&amp;context=" TargetMode="External"/><Relationship Id="rId2456" Type="http://schemas.openxmlformats.org/officeDocument/2006/relationships/header" Target="header416.xml"/><Relationship Id="rId428" Type="http://schemas.openxmlformats.org/officeDocument/2006/relationships/header" Target="header48.xml"/><Relationship Id="rId635" Type="http://schemas.openxmlformats.org/officeDocument/2006/relationships/hyperlink" Target="https://advance.lexis.com/api/document?collection=cases&amp;id=urn:contentItem:3TGV-B6C0-0039-42CV-00000-00&amp;context=" TargetMode="External"/><Relationship Id="rId842" Type="http://schemas.openxmlformats.org/officeDocument/2006/relationships/footer" Target="footer135.xml"/><Relationship Id="rId1058" Type="http://schemas.openxmlformats.org/officeDocument/2006/relationships/hyperlink" Target="https://advance.lexis.com/api/document?collection=cases&amp;id=urn:contentItem:3RX4-CNC0-003G-216H-00000-00&amp;context=" TargetMode="External"/><Relationship Id="rId1265" Type="http://schemas.openxmlformats.org/officeDocument/2006/relationships/header" Target="header190.xml"/><Relationship Id="rId1472" Type="http://schemas.openxmlformats.org/officeDocument/2006/relationships/hyperlink" Target="https://advance.lexis.com/api/document?collection=cases&amp;id=urn:contentItem:4NHV-9J10-0039-4361-00000-00&amp;context=" TargetMode="External"/><Relationship Id="rId2109" Type="http://schemas.openxmlformats.org/officeDocument/2006/relationships/hyperlink" Target="https://advance.lexis.com/api/document?collection=cases&amp;id=urn:contentItem:3RX4-BCC0-003G-236G-00000-00&amp;context=" TargetMode="External"/><Relationship Id="rId2316" Type="http://schemas.openxmlformats.org/officeDocument/2006/relationships/hyperlink" Target="https://advance.lexis.com/api/document?collection=cases&amp;id=urn:contentItem:59PP-6911-F04G-T01R-00000-00&amp;context=" TargetMode="External"/><Relationship Id="rId702" Type="http://schemas.openxmlformats.org/officeDocument/2006/relationships/hyperlink" Target="https://advance.lexis.com/api/document?collection=jury-instructions&amp;id=urn:contentItem:5T0Y-CDN0-01KN-B03C-00000-00&amp;context=" TargetMode="External"/><Relationship Id="rId1125" Type="http://schemas.openxmlformats.org/officeDocument/2006/relationships/header" Target="header173.xml"/><Relationship Id="rId1332" Type="http://schemas.openxmlformats.org/officeDocument/2006/relationships/footer" Target="footer201.xml"/><Relationship Id="rId1777" Type="http://schemas.openxmlformats.org/officeDocument/2006/relationships/hyperlink" Target="https://advance.lexis.com/api/document?collection=cases&amp;id=urn:contentItem:3RX4-CF90-003G-20HS-00000-00&amp;context=" TargetMode="External"/><Relationship Id="rId1984" Type="http://schemas.openxmlformats.org/officeDocument/2006/relationships/header" Target="header330.xml"/><Relationship Id="rId69" Type="http://schemas.openxmlformats.org/officeDocument/2006/relationships/footer" Target="footer14.xml"/><Relationship Id="rId1637" Type="http://schemas.openxmlformats.org/officeDocument/2006/relationships/hyperlink" Target="https://advance.lexis.com/api/document?id=urn:contentItem:5T0Y-CDN0-01KN-B05H-00000-00&amp;idtype=PID&amp;context=1000516" TargetMode="External"/><Relationship Id="rId1844" Type="http://schemas.openxmlformats.org/officeDocument/2006/relationships/hyperlink" Target="https://advance.lexis.com/api/document?id=urn:contentItem:5T0Y-CDN0-01KN-B05W-00000-00&amp;idtype=PID&amp;context=1000516" TargetMode="External"/><Relationship Id="rId1704" Type="http://schemas.openxmlformats.org/officeDocument/2006/relationships/footer" Target="footer275.xml"/><Relationship Id="rId285" Type="http://schemas.openxmlformats.org/officeDocument/2006/relationships/hyperlink" Target="https://advance.lexis.com/api/document?id=urn:contentItem:5T0Y-CDN0-01KN-B021-00000-00&amp;idtype=PID&amp;context=1000516" TargetMode="External"/><Relationship Id="rId1911" Type="http://schemas.openxmlformats.org/officeDocument/2006/relationships/footer" Target="footer317.xml"/><Relationship Id="rId492" Type="http://schemas.openxmlformats.org/officeDocument/2006/relationships/footer" Target="footer55.xml"/><Relationship Id="rId797" Type="http://schemas.openxmlformats.org/officeDocument/2006/relationships/footer" Target="footer124.xml"/><Relationship Id="rId2173" Type="http://schemas.openxmlformats.org/officeDocument/2006/relationships/hyperlink" Target="https://advance.lexis.com/api/document?id=urn:contentItem:5T0Y-CDN0-01KN-B07C-00000-00&amp;idtype=PID&amp;context=1000516" TargetMode="External"/><Relationship Id="rId2380" Type="http://schemas.openxmlformats.org/officeDocument/2006/relationships/footer" Target="footer402.xml"/><Relationship Id="rId2478" Type="http://schemas.openxmlformats.org/officeDocument/2006/relationships/footer" Target="footer421.xml"/><Relationship Id="rId145" Type="http://schemas.openxmlformats.org/officeDocument/2006/relationships/hyperlink" Target="https://advance.lexis.com/api/document?collection=cases&amp;id=urn:contentItem:3RX4-2W40-003G-207B-00000-00&amp;context=" TargetMode="External"/><Relationship Id="rId352" Type="http://schemas.openxmlformats.org/officeDocument/2006/relationships/hyperlink" Target="https://advance.lexis.com/api/document?collection=cases&amp;id=urn:contentItem:3RX6-F0M0-003G-227M-00000-00&amp;context=" TargetMode="External"/><Relationship Id="rId1287" Type="http://schemas.openxmlformats.org/officeDocument/2006/relationships/hyperlink" Target="https://advance.lexis.com/api/document?collection=cases&amp;id=urn:contentItem:3RX4-93Y0-003G-204H-00000-00&amp;context=" TargetMode="External"/><Relationship Id="rId2033" Type="http://schemas.openxmlformats.org/officeDocument/2006/relationships/footer" Target="footer337.xml"/><Relationship Id="rId2240" Type="http://schemas.openxmlformats.org/officeDocument/2006/relationships/hyperlink" Target="https://advance.lexis.com/api/document?collection=cases&amp;id=urn:contentItem:3S12-23W0-003D-Y06K-00000-00&amp;context=" TargetMode="External"/><Relationship Id="rId212" Type="http://schemas.openxmlformats.org/officeDocument/2006/relationships/hyperlink" Target="https://advance.lexis.com/api/document?collection=cases&amp;id=urn:contentItem:3W9C-DSR0-0039-42MX-00000-00&amp;context=" TargetMode="External"/><Relationship Id="rId657" Type="http://schemas.openxmlformats.org/officeDocument/2006/relationships/footer" Target="footer98.xml"/><Relationship Id="rId864" Type="http://schemas.openxmlformats.org/officeDocument/2006/relationships/hyperlink" Target="https://advance.lexis.com/api/document?collection=cases&amp;id=urn:contentItem:3S12-2TS0-003D-Y374-00000-00&amp;context=" TargetMode="External"/><Relationship Id="rId1494" Type="http://schemas.openxmlformats.org/officeDocument/2006/relationships/hyperlink" Target="https://advance.lexis.com/api/document?collection=cases&amp;id=urn:contentItem:3RX4-CS00-003G-21H2-00000-00&amp;context=" TargetMode="External"/><Relationship Id="rId1799" Type="http://schemas.openxmlformats.org/officeDocument/2006/relationships/hyperlink" Target="https://advance.lexis.com/api/document?collection=jury-instructions&amp;id=urn:contentItem:5T0Y-CDN0-01KN-B05G-00000-00&amp;context=" TargetMode="External"/><Relationship Id="rId2100" Type="http://schemas.openxmlformats.org/officeDocument/2006/relationships/hyperlink" Target="https://advance.lexis.com/api/document?collection=cases&amp;id=urn:contentItem:3RX4-92N0-003G-201S-00000-00&amp;context=" TargetMode="External"/><Relationship Id="rId2338" Type="http://schemas.openxmlformats.org/officeDocument/2006/relationships/hyperlink" Target="https://advance.lexis.com/api/document?collection=cases&amp;id=urn:contentItem:3RX4-4X30-003G-24C7-00000-00&amp;context=" TargetMode="External"/><Relationship Id="rId517" Type="http://schemas.openxmlformats.org/officeDocument/2006/relationships/header" Target="header65.xml"/><Relationship Id="rId724" Type="http://schemas.openxmlformats.org/officeDocument/2006/relationships/hyperlink" Target="https://advance.lexis.com/api/document?collection=cases&amp;id=urn:contentItem:3RX4-B0P0-003G-2287-00000-00&amp;context=" TargetMode="External"/><Relationship Id="rId931" Type="http://schemas.openxmlformats.org/officeDocument/2006/relationships/hyperlink" Target="https://advance.lexis.com/api/document?collection=cases&amp;id=urn:contentItem:3RX4-3970-003G-2126-00000-00&amp;context=" TargetMode="External"/><Relationship Id="rId1147" Type="http://schemas.openxmlformats.org/officeDocument/2006/relationships/hyperlink" Target="https://advance.lexis.com/api/document?collection=cases&amp;id=urn:contentItem:3RX4-C9T0-003G-206V-00000-00&amp;context=" TargetMode="External"/><Relationship Id="rId1354" Type="http://schemas.openxmlformats.org/officeDocument/2006/relationships/footer" Target="footer209.xml"/><Relationship Id="rId1561" Type="http://schemas.openxmlformats.org/officeDocument/2006/relationships/hyperlink" Target="https://advance.lexis.com/api/document?collection=cases&amp;id=urn:contentItem:3RX4-3S30-003G-220M-00000-00&amp;context=" TargetMode="External"/><Relationship Id="rId2405" Type="http://schemas.openxmlformats.org/officeDocument/2006/relationships/footer" Target="footer408.xml"/><Relationship Id="rId60" Type="http://schemas.openxmlformats.org/officeDocument/2006/relationships/footer" Target="footer11.xml"/><Relationship Id="rId1007" Type="http://schemas.openxmlformats.org/officeDocument/2006/relationships/hyperlink" Target="https://advance.lexis.com/api/document?collection=cases&amp;id=urn:contentItem:3S12-2930-003D-Y0WW-00000-00&amp;context=" TargetMode="External"/><Relationship Id="rId1214" Type="http://schemas.openxmlformats.org/officeDocument/2006/relationships/hyperlink" Target="https://advance.lexis.com/api/document?collection=jury-instructions&amp;id=urn:contentItem:5T0Y-CDN0-01KN-B048-00000-00&amp;context=" TargetMode="External"/><Relationship Id="rId1421" Type="http://schemas.openxmlformats.org/officeDocument/2006/relationships/hyperlink" Target="https://advance.lexis.com/api/document?id=urn:contentItem:5T0Y-CDN0-01KN-B04V-00000-00&amp;idtype=PID&amp;context=1000516" TargetMode="External"/><Relationship Id="rId1659" Type="http://schemas.openxmlformats.org/officeDocument/2006/relationships/hyperlink" Target="https://advance.lexis.com/api/document?collection=cases&amp;id=urn:contentItem:3RX4-B3M0-003G-22HF-00000-00&amp;context=" TargetMode="External"/><Relationship Id="rId1866" Type="http://schemas.openxmlformats.org/officeDocument/2006/relationships/hyperlink" Target="https://advance.lexis.com/api/document?collection=cases&amp;id=urn:contentItem:3S4W-XYY0-001B-K0DX-00000-00&amp;context=" TargetMode="External"/><Relationship Id="rId1519" Type="http://schemas.openxmlformats.org/officeDocument/2006/relationships/footer" Target="footer253.xml"/><Relationship Id="rId1726" Type="http://schemas.openxmlformats.org/officeDocument/2006/relationships/header" Target="header282.xml"/><Relationship Id="rId1933" Type="http://schemas.openxmlformats.org/officeDocument/2006/relationships/header" Target="header324.xml"/><Relationship Id="rId18" Type="http://schemas.openxmlformats.org/officeDocument/2006/relationships/hyperlink" Target="https://advance.lexis.com/api/document?id=urn:contentItem:5T0Y-CDN0-01KN-B01S-00000-00&amp;idtype=PID&amp;context=1000516" TargetMode="External"/><Relationship Id="rId2195" Type="http://schemas.openxmlformats.org/officeDocument/2006/relationships/header" Target="header372.xml"/><Relationship Id="rId167" Type="http://schemas.openxmlformats.org/officeDocument/2006/relationships/hyperlink" Target="https://advance.lexis.com/api/document?collection=cases&amp;id=urn:contentItem:3RX4-9H50-003G-213D-00000-00&amp;context=" TargetMode="External"/><Relationship Id="rId374" Type="http://schemas.openxmlformats.org/officeDocument/2006/relationships/hyperlink" Target="https://advance.lexis.com/api/document?collection=cases&amp;id=urn:contentItem:3S3H-PV00-0039-435T-00000-00&amp;context=" TargetMode="External"/><Relationship Id="rId581" Type="http://schemas.openxmlformats.org/officeDocument/2006/relationships/header" Target="header79.xml"/><Relationship Id="rId2055" Type="http://schemas.openxmlformats.org/officeDocument/2006/relationships/footer" Target="footer347.xml"/><Relationship Id="rId2262" Type="http://schemas.openxmlformats.org/officeDocument/2006/relationships/header" Target="header381.xml"/><Relationship Id="rId234" Type="http://schemas.openxmlformats.org/officeDocument/2006/relationships/hyperlink" Target="https://advance.lexis.com/api/document?collection=cases&amp;id=urn:contentItem:3RX4-5KC0-003G-20XP-00000-00&amp;context=" TargetMode="External"/><Relationship Id="rId679" Type="http://schemas.openxmlformats.org/officeDocument/2006/relationships/hyperlink" Target="https://advance.lexis.com/api/document?id=urn:contentItem:5T0Y-CDN0-01KN-B03H-00000-00&amp;idtype=PID&amp;context=1000516" TargetMode="External"/><Relationship Id="rId886" Type="http://schemas.openxmlformats.org/officeDocument/2006/relationships/hyperlink" Target="https://advance.lexis.com/api/document?collection=cases&amp;id=urn:contentItem:59N5-7TX1-F04G-S0DJ-00000-00&amp;context=" TargetMode="External"/><Relationship Id="rId2" Type="http://schemas.openxmlformats.org/officeDocument/2006/relationships/settings" Target="settings.xml"/><Relationship Id="rId441" Type="http://schemas.openxmlformats.org/officeDocument/2006/relationships/hyperlink" Target="https://advance.lexis.com/api/document?collection=cases&amp;id=urn:contentItem:3RX4-3RX0-003G-2208-00000-00&amp;context=" TargetMode="External"/><Relationship Id="rId539" Type="http://schemas.openxmlformats.org/officeDocument/2006/relationships/hyperlink" Target="https://advance.lexis.com/api/document?id=urn:contentItem:5T0Y-CDN0-01KN-B03B-00000-00&amp;idtype=PID&amp;context=1000516" TargetMode="External"/><Relationship Id="rId746" Type="http://schemas.openxmlformats.org/officeDocument/2006/relationships/hyperlink" Target="https://advance.lexis.com/api/document?collection=cases&amp;id=urn:contentItem:3S12-2HY0-003D-Y1WW-00000-00&amp;context=" TargetMode="External"/><Relationship Id="rId1071" Type="http://schemas.openxmlformats.org/officeDocument/2006/relationships/hyperlink" Target="https://advance.lexis.com/api/document?collection=cases&amp;id=urn:contentItem:3RX4-BWN0-003G-24FT-00000-00&amp;context=" TargetMode="External"/><Relationship Id="rId1169" Type="http://schemas.openxmlformats.org/officeDocument/2006/relationships/footer" Target="footer177.xml"/><Relationship Id="rId1376" Type="http://schemas.openxmlformats.org/officeDocument/2006/relationships/header" Target="header219.xml"/><Relationship Id="rId1583" Type="http://schemas.openxmlformats.org/officeDocument/2006/relationships/hyperlink" Target="https://advance.lexis.com/api/document?collection=cases&amp;id=urn:contentItem:3RX4-CMH0-003G-213K-00000-00&amp;context=" TargetMode="External"/><Relationship Id="rId2122" Type="http://schemas.openxmlformats.org/officeDocument/2006/relationships/footer" Target="footer362.xml"/><Relationship Id="rId2427" Type="http://schemas.openxmlformats.org/officeDocument/2006/relationships/header" Target="header410.xml"/><Relationship Id="rId301" Type="http://schemas.openxmlformats.org/officeDocument/2006/relationships/hyperlink" Target="https://advance.lexis.com/api/document?collection=jury-instructions&amp;id=urn:contentItem:5T0Y-CDN0-01KN-B020-00000-00&amp;context=" TargetMode="External"/><Relationship Id="rId953" Type="http://schemas.openxmlformats.org/officeDocument/2006/relationships/hyperlink" Target="https://advance.lexis.com/api/document?collection=cases&amp;id=urn:contentItem:3RX4-40R0-003G-22FR-00000-00&amp;context=" TargetMode="External"/><Relationship Id="rId1029" Type="http://schemas.openxmlformats.org/officeDocument/2006/relationships/hyperlink" Target="https://advance.lexis.com/api/document?collection=cases&amp;id=urn:contentItem:3RX4-4HH0-003G-23M3-00000-00&amp;context=" TargetMode="External"/><Relationship Id="rId1236" Type="http://schemas.openxmlformats.org/officeDocument/2006/relationships/hyperlink" Target="https://advance.lexis.com/api/document?collection=cases&amp;id=urn:contentItem:3RX4-CVB0-003G-21SC-00000-00&amp;context=" TargetMode="External"/><Relationship Id="rId1790" Type="http://schemas.openxmlformats.org/officeDocument/2006/relationships/header" Target="header291.xml"/><Relationship Id="rId1888" Type="http://schemas.openxmlformats.org/officeDocument/2006/relationships/hyperlink" Target="https://advance.lexis.com/api/document?collection=cases&amp;id=urn:contentItem:3RX4-48B0-003G-232S-00000-00&amp;context=" TargetMode="External"/><Relationship Id="rId82" Type="http://schemas.openxmlformats.org/officeDocument/2006/relationships/header" Target="header19.xml"/><Relationship Id="rId606" Type="http://schemas.openxmlformats.org/officeDocument/2006/relationships/hyperlink" Target="https://advance.lexis.com/api/document?collection=cases&amp;id=urn:contentItem:481M-CSV0-0039-42KV-00000-00&amp;context=" TargetMode="External"/><Relationship Id="rId813" Type="http://schemas.openxmlformats.org/officeDocument/2006/relationships/footer" Target="footer131.xml"/><Relationship Id="rId1443" Type="http://schemas.openxmlformats.org/officeDocument/2006/relationships/footer" Target="footer234.xml"/><Relationship Id="rId1650" Type="http://schemas.openxmlformats.org/officeDocument/2006/relationships/hyperlink" Target="https://advance.lexis.com/api/document?collection=jury-instructions&amp;id=urn:contentItem:5T0Y-CDN0-01KN-B056-00000-00&amp;context=" TargetMode="External"/><Relationship Id="rId1748" Type="http://schemas.openxmlformats.org/officeDocument/2006/relationships/footer" Target="footer288.xml"/><Relationship Id="rId1303" Type="http://schemas.openxmlformats.org/officeDocument/2006/relationships/hyperlink" Target="https://advance.lexis.com/api/document?collection=cases&amp;id=urn:contentItem:3RX4-3VC0-003G-2253-00000-00&amp;context=" TargetMode="External"/><Relationship Id="rId1510" Type="http://schemas.openxmlformats.org/officeDocument/2006/relationships/header" Target="header252.xml"/><Relationship Id="rId1955" Type="http://schemas.openxmlformats.org/officeDocument/2006/relationships/hyperlink" Target="https://advance.lexis.com/api/document?collection=cases&amp;id=urn:contentItem:3RX4-99J0-003G-20KM-00000-00&amp;context=" TargetMode="External"/><Relationship Id="rId1608" Type="http://schemas.openxmlformats.org/officeDocument/2006/relationships/footer" Target="footer264.xml"/><Relationship Id="rId1815" Type="http://schemas.openxmlformats.org/officeDocument/2006/relationships/hyperlink" Target="https://advance.lexis.com/api/document?collection=jury-instructions&amp;id=urn:contentItem:5T0Y-CDN0-01KN-B05H-00000-00&amp;context=" TargetMode="External"/><Relationship Id="rId189" Type="http://schemas.openxmlformats.org/officeDocument/2006/relationships/hyperlink" Target="https://advance.lexis.com/api/document?id=urn:contentItem:5T0Y-CDN0-01KN-B022-00000-00&amp;idtype=PID&amp;context=1000516" TargetMode="External"/><Relationship Id="rId396" Type="http://schemas.openxmlformats.org/officeDocument/2006/relationships/hyperlink" Target="https://advance.lexis.com/api/document?id=urn:contentItem:5T0Y-CDN0-01KN-B02Y-00000-00&amp;idtype=PID&amp;context=1000516" TargetMode="External"/><Relationship Id="rId2077" Type="http://schemas.openxmlformats.org/officeDocument/2006/relationships/header" Target="header354.xml"/><Relationship Id="rId2284" Type="http://schemas.openxmlformats.org/officeDocument/2006/relationships/footer" Target="footer385.xml"/><Relationship Id="rId256" Type="http://schemas.openxmlformats.org/officeDocument/2006/relationships/hyperlink" Target="https://advance.lexis.com/api/document?collection=cases&amp;id=urn:contentItem:3RX4-3NK0-003G-21TM-00000-00&amp;context=" TargetMode="External"/><Relationship Id="rId463" Type="http://schemas.openxmlformats.org/officeDocument/2006/relationships/hyperlink" Target="https://advance.lexis.com/api/document?collection=cases&amp;id=urn:contentItem:3RX4-3CF0-003G-216K-00000-00&amp;context=" TargetMode="External"/><Relationship Id="rId670" Type="http://schemas.openxmlformats.org/officeDocument/2006/relationships/hyperlink" Target="https://advance.lexis.com/api/document?id=urn:contentItem:5T0Y-CDN0-01KN-B03C-00000-00&amp;idtype=PID&amp;context=1000516" TargetMode="External"/><Relationship Id="rId1093" Type="http://schemas.openxmlformats.org/officeDocument/2006/relationships/hyperlink" Target="https://advance.lexis.com/api/document?id=urn:contentItem:5T0Y-CDN0-01KN-B044-00000-00&amp;idtype=PID&amp;context=1000516" TargetMode="External"/><Relationship Id="rId2144" Type="http://schemas.openxmlformats.org/officeDocument/2006/relationships/hyperlink" Target="https://advance.lexis.com/api/document?collection=cases&amp;id=urn:contentItem:3RX4-B9F0-003G-231S-00000-00&amp;context=" TargetMode="External"/><Relationship Id="rId2351" Type="http://schemas.openxmlformats.org/officeDocument/2006/relationships/hyperlink" Target="https://advance.lexis.com/api/document?collection=cases&amp;id=urn:contentItem:3RX4-4YK0-003G-24G7-00000-00&amp;context=" TargetMode="External"/><Relationship Id="rId116" Type="http://schemas.openxmlformats.org/officeDocument/2006/relationships/hyperlink" Target="https://advance.lexis.com/api/document?collection=cases&amp;id=urn:contentItem:3RX4-8VF0-003G-24SC-00000-00&amp;context=" TargetMode="External"/><Relationship Id="rId323" Type="http://schemas.openxmlformats.org/officeDocument/2006/relationships/hyperlink" Target="https://advance.lexis.com/api/document?collection=cases&amp;id=urn:contentItem:3RX4-9VH0-003G-21X6-00000-00&amp;context=" TargetMode="External"/><Relationship Id="rId530" Type="http://schemas.openxmlformats.org/officeDocument/2006/relationships/hyperlink" Target="https://advance.lexis.com/api/document?id=urn:contentItem:5T0Y-CDN0-01KN-B034-00000-00&amp;idtype=PID&amp;context=1000516" TargetMode="External"/><Relationship Id="rId768" Type="http://schemas.openxmlformats.org/officeDocument/2006/relationships/hyperlink" Target="https://advance.lexis.com/api/document?collection=cases&amp;id=urn:contentItem:3RX4-CP60-003G-2198-00000-00&amp;context=" TargetMode="External"/><Relationship Id="rId975" Type="http://schemas.openxmlformats.org/officeDocument/2006/relationships/footer" Target="footer156.xml"/><Relationship Id="rId1160" Type="http://schemas.openxmlformats.org/officeDocument/2006/relationships/hyperlink" Target="https://advance.lexis.com/api/document?collection=cases&amp;id=urn:contentItem:3RX4-4XN0-003G-24D9-00000-00&amp;context=" TargetMode="External"/><Relationship Id="rId1398" Type="http://schemas.openxmlformats.org/officeDocument/2006/relationships/hyperlink" Target="https://advance.lexis.com/api/document?collection=cases&amp;id=urn:contentItem:3RX4-9WB0-003G-2209-00000-00&amp;context=" TargetMode="External"/><Relationship Id="rId2004" Type="http://schemas.openxmlformats.org/officeDocument/2006/relationships/hyperlink" Target="https://advance.lexis.com/api/document?id=urn:contentItem:5T0Y-CDN0-01KN-B070-00000-00&amp;idtype=PID&amp;context=1000516" TargetMode="External"/><Relationship Id="rId2211" Type="http://schemas.openxmlformats.org/officeDocument/2006/relationships/hyperlink" Target="https://advance.lexis.com/api/document?collection=cases&amp;id=urn:contentItem:3RX4-4DM0-003G-23CV-00000-00&amp;context=" TargetMode="External"/><Relationship Id="rId2449" Type="http://schemas.openxmlformats.org/officeDocument/2006/relationships/hyperlink" Target="https://advance.lexis.com/api/document?collection=cases&amp;id=urn:contentItem:3RX4-BR50-003G-242J-00000-00&amp;context=" TargetMode="External"/><Relationship Id="rId628" Type="http://schemas.openxmlformats.org/officeDocument/2006/relationships/footer" Target="footer93.xml"/><Relationship Id="rId835" Type="http://schemas.openxmlformats.org/officeDocument/2006/relationships/hyperlink" Target="https://advance.lexis.com/api/document?id=urn:contentItem:5T0Y-CDN0-01KN-B042-00000-00&amp;idtype=PID&amp;context=1000516" TargetMode="External"/><Relationship Id="rId1258" Type="http://schemas.openxmlformats.org/officeDocument/2006/relationships/hyperlink" Target="https://advance.lexis.com/api/document?collection=cases&amp;id=urn:contentItem:3RX4-3KS0-003G-21NY-00000-00&amp;context=" TargetMode="External"/><Relationship Id="rId1465" Type="http://schemas.openxmlformats.org/officeDocument/2006/relationships/header" Target="header244.xml"/><Relationship Id="rId1672" Type="http://schemas.openxmlformats.org/officeDocument/2006/relationships/hyperlink" Target="https://advance.lexis.com/api/document?collection=cases&amp;id=urn:contentItem:3RX4-C8S0-003G-204N-00000-00&amp;context=" TargetMode="External"/><Relationship Id="rId2309" Type="http://schemas.openxmlformats.org/officeDocument/2006/relationships/hyperlink" Target="https://advance.lexis.com/api/document?collection=cases&amp;id=urn:contentItem:3S12-23W0-003D-Y06K-00000-00&amp;context=" TargetMode="External"/><Relationship Id="rId1020" Type="http://schemas.openxmlformats.org/officeDocument/2006/relationships/hyperlink" Target="https://advance.lexis.com/api/document?collection=cases&amp;id=urn:contentItem:5P69-R0G1-DXPM-S000-00000-00&amp;context=" TargetMode="External"/><Relationship Id="rId1118" Type="http://schemas.openxmlformats.org/officeDocument/2006/relationships/header" Target="header170.xml"/><Relationship Id="rId1325" Type="http://schemas.openxmlformats.org/officeDocument/2006/relationships/hyperlink" Target="https://advance.lexis.com/api/document?id=urn:contentItem:5T0Y-CDN0-01KN-B04S-00000-00&amp;idtype=PID&amp;context=1000516" TargetMode="External"/><Relationship Id="rId1532" Type="http://schemas.openxmlformats.org/officeDocument/2006/relationships/header" Target="header256.xml"/><Relationship Id="rId1977" Type="http://schemas.openxmlformats.org/officeDocument/2006/relationships/hyperlink" Target="https://advance.lexis.com/api/document?collection=cases&amp;id=urn:contentItem:3RX6-DWG0-003G-21XD-00000-00&amp;context=" TargetMode="External"/><Relationship Id="rId902" Type="http://schemas.openxmlformats.org/officeDocument/2006/relationships/hyperlink" Target="https://advance.lexis.com/api/document?collection=cases&amp;id=urn:contentItem:3RX4-3MJ0-003G-21RJ-00000-00&amp;context=" TargetMode="External"/><Relationship Id="rId1837" Type="http://schemas.openxmlformats.org/officeDocument/2006/relationships/hyperlink" Target="https://advance.lexis.com/api/document?id=urn:contentItem:5T0Y-CDN0-01KN-B05R-00000-00&amp;idtype=PID&amp;context=1000516" TargetMode="External"/><Relationship Id="rId31" Type="http://schemas.openxmlformats.org/officeDocument/2006/relationships/header" Target="header3.xml"/><Relationship Id="rId2099" Type="http://schemas.openxmlformats.org/officeDocument/2006/relationships/hyperlink" Target="https://advance.lexis.com/api/document?collection=cases&amp;id=urn:contentItem:3RX4-4TP0-003G-2467-00000-00&amp;context=" TargetMode="External"/><Relationship Id="rId180" Type="http://schemas.openxmlformats.org/officeDocument/2006/relationships/hyperlink" Target="https://advance.lexis.com/api/document?collection=cases&amp;id=urn:contentItem:83HC-1391-652M-702F-00000-00&amp;context=" TargetMode="External"/><Relationship Id="rId278" Type="http://schemas.openxmlformats.org/officeDocument/2006/relationships/hyperlink" Target="https://advance.lexis.com/api/document?collection=cases&amp;id=urn:contentItem:3VXS-NRX0-0039-435D-00000-00&amp;context=" TargetMode="External"/><Relationship Id="rId1904" Type="http://schemas.openxmlformats.org/officeDocument/2006/relationships/footer" Target="footer314.xml"/><Relationship Id="rId485" Type="http://schemas.openxmlformats.org/officeDocument/2006/relationships/hyperlink" Target="https://advance.lexis.com/api/document?collection=jury-instructions&amp;id=urn:contentItem:5T0Y-CDN0-01KN-B02V-00000-00&amp;context=" TargetMode="External"/><Relationship Id="rId692" Type="http://schemas.openxmlformats.org/officeDocument/2006/relationships/footer" Target="footer100.xml"/><Relationship Id="rId2166" Type="http://schemas.openxmlformats.org/officeDocument/2006/relationships/hyperlink" Target="https://advance.lexis.com/api/document?id=urn:contentItem:5T0Y-CDN0-01KN-B077-00000-00&amp;idtype=PID&amp;context=1000516" TargetMode="External"/><Relationship Id="rId2373" Type="http://schemas.openxmlformats.org/officeDocument/2006/relationships/hyperlink" Target="https://advance.lexis.com/api/document?id=urn:contentItem:5T0Y-CDN0-01KN-B07T-00000-00&amp;idtype=PID&amp;context=1000516" TargetMode="External"/><Relationship Id="rId138" Type="http://schemas.openxmlformats.org/officeDocument/2006/relationships/hyperlink" Target="https://advance.lexis.com/api/document?collection=cases&amp;id=urn:contentItem:3RX4-4TD0-003G-245P-00000-00&amp;context=" TargetMode="External"/><Relationship Id="rId345" Type="http://schemas.openxmlformats.org/officeDocument/2006/relationships/hyperlink" Target="https://advance.lexis.com/api/document?collection=cases&amp;id=urn:contentItem:3RX4-CKN0-003G-210N-00000-00&amp;context=" TargetMode="External"/><Relationship Id="rId552" Type="http://schemas.openxmlformats.org/officeDocument/2006/relationships/footer" Target="footer71.xml"/><Relationship Id="rId997" Type="http://schemas.openxmlformats.org/officeDocument/2006/relationships/hyperlink" Target="https://advance.lexis.com/api/document?collection=cases&amp;id=urn:contentItem:3RX4-3SS0-003G-221V-00000-00&amp;context=" TargetMode="External"/><Relationship Id="rId1182" Type="http://schemas.openxmlformats.org/officeDocument/2006/relationships/hyperlink" Target="https://advance.lexis.com/api/document?collection=cases&amp;id=urn:contentItem:44R9-35C0-0039-44K7-00000-00&amp;context=" TargetMode="External"/><Relationship Id="rId2026" Type="http://schemas.openxmlformats.org/officeDocument/2006/relationships/footer" Target="footer334.xml"/><Relationship Id="rId2233" Type="http://schemas.openxmlformats.org/officeDocument/2006/relationships/hyperlink" Target="https://advance.lexis.com/api/document?collection=cases&amp;id=urn:contentItem:3RX4-B4B0-003G-22K8-00000-00&amp;context=" TargetMode="External"/><Relationship Id="rId2440" Type="http://schemas.openxmlformats.org/officeDocument/2006/relationships/footer" Target="footer414.xml"/><Relationship Id="rId205" Type="http://schemas.openxmlformats.org/officeDocument/2006/relationships/hyperlink" Target="https://advance.lexis.com/api/document?collection=cases&amp;id=urn:contentItem:3RX4-8KF0-003G-247X-00000-00&amp;context=" TargetMode="External"/><Relationship Id="rId412" Type="http://schemas.openxmlformats.org/officeDocument/2006/relationships/footer" Target="footer40.xml"/><Relationship Id="rId857" Type="http://schemas.openxmlformats.org/officeDocument/2006/relationships/hyperlink" Target="https://advance.lexis.com/api/document?collection=cases&amp;id=urn:contentItem:3RX4-7WB0-003G-22BC-00000-00&amp;context=" TargetMode="External"/><Relationship Id="rId1042" Type="http://schemas.openxmlformats.org/officeDocument/2006/relationships/hyperlink" Target="https://advance.lexis.com/api/document?collection=cases&amp;id=urn:contentItem:3RX4-3JT0-003G-21KX-00000-00&amp;context=" TargetMode="External"/><Relationship Id="rId1487" Type="http://schemas.openxmlformats.org/officeDocument/2006/relationships/footer" Target="footer249.xml"/><Relationship Id="rId1694" Type="http://schemas.openxmlformats.org/officeDocument/2006/relationships/hyperlink" Target="https://advance.lexis.com/api/document?collection=cases&amp;id=urn:contentItem:3RX4-5MH0-003G-211F-00000-00&amp;context=" TargetMode="External"/><Relationship Id="rId2300" Type="http://schemas.openxmlformats.org/officeDocument/2006/relationships/hyperlink" Target="https://advance.lexis.com/api/document?collection=jury-instructions&amp;id=urn:contentItem:5T0Y-CDN0-01KN-B07F-00000-00&amp;context=" TargetMode="External"/><Relationship Id="rId717" Type="http://schemas.openxmlformats.org/officeDocument/2006/relationships/hyperlink" Target="https://advance.lexis.com/api/document?collection=cases&amp;id=urn:contentItem:3S12-2SS0-003D-Y326-00000-00&amp;context=" TargetMode="External"/><Relationship Id="rId924" Type="http://schemas.openxmlformats.org/officeDocument/2006/relationships/hyperlink" Target="https://advance.lexis.com/api/document?collection=cases&amp;id=urn:contentItem:3S12-2FW0-003D-Y1KJ-00000-00&amp;context=" TargetMode="External"/><Relationship Id="rId1347" Type="http://schemas.openxmlformats.org/officeDocument/2006/relationships/hyperlink" Target="https://advance.lexis.com/api/document?collection=jury-instructions&amp;id=urn:contentItem:5T0Y-CDN0-01KN-B04G-00000-00&amp;context=" TargetMode="External"/><Relationship Id="rId1554" Type="http://schemas.openxmlformats.org/officeDocument/2006/relationships/footer" Target="footer259.xml"/><Relationship Id="rId1761" Type="http://schemas.openxmlformats.org/officeDocument/2006/relationships/hyperlink" Target="https://advance.lexis.com/api/document?collection=cases&amp;id=urn:contentItem:3RX4-C9F0-003G-2068-00000-00&amp;context=" TargetMode="External"/><Relationship Id="rId1999" Type="http://schemas.openxmlformats.org/officeDocument/2006/relationships/hyperlink" Target="https://advance.lexis.com/api/document?id=urn:contentItem:5T0Y-CDN0-01KN-B06W-00000-00&amp;idtype=PID&amp;context=1000516" TargetMode="External"/><Relationship Id="rId53" Type="http://schemas.openxmlformats.org/officeDocument/2006/relationships/footer" Target="footer8.xml"/><Relationship Id="rId1207" Type="http://schemas.openxmlformats.org/officeDocument/2006/relationships/hyperlink" Target="https://advance.lexis.com/api/document?collection=cases&amp;id=urn:contentItem:3RX4-2SB0-003G-2020-00000-00&amp;context=" TargetMode="External"/><Relationship Id="rId1414" Type="http://schemas.openxmlformats.org/officeDocument/2006/relationships/header" Target="header231.xml"/><Relationship Id="rId1621" Type="http://schemas.openxmlformats.org/officeDocument/2006/relationships/hyperlink" Target="https://advance.lexis.com/api/document?id=urn:contentItem:5T0Y-CDN0-01KN-B057-00000-00&amp;idtype=PID&amp;context=1000516" TargetMode="External"/><Relationship Id="rId1859" Type="http://schemas.openxmlformats.org/officeDocument/2006/relationships/hyperlink" Target="https://advance.lexis.com/api/document?collection=jury-instructions&amp;id=urn:contentItem:5T0Y-CDN0-01KN-B05J-00000-00&amp;context=" TargetMode="External"/><Relationship Id="rId1719" Type="http://schemas.openxmlformats.org/officeDocument/2006/relationships/hyperlink" Target="https://advance.lexis.com/api/document?collection=cases&amp;id=urn:contentItem:3S4N-WB30-0039-S448-00000-00&amp;context=" TargetMode="External"/><Relationship Id="rId1926" Type="http://schemas.openxmlformats.org/officeDocument/2006/relationships/hyperlink" Target="https://advance.lexis.com/api/document?collection=cases&amp;id=urn:contentItem:4PNN-39S0-TX4N-G0WJ-00000-00&amp;context=" TargetMode="External"/><Relationship Id="rId2090" Type="http://schemas.openxmlformats.org/officeDocument/2006/relationships/hyperlink" Target="https://advance.lexis.com/api/document?collection=cases&amp;id=urn:contentItem:48XS-PXV0-004C-100T-00000-00&amp;context=" TargetMode="External"/><Relationship Id="rId2188" Type="http://schemas.openxmlformats.org/officeDocument/2006/relationships/footer" Target="footer368.xml"/><Relationship Id="rId2395" Type="http://schemas.openxmlformats.org/officeDocument/2006/relationships/hyperlink" Target="https://advance.lexis.com/api/document?collection=cases&amp;id=urn:contentItem:3RX4-CW90-003G-21VS-00000-00&amp;context=" TargetMode="External"/><Relationship Id="rId367" Type="http://schemas.openxmlformats.org/officeDocument/2006/relationships/hyperlink" Target="https://advance.lexis.com/api/document?collection=cases&amp;id=urn:contentItem:3VXS-NRX0-0039-435D-00000-00&amp;context=" TargetMode="External"/><Relationship Id="rId574" Type="http://schemas.openxmlformats.org/officeDocument/2006/relationships/footer" Target="footer78.xml"/><Relationship Id="rId2048" Type="http://schemas.openxmlformats.org/officeDocument/2006/relationships/footer" Target="footer344.xml"/><Relationship Id="rId2255" Type="http://schemas.openxmlformats.org/officeDocument/2006/relationships/hyperlink" Target="https://advance.lexis.com/api/document?collection=cases&amp;id=urn:contentItem:59PP-6911-F04G-T01R-00000-00&amp;context=" TargetMode="External"/><Relationship Id="rId227" Type="http://schemas.openxmlformats.org/officeDocument/2006/relationships/hyperlink" Target="https://advance.lexis.com/api/document?collection=cases&amp;id=urn:contentItem:3RX4-3Y80-003G-22BT-00000-00&amp;context=" TargetMode="External"/><Relationship Id="rId781" Type="http://schemas.openxmlformats.org/officeDocument/2006/relationships/footer" Target="footer120.xml"/><Relationship Id="rId879" Type="http://schemas.openxmlformats.org/officeDocument/2006/relationships/hyperlink" Target="https://advance.lexis.com/api/document?collection=jury-instructions&amp;id=urn:contentItem:5T0Y-CDN0-01KN-B03T-00000-00&amp;context=" TargetMode="External"/><Relationship Id="rId2462" Type="http://schemas.openxmlformats.org/officeDocument/2006/relationships/hyperlink" Target="https://advance.lexis.com/api/document?collection=cases&amp;id=urn:contentItem:54J2-WX51-F04G-S03F-00000-00&amp;context=" TargetMode="External"/><Relationship Id="rId434" Type="http://schemas.openxmlformats.org/officeDocument/2006/relationships/header" Target="header50.xml"/><Relationship Id="rId641" Type="http://schemas.openxmlformats.org/officeDocument/2006/relationships/hyperlink" Target="https://advance.lexis.com/api/document?collection=cases&amp;id=urn:contentItem:3RX4-BJD0-003G-23MY-00000-00&amp;context=" TargetMode="External"/><Relationship Id="rId739" Type="http://schemas.openxmlformats.org/officeDocument/2006/relationships/hyperlink" Target="https://advance.lexis.com/api/document?collection=cases&amp;id=urn:contentItem:3RX4-BX10-003G-24GN-00000-00&amp;context=" TargetMode="External"/><Relationship Id="rId1064" Type="http://schemas.openxmlformats.org/officeDocument/2006/relationships/hyperlink" Target="https://advance.lexis.com/api/document?collection=cases&amp;id=urn:contentItem:3RX4-5G70-003G-20M4-00000-00&amp;context=" TargetMode="External"/><Relationship Id="rId1271" Type="http://schemas.openxmlformats.org/officeDocument/2006/relationships/hyperlink" Target="https://advance.lexis.com/api/document?collection=jury-instructions&amp;id=urn:contentItem:5T0Y-CDN0-01KN-B04C-00000-00&amp;context=" TargetMode="External"/><Relationship Id="rId1369" Type="http://schemas.openxmlformats.org/officeDocument/2006/relationships/header" Target="header216.xml"/><Relationship Id="rId1576" Type="http://schemas.openxmlformats.org/officeDocument/2006/relationships/hyperlink" Target="https://advance.lexis.com/api/document?collection=cases&amp;id=urn:contentItem:4B7G-2320-004C-001H-00000-00&amp;context=" TargetMode="External"/><Relationship Id="rId2115" Type="http://schemas.openxmlformats.org/officeDocument/2006/relationships/footer" Target="footer360.xml"/><Relationship Id="rId2322" Type="http://schemas.openxmlformats.org/officeDocument/2006/relationships/footer" Target="footer395.xml"/><Relationship Id="rId501" Type="http://schemas.openxmlformats.org/officeDocument/2006/relationships/header" Target="header60.xml"/><Relationship Id="rId946" Type="http://schemas.openxmlformats.org/officeDocument/2006/relationships/header" Target="header152.xml"/><Relationship Id="rId1131" Type="http://schemas.openxmlformats.org/officeDocument/2006/relationships/hyperlink" Target="https://advance.lexis.com/api/document?collection=cases&amp;id=urn:contentItem:3RX4-C1M0-003G-24T5-00000-00&amp;context=" TargetMode="External"/><Relationship Id="rId1229" Type="http://schemas.openxmlformats.org/officeDocument/2006/relationships/hyperlink" Target="https://advance.lexis.com/api/document?collection=cases&amp;id=urn:contentItem:3WWV-YV30-0039-43FP-00000-00&amp;context=" TargetMode="External"/><Relationship Id="rId1783" Type="http://schemas.openxmlformats.org/officeDocument/2006/relationships/hyperlink" Target="https://advance.lexis.com/api/document?collection=cases&amp;id=urn:contentItem:3RX4-CMS0-003G-214B-00000-00&amp;context=" TargetMode="External"/><Relationship Id="rId1990" Type="http://schemas.openxmlformats.org/officeDocument/2006/relationships/hyperlink" Target="https://advance.lexis.com/api/document?collection=cases&amp;id=urn:contentItem:3RX4-BFN0-003G-23D4-00000-00&amp;context=" TargetMode="External"/><Relationship Id="rId75" Type="http://schemas.openxmlformats.org/officeDocument/2006/relationships/footer" Target="footer16.xml"/><Relationship Id="rId806" Type="http://schemas.openxmlformats.org/officeDocument/2006/relationships/footer" Target="footer128.xml"/><Relationship Id="rId1436" Type="http://schemas.openxmlformats.org/officeDocument/2006/relationships/hyperlink" Target="https://advance.lexis.com/api/document?id=urn:contentItem:5T0Y-CDN0-01KN-B054-00000-00&amp;idtype=PID&amp;context=1000516" TargetMode="External"/><Relationship Id="rId1643" Type="http://schemas.openxmlformats.org/officeDocument/2006/relationships/footer" Target="footer267.xml"/><Relationship Id="rId1850" Type="http://schemas.openxmlformats.org/officeDocument/2006/relationships/footer" Target="footer299.xml"/><Relationship Id="rId1503" Type="http://schemas.openxmlformats.org/officeDocument/2006/relationships/hyperlink" Target="https://advance.lexis.com/api/document?collection=cases&amp;id=urn:contentItem:3RX4-C600-003G-2554-00000-00&amp;context=" TargetMode="External"/><Relationship Id="rId1710" Type="http://schemas.openxmlformats.org/officeDocument/2006/relationships/hyperlink" Target="https://advance.lexis.com/api/document?collection=cases&amp;id=urn:contentItem:44M4-7V10-0039-40VP-00000-00&amp;context=" TargetMode="External"/><Relationship Id="rId1948" Type="http://schemas.openxmlformats.org/officeDocument/2006/relationships/hyperlink" Target="https://advance.lexis.com/api/document?collection=cases&amp;id=urn:contentItem:3RX4-BC80-003G-2368-00000-00&amp;context=" TargetMode="External"/><Relationship Id="rId291" Type="http://schemas.openxmlformats.org/officeDocument/2006/relationships/hyperlink" Target="https://advance.lexis.com/api/document?id=urn:contentItem:5T0Y-CDN0-01KN-B024-00000-00&amp;idtype=PID&amp;context=1000516" TargetMode="External"/><Relationship Id="rId1808" Type="http://schemas.openxmlformats.org/officeDocument/2006/relationships/hyperlink" Target="https://advance.lexis.com/api/document?collection=cases&amp;id=urn:contentItem:3RX4-9J50-003G-215T-00000-00&amp;context=" TargetMode="External"/><Relationship Id="rId151" Type="http://schemas.openxmlformats.org/officeDocument/2006/relationships/hyperlink" Target="https://advance.lexis.com/api/document?collection=cases&amp;id=urn:contentItem:3RX4-8PR0-003G-24FS-00000-00&amp;context=" TargetMode="External"/><Relationship Id="rId389" Type="http://schemas.openxmlformats.org/officeDocument/2006/relationships/hyperlink" Target="https://advance.lexis.com/api/document?id=urn:contentItem:5T0Y-CDN0-01KN-B02W-00000-00&amp;idtype=PID&amp;context=1000516" TargetMode="External"/><Relationship Id="rId596" Type="http://schemas.openxmlformats.org/officeDocument/2006/relationships/hyperlink" Target="https://advance.lexis.com/api/document?collection=cases&amp;id=urn:contentItem:4M81-8S50-0039-43MJ-00000-00&amp;context=" TargetMode="External"/><Relationship Id="rId2277" Type="http://schemas.openxmlformats.org/officeDocument/2006/relationships/footer" Target="footer382.xml"/><Relationship Id="rId2484" Type="http://schemas.openxmlformats.org/officeDocument/2006/relationships/theme" Target="theme/theme1.xml"/><Relationship Id="rId249" Type="http://schemas.openxmlformats.org/officeDocument/2006/relationships/hyperlink" Target="https://advance.lexis.com/api/document?collection=cases&amp;id=urn:contentItem:3RX4-89R0-003G-23KH-00000-00&amp;context=" TargetMode="External"/><Relationship Id="rId456" Type="http://schemas.openxmlformats.org/officeDocument/2006/relationships/hyperlink" Target="https://advance.lexis.com/api/document?collection=cases&amp;id=urn:contentItem:3RX4-8JF0-003G-245R-00000-00&amp;context=" TargetMode="External"/><Relationship Id="rId663" Type="http://schemas.openxmlformats.org/officeDocument/2006/relationships/hyperlink" Target="https://advance.lexis.com/api/document?collection=cases&amp;id=urn:contentItem:3S12-2WS0-003D-Y3HF-00000-00&amp;context=" TargetMode="External"/><Relationship Id="rId870" Type="http://schemas.openxmlformats.org/officeDocument/2006/relationships/hyperlink" Target="https://advance.lexis.com/api/document?collection=cases&amp;id=urn:contentItem:4KHB-2250-0039-40X1-00000-00&amp;context=" TargetMode="External"/><Relationship Id="rId1086" Type="http://schemas.openxmlformats.org/officeDocument/2006/relationships/hyperlink" Target="https://advance.lexis.com/api/document?collection=jury-instructions&amp;id=urn:contentItem:5T0Y-CDN0-01KN-B042-00000-00&amp;context=" TargetMode="External"/><Relationship Id="rId1293" Type="http://schemas.openxmlformats.org/officeDocument/2006/relationships/footer" Target="footer198.xml"/><Relationship Id="rId2137" Type="http://schemas.openxmlformats.org/officeDocument/2006/relationships/hyperlink" Target="https://advance.lexis.com/api/document?collection=cases&amp;id=urn:contentItem:56BK-3H21-F04G-S0JT-00000-00&amp;context=" TargetMode="External"/><Relationship Id="rId2344" Type="http://schemas.openxmlformats.org/officeDocument/2006/relationships/hyperlink" Target="https://advance.lexis.com/api/document?collection=cases&amp;id=urn:contentItem:3RX4-3G80-003G-21DF-00000-00&amp;context=" TargetMode="External"/><Relationship Id="rId109" Type="http://schemas.openxmlformats.org/officeDocument/2006/relationships/hyperlink" Target="https://advance.lexis.com/api/document?collection=cases&amp;id=urn:contentItem:3RX4-3DS0-003G-2197-00000-00&amp;context=" TargetMode="External"/><Relationship Id="rId316" Type="http://schemas.openxmlformats.org/officeDocument/2006/relationships/hyperlink" Target="https://advance.lexis.com/api/document?collection=cases&amp;id=urn:contentItem:3RX4-4PX0-003G-2411-00000-00&amp;context=" TargetMode="External"/><Relationship Id="rId523" Type="http://schemas.openxmlformats.org/officeDocument/2006/relationships/hyperlink" Target="https://advance.lexis.com/api/document?id=urn:contentItem:5T0Y-CDN0-01KN-B031-00000-00&amp;idtype=PID&amp;context=1000516" TargetMode="External"/><Relationship Id="rId968" Type="http://schemas.openxmlformats.org/officeDocument/2006/relationships/hyperlink" Target="https://advance.lexis.com/api/document?collection=cases&amp;id=urn:contentItem:3RX4-93V0-003G-204B-00000-00&amp;context=" TargetMode="External"/><Relationship Id="rId1153" Type="http://schemas.openxmlformats.org/officeDocument/2006/relationships/hyperlink" Target="https://advance.lexis.com/api/document?collection=cases&amp;id=urn:contentItem:3RX4-4JW0-003G-23R2-00000-00&amp;context=" TargetMode="External"/><Relationship Id="rId1598" Type="http://schemas.openxmlformats.org/officeDocument/2006/relationships/hyperlink" Target="https://advance.lexis.com/api/document?collection=cases&amp;id=urn:contentItem:3RX4-9DH0-003G-20W0-00000-00&amp;context=" TargetMode="External"/><Relationship Id="rId2204" Type="http://schemas.openxmlformats.org/officeDocument/2006/relationships/footer" Target="footer374.xml"/><Relationship Id="rId97" Type="http://schemas.openxmlformats.org/officeDocument/2006/relationships/hyperlink" Target="https://advance.lexis.com/api/document?collection=cases&amp;id=urn:contentItem:7YMC-C581-2RHN-Y00P-00000-00&amp;context=" TargetMode="External"/><Relationship Id="rId730" Type="http://schemas.openxmlformats.org/officeDocument/2006/relationships/footer" Target="footer111.xml"/><Relationship Id="rId828" Type="http://schemas.openxmlformats.org/officeDocument/2006/relationships/hyperlink" Target="https://advance.lexis.com/api/document?id=urn:contentItem:5T0Y-CDN0-01KN-B03X-00000-00&amp;idtype=PID&amp;context=1000516" TargetMode="External"/><Relationship Id="rId1013" Type="http://schemas.openxmlformats.org/officeDocument/2006/relationships/hyperlink" Target="https://advance.lexis.com/api/document?collection=cases&amp;id=urn:contentItem:3S1W-MT40-003V-P1J2-00000-00&amp;context=" TargetMode="External"/><Relationship Id="rId1360" Type="http://schemas.openxmlformats.org/officeDocument/2006/relationships/footer" Target="footer211.xml"/><Relationship Id="rId1458" Type="http://schemas.openxmlformats.org/officeDocument/2006/relationships/header" Target="header241.xml"/><Relationship Id="rId1665" Type="http://schemas.openxmlformats.org/officeDocument/2006/relationships/hyperlink" Target="https://advance.lexis.com/api/document?collection=cases&amp;id=urn:contentItem:3RX4-CBV0-003G-2096-00000-00&amp;context=" TargetMode="External"/><Relationship Id="rId1872" Type="http://schemas.openxmlformats.org/officeDocument/2006/relationships/header" Target="header304.xml"/><Relationship Id="rId2411" Type="http://schemas.openxmlformats.org/officeDocument/2006/relationships/hyperlink" Target="https://advance.lexis.com/api/document?collection=cases&amp;id=urn:contentItem:3RX4-9TV0-003G-21VF-00000-00&amp;context=" TargetMode="External"/><Relationship Id="rId1220" Type="http://schemas.openxmlformats.org/officeDocument/2006/relationships/hyperlink" Target="https://advance.lexis.com/api/document?collection=cases&amp;id=urn:contentItem:3S4X-GT20-003B-S3T5-00000-00&amp;context=" TargetMode="External"/><Relationship Id="rId1318" Type="http://schemas.openxmlformats.org/officeDocument/2006/relationships/hyperlink" Target="https://advance.lexis.com/api/document?id=urn:contentItem:5T0Y-CDN0-01KN-B04M-00000-00&amp;idtype=PID&amp;context=1000516" TargetMode="External"/><Relationship Id="rId1525" Type="http://schemas.openxmlformats.org/officeDocument/2006/relationships/hyperlink" Target="https://advance.lexis.com/api/document?collection=cases&amp;id=urn:contentItem:3RX4-3C20-003G-215V-00000-00&amp;context=" TargetMode="External"/><Relationship Id="rId1732" Type="http://schemas.openxmlformats.org/officeDocument/2006/relationships/footer" Target="footer284.xml"/><Relationship Id="rId24" Type="http://schemas.openxmlformats.org/officeDocument/2006/relationships/hyperlink" Target="https://advance.lexis.com/api/document?id=urn:contentItem:5T0Y-CDN0-01KN-B01X-00000-00&amp;idtype=PID&amp;context=1000516" TargetMode="External"/><Relationship Id="rId2299" Type="http://schemas.openxmlformats.org/officeDocument/2006/relationships/footer" Target="footer390.xml"/><Relationship Id="rId173" Type="http://schemas.openxmlformats.org/officeDocument/2006/relationships/header" Target="header32.xml"/><Relationship Id="rId380" Type="http://schemas.openxmlformats.org/officeDocument/2006/relationships/hyperlink" Target="https://advance.lexis.com/api/document?id=urn:contentItem:5T0Y-CDN0-01KN-B02P-00000-00&amp;idtype=PID&amp;context=1000516" TargetMode="External"/><Relationship Id="rId2061" Type="http://schemas.openxmlformats.org/officeDocument/2006/relationships/footer" Target="footer349.xml"/><Relationship Id="rId240" Type="http://schemas.openxmlformats.org/officeDocument/2006/relationships/hyperlink" Target="https://advance.lexis.com/api/document?collection=cases&amp;id=urn:contentItem:3RX4-CN10-003G-2157-00000-00&amp;context=" TargetMode="External"/><Relationship Id="rId478" Type="http://schemas.openxmlformats.org/officeDocument/2006/relationships/hyperlink" Target="https://advance.lexis.com/api/document?collection=cases&amp;id=urn:contentItem:3RX4-99T0-003G-20M8-00000-00&amp;context=" TargetMode="External"/><Relationship Id="rId685" Type="http://schemas.openxmlformats.org/officeDocument/2006/relationships/hyperlink" Target="https://advance.lexis.com/api/document?id=urn:contentItem:5T0Y-CDN0-01KN-B03M-00000-00&amp;idtype=PID&amp;context=1000516" TargetMode="External"/><Relationship Id="rId892" Type="http://schemas.openxmlformats.org/officeDocument/2006/relationships/footer" Target="footer147.xml"/><Relationship Id="rId2159" Type="http://schemas.openxmlformats.org/officeDocument/2006/relationships/hyperlink" Target="https://advance.lexis.com/api/document?collection=jury-instructions&amp;id=urn:contentItem:5T0Y-CDN0-01KN-B076-00000-00&amp;context=" TargetMode="External"/><Relationship Id="rId2366" Type="http://schemas.openxmlformats.org/officeDocument/2006/relationships/hyperlink" Target="https://advance.lexis.com/api/document?id=urn:contentItem:5T0Y-CDN0-01KN-B07N-00000-00&amp;idtype=PID&amp;context=1000516" TargetMode="External"/><Relationship Id="rId100" Type="http://schemas.openxmlformats.org/officeDocument/2006/relationships/hyperlink" Target="https://advance.lexis.com/api/document?collection=cases&amp;id=urn:contentItem:3RX4-44P0-003G-22RT-00000-00&amp;context=" TargetMode="External"/><Relationship Id="rId338" Type="http://schemas.openxmlformats.org/officeDocument/2006/relationships/hyperlink" Target="https://advance.lexis.com/api/document?collection=cases&amp;id=urn:contentItem:3RX4-B4S0-003G-22MC-00000-00&amp;context=" TargetMode="External"/><Relationship Id="rId545" Type="http://schemas.openxmlformats.org/officeDocument/2006/relationships/footer" Target="footer67.xml"/><Relationship Id="rId752" Type="http://schemas.openxmlformats.org/officeDocument/2006/relationships/hyperlink" Target="https://advance.lexis.com/api/document?collection=cases&amp;id=urn:contentItem:3S12-2PD0-003D-Y2NN-00000-00&amp;context=" TargetMode="External"/><Relationship Id="rId1175" Type="http://schemas.openxmlformats.org/officeDocument/2006/relationships/header" Target="header179.xml"/><Relationship Id="rId1382" Type="http://schemas.openxmlformats.org/officeDocument/2006/relationships/footer" Target="footer221.xml"/><Relationship Id="rId2019" Type="http://schemas.openxmlformats.org/officeDocument/2006/relationships/header" Target="header332.xml"/><Relationship Id="rId2226" Type="http://schemas.openxmlformats.org/officeDocument/2006/relationships/hyperlink" Target="https://advance.lexis.com/api/document?collection=cases&amp;id=urn:contentItem:3RX4-3TD0-003G-2235-00000-00&amp;context=" TargetMode="External"/><Relationship Id="rId2433" Type="http://schemas.openxmlformats.org/officeDocument/2006/relationships/hyperlink" Target="https://advance.lexis.com/api/document?collection=cases&amp;id=urn:contentItem:3S4X-8430-003B-S1D5-00000-00&amp;context=" TargetMode="External"/><Relationship Id="rId405" Type="http://schemas.openxmlformats.org/officeDocument/2006/relationships/footer" Target="footer37.xml"/><Relationship Id="rId612" Type="http://schemas.openxmlformats.org/officeDocument/2006/relationships/footer" Target="footer87.xml"/><Relationship Id="rId1035" Type="http://schemas.openxmlformats.org/officeDocument/2006/relationships/header" Target="header161.xml"/><Relationship Id="rId1242" Type="http://schemas.openxmlformats.org/officeDocument/2006/relationships/header" Target="header189.xml"/><Relationship Id="rId1687" Type="http://schemas.openxmlformats.org/officeDocument/2006/relationships/hyperlink" Target="https://advance.lexis.com/api/document?collection=jury-instructions&amp;id=urn:contentItem:5T0Y-CDN0-01KN-B057-00000-00&amp;context=" TargetMode="External"/><Relationship Id="rId1894" Type="http://schemas.openxmlformats.org/officeDocument/2006/relationships/header" Target="header312.xml"/><Relationship Id="rId917" Type="http://schemas.openxmlformats.org/officeDocument/2006/relationships/hyperlink" Target="https://advance.lexis.com/api/document?collection=cases&amp;id=urn:contentItem:3RX4-4CD0-003G-2391-00000-00&amp;context=" TargetMode="External"/><Relationship Id="rId1102" Type="http://schemas.openxmlformats.org/officeDocument/2006/relationships/hyperlink" Target="https://advance.lexis.com/api/document?id=urn:contentItem:5T0Y-CDN0-01KN-B048-00000-00&amp;idtype=PID&amp;context=1000516" TargetMode="External"/><Relationship Id="rId1547" Type="http://schemas.openxmlformats.org/officeDocument/2006/relationships/hyperlink" Target="https://advance.lexis.com/api/document?collection=cases&amp;id=urn:contentItem:3RX4-C5N0-003G-254B-00000-00&amp;context=" TargetMode="External"/><Relationship Id="rId1754" Type="http://schemas.openxmlformats.org/officeDocument/2006/relationships/hyperlink" Target="https://advance.lexis.com/api/document?collection=cases&amp;id=urn:contentItem:3RX4-CD20-003G-20DK-00000-00&amp;context=" TargetMode="External"/><Relationship Id="rId1961" Type="http://schemas.openxmlformats.org/officeDocument/2006/relationships/hyperlink" Target="https://advance.lexis.com/api/document?collection=cases&amp;id=urn:contentItem:3RX4-3TD0-003G-2235-00000-00&amp;context=" TargetMode="External"/><Relationship Id="rId46" Type="http://schemas.openxmlformats.org/officeDocument/2006/relationships/hyperlink" Target="https://advance.lexis.com/api/document?collection=cases&amp;id=urn:contentItem:3RX4-CP00-003G-218M-00000-00&amp;context=" TargetMode="External"/><Relationship Id="rId1407" Type="http://schemas.openxmlformats.org/officeDocument/2006/relationships/hyperlink" Target="https://advance.lexis.com/api/document?collection=cases&amp;id=urn:contentItem:4XC5-P3N0-TXFT-C23K-00000-00&amp;context=" TargetMode="External"/><Relationship Id="rId1614" Type="http://schemas.openxmlformats.org/officeDocument/2006/relationships/hyperlink" Target="https://advance.lexis.com/api/document?collection=cases&amp;id=urn:contentItem:3RRM-Y430-003C-N09D-00000-00&amp;context=" TargetMode="External"/><Relationship Id="rId1821" Type="http://schemas.openxmlformats.org/officeDocument/2006/relationships/hyperlink" Target="https://advance.lexis.com/api/document?collection=cases&amp;id=urn:contentItem:558H-0051-F04G-S094-00000-00&amp;context=" TargetMode="External"/><Relationship Id="rId195" Type="http://schemas.openxmlformats.org/officeDocument/2006/relationships/hyperlink" Target="https://advance.lexis.com/api/document?id=urn:contentItem:5T0Y-CDN0-01KN-B025-00000-00&amp;idtype=PID&amp;context=1000516" TargetMode="External"/><Relationship Id="rId1919" Type="http://schemas.openxmlformats.org/officeDocument/2006/relationships/header" Target="header321.xml"/><Relationship Id="rId2083" Type="http://schemas.openxmlformats.org/officeDocument/2006/relationships/hyperlink" Target="https://advance.lexis.com/api/document?collection=cases&amp;id=urn:contentItem:3S12-2XT0-003D-Y3NT-00000-00&amp;context=" TargetMode="External"/><Relationship Id="rId2290" Type="http://schemas.openxmlformats.org/officeDocument/2006/relationships/hyperlink" Target="https://advance.lexis.com/api/document?collection=cases&amp;id=urn:contentItem:3RX4-CJG0-003G-20W0-00000-00&amp;context=" TargetMode="External"/><Relationship Id="rId2388" Type="http://schemas.openxmlformats.org/officeDocument/2006/relationships/hyperlink" Target="https://advance.lexis.com/api/document?collection=cases&amp;id=urn:contentItem:3S12-3420-003D-Y4DJ-00000-00&amp;context=" TargetMode="External"/><Relationship Id="rId262" Type="http://schemas.openxmlformats.org/officeDocument/2006/relationships/hyperlink" Target="https://advance.lexis.com/api/document?collection=cases&amp;id=urn:contentItem:3RX4-8980-003G-23J4-00000-00&amp;context=" TargetMode="External"/><Relationship Id="rId567" Type="http://schemas.openxmlformats.org/officeDocument/2006/relationships/hyperlink" Target="https://advance.lexis.com/api/document?collection=cases&amp;id=urn:contentItem:4RS4-CGH0-TX4N-G1FN-00000-00&amp;context=" TargetMode="External"/><Relationship Id="rId1197" Type="http://schemas.openxmlformats.org/officeDocument/2006/relationships/hyperlink" Target="https://advance.lexis.com/api/document?collection=cases&amp;id=urn:contentItem:3RX4-3YN0-003G-22CM-00000-00&amp;context=" TargetMode="External"/><Relationship Id="rId2150" Type="http://schemas.openxmlformats.org/officeDocument/2006/relationships/hyperlink" Target="https://advance.lexis.com/api/document?collection=cases&amp;id=urn:contentItem:3RX4-49D0-003G-2353-00000-00&amp;context=" TargetMode="External"/><Relationship Id="rId2248" Type="http://schemas.openxmlformats.org/officeDocument/2006/relationships/hyperlink" Target="https://advance.lexis.com/api/document?collection=jury-instructions&amp;id=urn:contentItem:5T0Y-CDN0-01KN-B079-00000-00&amp;context=" TargetMode="External"/><Relationship Id="rId122" Type="http://schemas.openxmlformats.org/officeDocument/2006/relationships/header" Target="header24.xml"/><Relationship Id="rId774" Type="http://schemas.openxmlformats.org/officeDocument/2006/relationships/footer" Target="footer117.xml"/><Relationship Id="rId981" Type="http://schemas.openxmlformats.org/officeDocument/2006/relationships/hyperlink" Target="https://advance.lexis.com/api/document?collection=cases&amp;id=urn:contentItem:3RX4-CP70-003G-219B-00000-00&amp;context=" TargetMode="External"/><Relationship Id="rId1057" Type="http://schemas.openxmlformats.org/officeDocument/2006/relationships/hyperlink" Target="https://advance.lexis.com/api/document?collection=cases&amp;id=urn:contentItem:3RX4-C1H0-003G-24T0-00000-00&amp;context=" TargetMode="External"/><Relationship Id="rId2010" Type="http://schemas.openxmlformats.org/officeDocument/2006/relationships/hyperlink" Target="https://advance.lexis.com/api/document?id=urn:contentItem:5T0Y-CDN0-01KN-B073-00000-00&amp;idtype=PID&amp;context=1000516" TargetMode="External"/><Relationship Id="rId2455" Type="http://schemas.openxmlformats.org/officeDocument/2006/relationships/header" Target="header415.xml"/><Relationship Id="rId427" Type="http://schemas.openxmlformats.org/officeDocument/2006/relationships/footer" Target="footer47.xml"/><Relationship Id="rId634" Type="http://schemas.openxmlformats.org/officeDocument/2006/relationships/hyperlink" Target="https://advance.lexis.com/api/document?collection=cases&amp;id=urn:contentItem:47XF-T480-0039-41KD-00000-00&amp;context=" TargetMode="External"/><Relationship Id="rId841" Type="http://schemas.openxmlformats.org/officeDocument/2006/relationships/header" Target="header135.xml"/><Relationship Id="rId1264" Type="http://schemas.openxmlformats.org/officeDocument/2006/relationships/hyperlink" Target="https://advance.lexis.com/api/document?collection=cases&amp;id=urn:contentItem:3RX4-8S80-003G-24K7-00000-00&amp;context=" TargetMode="External"/><Relationship Id="rId1471" Type="http://schemas.openxmlformats.org/officeDocument/2006/relationships/hyperlink" Target="https://advance.lexis.com/api/document?collection=jury-instructions&amp;id=urn:contentItem:5T0Y-CDN0-01KN-B04X-00000-00&amp;context=" TargetMode="External"/><Relationship Id="rId1569" Type="http://schemas.openxmlformats.org/officeDocument/2006/relationships/hyperlink" Target="https://advance.lexis.com/api/document?collection=cases&amp;id=urn:contentItem:3RX4-6450-003G-22B9-00000-00&amp;context=" TargetMode="External"/><Relationship Id="rId2108" Type="http://schemas.openxmlformats.org/officeDocument/2006/relationships/hyperlink" Target="https://advance.lexis.com/api/document?collection=cases&amp;id=urn:contentItem:3S3J-YCP0-003G-011X-00000-00&amp;context=" TargetMode="External"/><Relationship Id="rId2315" Type="http://schemas.openxmlformats.org/officeDocument/2006/relationships/hyperlink" Target="https://advance.lexis.com/api/document?collection=cases&amp;id=urn:contentItem:3RX6-DXH0-003G-221F-00000-00&amp;context=" TargetMode="External"/><Relationship Id="rId701" Type="http://schemas.openxmlformats.org/officeDocument/2006/relationships/footer" Target="footer105.xml"/><Relationship Id="rId939" Type="http://schemas.openxmlformats.org/officeDocument/2006/relationships/hyperlink" Target="https://advance.lexis.com/api/document?collection=jury-instructions&amp;id=urn:contentItem:5T0Y-CDN0-01KN-B03W-00000-00&amp;context=" TargetMode="External"/><Relationship Id="rId1124" Type="http://schemas.openxmlformats.org/officeDocument/2006/relationships/header" Target="header172.xml"/><Relationship Id="rId1331" Type="http://schemas.openxmlformats.org/officeDocument/2006/relationships/header" Target="header201.xml"/><Relationship Id="rId1776" Type="http://schemas.openxmlformats.org/officeDocument/2006/relationships/hyperlink" Target="https://advance.lexis.com/api/document?collection=cases&amp;id=urn:contentItem:3RX4-CJ40-003G-20V0-00000-00&amp;context=" TargetMode="External"/><Relationship Id="rId1983" Type="http://schemas.openxmlformats.org/officeDocument/2006/relationships/footer" Target="footer329.xml"/><Relationship Id="rId68" Type="http://schemas.openxmlformats.org/officeDocument/2006/relationships/footer" Target="footer13.xml"/><Relationship Id="rId1429" Type="http://schemas.openxmlformats.org/officeDocument/2006/relationships/hyperlink" Target="https://advance.lexis.com/api/document?id=urn:contentItem:5T0Y-CDN0-01KN-B050-00000-00&amp;idtype=PID&amp;context=1000516" TargetMode="External"/><Relationship Id="rId1636" Type="http://schemas.openxmlformats.org/officeDocument/2006/relationships/hyperlink" Target="https://advance.lexis.com/api/document?id=urn:contentItem:5T0Y-CDN0-01KN-B05H-00000-00&amp;idtype=PID&amp;context=1000516" TargetMode="External"/><Relationship Id="rId1843" Type="http://schemas.openxmlformats.org/officeDocument/2006/relationships/hyperlink" Target="https://advance.lexis.com/api/document?id=urn:contentItem:5T0Y-CDN0-01KN-B05W-00000-00&amp;idtype=PID&amp;context=1000516" TargetMode="External"/><Relationship Id="rId1703" Type="http://schemas.openxmlformats.org/officeDocument/2006/relationships/footer" Target="footer274.xml"/><Relationship Id="rId1910" Type="http://schemas.openxmlformats.org/officeDocument/2006/relationships/footer" Target="footer316.xml"/><Relationship Id="rId284" Type="http://schemas.openxmlformats.org/officeDocument/2006/relationships/hyperlink" Target="https://advance.lexis.com/api/document?id=urn:contentItem:5T0Y-CDN0-01KN-B021-00000-00&amp;idtype=PID&amp;context=1000516" TargetMode="External"/><Relationship Id="rId491" Type="http://schemas.openxmlformats.org/officeDocument/2006/relationships/header" Target="header56.xml"/><Relationship Id="rId2172" Type="http://schemas.openxmlformats.org/officeDocument/2006/relationships/hyperlink" Target="https://advance.lexis.com/api/document?id=urn:contentItem:5T0Y-CDN0-01KN-B07B-00000-00&amp;idtype=PID&amp;context=1000516" TargetMode="External"/><Relationship Id="rId144" Type="http://schemas.openxmlformats.org/officeDocument/2006/relationships/hyperlink" Target="https://advance.lexis.com/api/document?collection=cases&amp;id=urn:contentItem:3RX4-3VC0-003G-2253-00000-00&amp;context=" TargetMode="External"/><Relationship Id="rId589" Type="http://schemas.openxmlformats.org/officeDocument/2006/relationships/hyperlink" Target="https://advance.lexis.com/api/document?collection=cases&amp;id=urn:contentItem:43BY-BPC0-0039-4036-00000-00&amp;context=" TargetMode="External"/><Relationship Id="rId796" Type="http://schemas.openxmlformats.org/officeDocument/2006/relationships/header" Target="header125.xml"/><Relationship Id="rId2477" Type="http://schemas.openxmlformats.org/officeDocument/2006/relationships/header" Target="header422.xml"/><Relationship Id="rId351" Type="http://schemas.openxmlformats.org/officeDocument/2006/relationships/hyperlink" Target="https://advance.lexis.com/api/document?collection=cases&amp;id=urn:contentItem:3RX4-CTR0-003G-21PT-00000-00&amp;context=" TargetMode="External"/><Relationship Id="rId449" Type="http://schemas.openxmlformats.org/officeDocument/2006/relationships/hyperlink" Target="https://advance.lexis.com/api/document?collection=cases&amp;id=urn:contentItem:3RX4-CFP0-003G-20JK-00000-00&amp;context=" TargetMode="External"/><Relationship Id="rId656" Type="http://schemas.openxmlformats.org/officeDocument/2006/relationships/footer" Target="footer97.xml"/><Relationship Id="rId863" Type="http://schemas.openxmlformats.org/officeDocument/2006/relationships/hyperlink" Target="https://advance.lexis.com/api/document?collection=cases&amp;id=urn:contentItem:3S12-2Y20-003D-Y3PG-00000-00&amp;context=" TargetMode="External"/><Relationship Id="rId1079" Type="http://schemas.openxmlformats.org/officeDocument/2006/relationships/hyperlink" Target="https://advance.lexis.com/api/document?collection=cases&amp;id=urn:contentItem:3RX4-3VC0-003G-2253-00000-00&amp;context=" TargetMode="External"/><Relationship Id="rId1286" Type="http://schemas.openxmlformats.org/officeDocument/2006/relationships/hyperlink" Target="https://advance.lexis.com/api/document?collection=cases&amp;id=urn:contentItem:3RX4-3J90-003G-21JY-00000-00&amp;context=" TargetMode="External"/><Relationship Id="rId1493" Type="http://schemas.openxmlformats.org/officeDocument/2006/relationships/hyperlink" Target="https://advance.lexis.com/api/document?collection=cases&amp;id=urn:contentItem:3RX4-4CF0-003G-2393-00000-00&amp;context=" TargetMode="External"/><Relationship Id="rId2032" Type="http://schemas.openxmlformats.org/officeDocument/2006/relationships/header" Target="header338.xml"/><Relationship Id="rId2337" Type="http://schemas.openxmlformats.org/officeDocument/2006/relationships/hyperlink" Target="https://advance.lexis.com/api/document?collection=cases&amp;id=urn:contentItem:3RX4-BP80-003G-240D-00000-00&amp;context=" TargetMode="External"/><Relationship Id="rId211" Type="http://schemas.openxmlformats.org/officeDocument/2006/relationships/hyperlink" Target="https://advance.lexis.com/api/document?collection=cases&amp;id=urn:contentItem:7YD7-12C0-YB0R-N000-00000-00&amp;context=" TargetMode="External"/><Relationship Id="rId309" Type="http://schemas.openxmlformats.org/officeDocument/2006/relationships/hyperlink" Target="https://advance.lexis.com/api/document?collection=cases&amp;id=urn:contentItem:3W9C-DSR0-0039-42MX-00000-00&amp;context=" TargetMode="External"/><Relationship Id="rId516" Type="http://schemas.openxmlformats.org/officeDocument/2006/relationships/header" Target="header64.xml"/><Relationship Id="rId1146" Type="http://schemas.openxmlformats.org/officeDocument/2006/relationships/hyperlink" Target="https://advance.lexis.com/api/document?collection=cases&amp;id=urn:contentItem:3RX4-4JW0-003G-23R2-00000-00&amp;context=" TargetMode="External"/><Relationship Id="rId1798" Type="http://schemas.openxmlformats.org/officeDocument/2006/relationships/footer" Target="footer294.xml"/><Relationship Id="rId723" Type="http://schemas.openxmlformats.org/officeDocument/2006/relationships/hyperlink" Target="https://advance.lexis.com/api/document?collection=cases&amp;id=urn:contentItem:3RX4-B0P0-003G-2287-00000-00&amp;context=" TargetMode="External"/><Relationship Id="rId930" Type="http://schemas.openxmlformats.org/officeDocument/2006/relationships/hyperlink" Target="https://advance.lexis.com/api/document?collection=cases&amp;id=urn:contentItem:3RX4-3970-003G-2126-00000-00&amp;context=" TargetMode="External"/><Relationship Id="rId1006" Type="http://schemas.openxmlformats.org/officeDocument/2006/relationships/hyperlink" Target="https://advance.lexis.com/api/document?collection=cases&amp;id=urn:contentItem:3S12-2930-003D-Y0WW-00000-00&amp;context=" TargetMode="External"/><Relationship Id="rId1353" Type="http://schemas.openxmlformats.org/officeDocument/2006/relationships/footer" Target="footer208.xml"/><Relationship Id="rId1560" Type="http://schemas.openxmlformats.org/officeDocument/2006/relationships/hyperlink" Target="https://advance.lexis.com/api/document?collection=cases&amp;id=urn:contentItem:3RX4-98P0-003G-20HM-00000-00&amp;context=" TargetMode="External"/><Relationship Id="rId1658" Type="http://schemas.openxmlformats.org/officeDocument/2006/relationships/hyperlink" Target="https://advance.lexis.com/api/document?collection=cases&amp;id=urn:contentItem:3RX4-B370-003G-22GF-00000-00&amp;context=" TargetMode="External"/><Relationship Id="rId1865" Type="http://schemas.openxmlformats.org/officeDocument/2006/relationships/hyperlink" Target="https://advance.lexis.com/api/document?collection=cases&amp;id=urn:contentItem:3RX4-36T0-003G-20WD-00000-00&amp;context=" TargetMode="External"/><Relationship Id="rId2404" Type="http://schemas.openxmlformats.org/officeDocument/2006/relationships/header" Target="header408.xml"/><Relationship Id="rId1213" Type="http://schemas.openxmlformats.org/officeDocument/2006/relationships/footer" Target="footer186.xml"/><Relationship Id="rId1420" Type="http://schemas.openxmlformats.org/officeDocument/2006/relationships/hyperlink" Target="https://advance.lexis.com/api/document?id=urn:contentItem:5T0Y-CDN0-01KN-B04V-00000-00&amp;idtype=PID&amp;context=1000516" TargetMode="External"/><Relationship Id="rId1518" Type="http://schemas.openxmlformats.org/officeDocument/2006/relationships/header" Target="header254.xml"/><Relationship Id="rId1725" Type="http://schemas.openxmlformats.org/officeDocument/2006/relationships/footer" Target="footer281.xml"/><Relationship Id="rId1932" Type="http://schemas.openxmlformats.org/officeDocument/2006/relationships/footer" Target="footer323.xml"/><Relationship Id="rId17" Type="http://schemas.openxmlformats.org/officeDocument/2006/relationships/hyperlink" Target="https://advance.lexis.com/api/document?id=urn:contentItem:5T0Y-CDN0-01KN-B01S-00000-00&amp;idtype=PID&amp;context=1000516" TargetMode="External"/><Relationship Id="rId2194" Type="http://schemas.openxmlformats.org/officeDocument/2006/relationships/footer" Target="footer371.xml"/><Relationship Id="rId166" Type="http://schemas.openxmlformats.org/officeDocument/2006/relationships/hyperlink" Target="https://advance.lexis.com/api/document?collection=cases&amp;id=urn:contentItem:3RX4-5G60-003G-20M2-00000-00&amp;context=" TargetMode="External"/><Relationship Id="rId373" Type="http://schemas.openxmlformats.org/officeDocument/2006/relationships/hyperlink" Target="https://advance.lexis.com/api/document?collection=cases&amp;id=urn:contentItem:3RX4-3PH0-003G-21WF-00000-00&amp;context=" TargetMode="External"/><Relationship Id="rId580" Type="http://schemas.openxmlformats.org/officeDocument/2006/relationships/hyperlink" Target="https://advance.lexis.com/api/document?collection=cases&amp;id=urn:contentItem:3S3J-X5P0-003C-21SW-00000-00&amp;context=" TargetMode="External"/><Relationship Id="rId2054" Type="http://schemas.openxmlformats.org/officeDocument/2006/relationships/footer" Target="footer346.xml"/><Relationship Id="rId2261" Type="http://schemas.openxmlformats.org/officeDocument/2006/relationships/footer" Target="footer380.xml"/><Relationship Id="rId1" Type="http://schemas.openxmlformats.org/officeDocument/2006/relationships/styles" Target="styles.xml"/><Relationship Id="rId233" Type="http://schemas.openxmlformats.org/officeDocument/2006/relationships/hyperlink" Target="https://advance.lexis.com/api/document?collection=cases&amp;id=urn:contentItem:3RX4-C4N0-003G-2525-00000-00&amp;context=" TargetMode="External"/><Relationship Id="rId440" Type="http://schemas.openxmlformats.org/officeDocument/2006/relationships/hyperlink" Target="https://advance.lexis.com/api/document?collection=cases&amp;id=urn:contentItem:3RX4-CNW0-003G-2188-00000-00&amp;context=" TargetMode="External"/><Relationship Id="rId678" Type="http://schemas.openxmlformats.org/officeDocument/2006/relationships/hyperlink" Target="https://advance.lexis.com/api/document?id=urn:contentItem:5T0Y-CDN0-01KN-B03H-00000-00&amp;idtype=PID&amp;context=1000516" TargetMode="External"/><Relationship Id="rId885" Type="http://schemas.openxmlformats.org/officeDocument/2006/relationships/hyperlink" Target="https://advance.lexis.com/api/document?collection=cases&amp;id=urn:contentItem:59N5-7TX1-F04G-S0DJ-00000-00&amp;context=" TargetMode="External"/><Relationship Id="rId1070" Type="http://schemas.openxmlformats.org/officeDocument/2006/relationships/hyperlink" Target="https://advance.lexis.com/api/document?collection=cases&amp;id=urn:contentItem:3RX4-BS60-003G-2457-00000-00&amp;context=" TargetMode="External"/><Relationship Id="rId2121" Type="http://schemas.openxmlformats.org/officeDocument/2006/relationships/footer" Target="footer361.xml"/><Relationship Id="rId2359" Type="http://schemas.openxmlformats.org/officeDocument/2006/relationships/hyperlink" Target="https://advance.lexis.com/api/document?collection=cases&amp;id=urn:contentItem:3RX4-4YK0-003G-24G7-00000-00&amp;context=" TargetMode="External"/><Relationship Id="rId300" Type="http://schemas.openxmlformats.org/officeDocument/2006/relationships/hyperlink" Target="https://advance.lexis.com/api/document?collection=jury-instructions&amp;id=urn:contentItem:5T0Y-CDN0-01KN-B01Y-00000-00&amp;context=" TargetMode="External"/><Relationship Id="rId538" Type="http://schemas.openxmlformats.org/officeDocument/2006/relationships/hyperlink" Target="https://advance.lexis.com/api/document?id=urn:contentItem:5T0Y-CDN0-01KN-B038-00000-00&amp;idtype=PID&amp;context=1000516" TargetMode="External"/><Relationship Id="rId745" Type="http://schemas.openxmlformats.org/officeDocument/2006/relationships/hyperlink" Target="https://advance.lexis.com/api/document?collection=cases&amp;id=urn:contentItem:3RX6-F0D0-003G-226Y-00000-00&amp;context=" TargetMode="External"/><Relationship Id="rId952" Type="http://schemas.openxmlformats.org/officeDocument/2006/relationships/hyperlink" Target="https://advance.lexis.com/api/document?collection=cases&amp;id=urn:contentItem:3RX4-3R20-003G-21XG-00000-00&amp;context=" TargetMode="External"/><Relationship Id="rId1168" Type="http://schemas.openxmlformats.org/officeDocument/2006/relationships/header" Target="header177.xml"/><Relationship Id="rId1375" Type="http://schemas.openxmlformats.org/officeDocument/2006/relationships/footer" Target="footer218.xml"/><Relationship Id="rId1582" Type="http://schemas.openxmlformats.org/officeDocument/2006/relationships/hyperlink" Target="https://advance.lexis.com/api/document?collection=cases&amp;id=urn:contentItem:3RX4-CKF0-003G-2100-00000-00&amp;context=" TargetMode="External"/><Relationship Id="rId2219" Type="http://schemas.openxmlformats.org/officeDocument/2006/relationships/hyperlink" Target="https://advance.lexis.com/api/document?collection=cases&amp;id=urn:contentItem:3RX4-C1M0-003G-24T5-00000-00&amp;context=" TargetMode="External"/><Relationship Id="rId2426" Type="http://schemas.openxmlformats.org/officeDocument/2006/relationships/header" Target="header409.xml"/><Relationship Id="rId81" Type="http://schemas.openxmlformats.org/officeDocument/2006/relationships/hyperlink" Target="https://advance.lexis.com/api/document?collection=cases&amp;id=urn:contentItem:3RX4-C4F0-003G-251M-00000-00&amp;context=" TargetMode="External"/><Relationship Id="rId605" Type="http://schemas.openxmlformats.org/officeDocument/2006/relationships/hyperlink" Target="https://advance.lexis.com/api/document?collection=cases&amp;id=urn:contentItem:3RX4-3FW0-003G-21CM-00000-00&amp;context=" TargetMode="External"/><Relationship Id="rId812" Type="http://schemas.openxmlformats.org/officeDocument/2006/relationships/footer" Target="footer130.xml"/><Relationship Id="rId1028" Type="http://schemas.openxmlformats.org/officeDocument/2006/relationships/hyperlink" Target="https://advance.lexis.com/api/document?collection=cases&amp;id=urn:contentItem:3RX4-B780-003G-22V7-00000-00&amp;context=" TargetMode="External"/><Relationship Id="rId1235" Type="http://schemas.openxmlformats.org/officeDocument/2006/relationships/hyperlink" Target="https://advance.lexis.com/api/document?collection=cases&amp;id=urn:contentItem:3RX4-7JG0-003G-21BK-00000-00&amp;context=" TargetMode="External"/><Relationship Id="rId1442" Type="http://schemas.openxmlformats.org/officeDocument/2006/relationships/header" Target="header234.xml"/><Relationship Id="rId1887" Type="http://schemas.openxmlformats.org/officeDocument/2006/relationships/hyperlink" Target="https://advance.lexis.com/api/document?collection=cases&amp;id=urn:contentItem:3RX4-3X10-003G-2285-00000-00&amp;context=" TargetMode="External"/><Relationship Id="rId1302" Type="http://schemas.openxmlformats.org/officeDocument/2006/relationships/hyperlink" Target="https://advance.lexis.com/api/document?collection=cases&amp;id=urn:contentItem:3RX4-3MJ0-003G-21RJ-00000-00&amp;context=" TargetMode="External"/><Relationship Id="rId1747" Type="http://schemas.openxmlformats.org/officeDocument/2006/relationships/header" Target="header288.xml"/><Relationship Id="rId1954" Type="http://schemas.openxmlformats.org/officeDocument/2006/relationships/hyperlink" Target="https://advance.lexis.com/api/document?collection=cases&amp;id=urn:contentItem:3RX4-BC80-003G-2368-00000-00&amp;context=" TargetMode="External"/><Relationship Id="rId39" Type="http://schemas.openxmlformats.org/officeDocument/2006/relationships/hyperlink" Target="https://advance.lexis.com/api/document?collection=jury-instructions&amp;id=urn:contentItem:5T0Y-CDN0-01KN-B01K-00000-00&amp;context=" TargetMode="External"/><Relationship Id="rId1607" Type="http://schemas.openxmlformats.org/officeDocument/2006/relationships/header" Target="header264.xml"/><Relationship Id="rId1814" Type="http://schemas.openxmlformats.org/officeDocument/2006/relationships/footer" Target="footer297.xml"/><Relationship Id="rId188" Type="http://schemas.openxmlformats.org/officeDocument/2006/relationships/hyperlink" Target="https://advance.lexis.com/api/document?id=urn:contentItem:5T0Y-CDN0-01KN-B021-00000-00&amp;idtype=PID&amp;context=1000516" TargetMode="External"/><Relationship Id="rId395" Type="http://schemas.openxmlformats.org/officeDocument/2006/relationships/hyperlink" Target="https://advance.lexis.com/api/document?id=urn:contentItem:5T0Y-CDN0-01KN-B02Y-00000-00&amp;idtype=PID&amp;context=1000516" TargetMode="External"/><Relationship Id="rId2076" Type="http://schemas.openxmlformats.org/officeDocument/2006/relationships/footer" Target="footer353.xml"/><Relationship Id="rId2283" Type="http://schemas.openxmlformats.org/officeDocument/2006/relationships/header" Target="header386.xml"/><Relationship Id="rId255" Type="http://schemas.openxmlformats.org/officeDocument/2006/relationships/hyperlink" Target="https://advance.lexis.com/api/document?collection=cases&amp;id=urn:contentItem:3RX6-F0M0-003G-227M-00000-00&amp;context=" TargetMode="External"/><Relationship Id="rId462" Type="http://schemas.openxmlformats.org/officeDocument/2006/relationships/hyperlink" Target="https://advance.lexis.com/api/document?collection=cases&amp;id=urn:contentItem:3RX4-4TP0-003G-2467-00000-00&amp;context=" TargetMode="External"/><Relationship Id="rId1092" Type="http://schemas.openxmlformats.org/officeDocument/2006/relationships/hyperlink" Target="https://advance.lexis.com/api/document?id=urn:contentItem:5T0Y-CDN0-01KN-B043-00000-00&amp;idtype=PID&amp;context=1000516" TargetMode="External"/><Relationship Id="rId1397" Type="http://schemas.openxmlformats.org/officeDocument/2006/relationships/hyperlink" Target="https://advance.lexis.com/api/document?collection=cases&amp;id=urn:contentItem:3S12-2TM0-003D-Y36D-00000-00&amp;context=" TargetMode="External"/><Relationship Id="rId2143" Type="http://schemas.openxmlformats.org/officeDocument/2006/relationships/hyperlink" Target="https://advance.lexis.com/api/document?collection=cases&amp;id=urn:contentItem:3RX4-3NR0-003G-21TW-00000-00&amp;context=" TargetMode="External"/><Relationship Id="rId2350" Type="http://schemas.openxmlformats.org/officeDocument/2006/relationships/hyperlink" Target="https://advance.lexis.com/api/document?collection=cases&amp;id=urn:contentItem:3RX4-3G80-003G-21DF-00000-00&amp;context=" TargetMode="External"/><Relationship Id="rId115" Type="http://schemas.openxmlformats.org/officeDocument/2006/relationships/hyperlink" Target="https://advance.lexis.com/api/document?collection=cases&amp;id=urn:contentItem:5KTK-3BT1-F04G-T069-00000-00&amp;context=" TargetMode="External"/><Relationship Id="rId322" Type="http://schemas.openxmlformats.org/officeDocument/2006/relationships/hyperlink" Target="https://advance.lexis.com/api/document?collection=jury-instructions&amp;id=urn:contentItem:5T0Y-CDN0-01KN-B024-00000-00&amp;context=" TargetMode="External"/><Relationship Id="rId767" Type="http://schemas.openxmlformats.org/officeDocument/2006/relationships/hyperlink" Target="https://advance.lexis.com/api/document?collection=cases&amp;id=urn:contentItem:3RX4-CTH0-003G-21P2-00000-00&amp;context=" TargetMode="External"/><Relationship Id="rId974" Type="http://schemas.openxmlformats.org/officeDocument/2006/relationships/header" Target="header156.xml"/><Relationship Id="rId2003" Type="http://schemas.openxmlformats.org/officeDocument/2006/relationships/hyperlink" Target="https://advance.lexis.com/api/document?id=urn:contentItem:5T0Y-CDN0-01KN-B06Y-00000-00&amp;idtype=PID&amp;context=1000516" TargetMode="External"/><Relationship Id="rId2210" Type="http://schemas.openxmlformats.org/officeDocument/2006/relationships/hyperlink" Target="https://advance.lexis.com/api/document?collection=cases&amp;id=urn:contentItem:3RX4-B4B0-003G-22K8-00000-00&amp;context=" TargetMode="External"/><Relationship Id="rId2448" Type="http://schemas.openxmlformats.org/officeDocument/2006/relationships/hyperlink" Target="https://advance.lexis.com/api/document?collection=cases&amp;id=urn:contentItem:3RX4-9VV0-003G-21XY-00000-00&amp;context=" TargetMode="External"/><Relationship Id="rId627" Type="http://schemas.openxmlformats.org/officeDocument/2006/relationships/header" Target="header93.xml"/><Relationship Id="rId834" Type="http://schemas.openxmlformats.org/officeDocument/2006/relationships/hyperlink" Target="https://advance.lexis.com/api/document?id=urn:contentItem:5T0Y-CDN0-01KN-B041-00000-00&amp;idtype=PID&amp;context=1000516" TargetMode="External"/><Relationship Id="rId1257" Type="http://schemas.openxmlformats.org/officeDocument/2006/relationships/hyperlink" Target="https://advance.lexis.com/api/document?collection=cases&amp;id=urn:contentItem:3RX4-9950-003G-20JP-00000-00&amp;context=" TargetMode="External"/><Relationship Id="rId1464" Type="http://schemas.openxmlformats.org/officeDocument/2006/relationships/hyperlink" Target="https://advance.lexis.com/api/document?collection=jury-instructions&amp;id=urn:contentItem:5T0Y-CDN0-01KN-B04W-00000-00&amp;context=" TargetMode="External"/><Relationship Id="rId1671" Type="http://schemas.openxmlformats.org/officeDocument/2006/relationships/hyperlink" Target="https://advance.lexis.com/api/document?collection=cases&amp;id=urn:contentItem:3RX4-9NX0-003G-21GV-00000-00&amp;context=" TargetMode="External"/><Relationship Id="rId2308" Type="http://schemas.openxmlformats.org/officeDocument/2006/relationships/hyperlink" Target="https://advance.lexis.com/api/document?collection=cases&amp;id=urn:contentItem:3S12-34X0-003D-Y4JR-00000-00&amp;context=" TargetMode="External"/><Relationship Id="rId901" Type="http://schemas.openxmlformats.org/officeDocument/2006/relationships/hyperlink" Target="https://advance.lexis.com/api/document?collection=cases&amp;id=urn:contentItem:3RX4-3KK0-003G-21NJ-00000-00&amp;context=" TargetMode="External"/><Relationship Id="rId1117" Type="http://schemas.openxmlformats.org/officeDocument/2006/relationships/header" Target="header169.xml"/><Relationship Id="rId1324" Type="http://schemas.openxmlformats.org/officeDocument/2006/relationships/hyperlink" Target="https://advance.lexis.com/api/document?id=urn:contentItem:5T0Y-CDN0-01KN-B04P-00000-00&amp;idtype=PID&amp;context=1000516" TargetMode="External"/><Relationship Id="rId1531" Type="http://schemas.openxmlformats.org/officeDocument/2006/relationships/hyperlink" Target="https://advance.lexis.com/api/document?collection=cases&amp;id=urn:contentItem:3RX4-3P90-003G-21W2-00000-00&amp;context=" TargetMode="External"/><Relationship Id="rId1769" Type="http://schemas.openxmlformats.org/officeDocument/2006/relationships/hyperlink" Target="https://advance.lexis.com/api/document?collection=cases&amp;id=urn:contentItem:3RX4-B370-003G-22GF-00000-00&amp;context=" TargetMode="External"/><Relationship Id="rId1976" Type="http://schemas.openxmlformats.org/officeDocument/2006/relationships/hyperlink" Target="https://advance.lexis.com/api/document?collection=cases&amp;id=urn:contentItem:3S12-31K0-003D-Y427-00000-00&amp;context=" TargetMode="External"/><Relationship Id="rId30" Type="http://schemas.openxmlformats.org/officeDocument/2006/relationships/footer" Target="footer2.xml"/><Relationship Id="rId1629" Type="http://schemas.openxmlformats.org/officeDocument/2006/relationships/hyperlink" Target="https://advance.lexis.com/api/document?id=urn:contentItem:5T0Y-CDN0-01KN-B05D-00000-00&amp;idtype=PID&amp;context=1000516" TargetMode="External"/><Relationship Id="rId1836" Type="http://schemas.openxmlformats.org/officeDocument/2006/relationships/hyperlink" Target="https://advance.lexis.com/api/document?id=urn:contentItem:5T0Y-CDN0-01KN-B05P-00000-00&amp;idtype=PID&amp;context=1000516" TargetMode="External"/><Relationship Id="rId1903" Type="http://schemas.openxmlformats.org/officeDocument/2006/relationships/footer" Target="footer313.xml"/><Relationship Id="rId2098" Type="http://schemas.openxmlformats.org/officeDocument/2006/relationships/hyperlink" Target="https://advance.lexis.com/api/document?collection=cases&amp;id=urn:contentItem:3RX4-BKT0-003G-23SB-00000-00&amp;context=" TargetMode="External"/><Relationship Id="rId277" Type="http://schemas.openxmlformats.org/officeDocument/2006/relationships/hyperlink" Target="https://advance.lexis.com/api/document?collection=cases&amp;id=urn:contentItem:3S3H-PV00-0039-435T-00000-00&amp;context=" TargetMode="External"/><Relationship Id="rId484" Type="http://schemas.openxmlformats.org/officeDocument/2006/relationships/footer" Target="footer54.xml"/><Relationship Id="rId2165" Type="http://schemas.openxmlformats.org/officeDocument/2006/relationships/hyperlink" Target="https://advance.lexis.com/api/document?id=urn:contentItem:5T0Y-CDN0-01KN-B077-00000-00&amp;idtype=PID&amp;context=1000516" TargetMode="External"/><Relationship Id="rId137" Type="http://schemas.openxmlformats.org/officeDocument/2006/relationships/hyperlink" Target="https://advance.lexis.com/api/document?collection=cases&amp;id=urn:contentItem:3RX4-BHX0-003G-23KP-00000-00&amp;context=" TargetMode="External"/><Relationship Id="rId344" Type="http://schemas.openxmlformats.org/officeDocument/2006/relationships/hyperlink" Target="https://advance.lexis.com/api/document?collection=cases&amp;id=urn:contentItem:3RX4-CDY0-003G-20H4-00000-00&amp;context=" TargetMode="External"/><Relationship Id="rId691" Type="http://schemas.openxmlformats.org/officeDocument/2006/relationships/header" Target="header101.xml"/><Relationship Id="rId789" Type="http://schemas.openxmlformats.org/officeDocument/2006/relationships/hyperlink" Target="https://advance.lexis.com/api/document?collection=jury-instructions&amp;id=urn:contentItem:5T0Y-CDN0-01KN-B03K-00000-00&amp;context=" TargetMode="External"/><Relationship Id="rId996" Type="http://schemas.openxmlformats.org/officeDocument/2006/relationships/hyperlink" Target="https://advance.lexis.com/api/document?collection=cases&amp;id=urn:contentItem:3RX4-3K70-003G-21MV-00000-00&amp;context=" TargetMode="External"/><Relationship Id="rId2025" Type="http://schemas.openxmlformats.org/officeDocument/2006/relationships/header" Target="header335.xml"/><Relationship Id="rId2372" Type="http://schemas.openxmlformats.org/officeDocument/2006/relationships/hyperlink" Target="https://advance.lexis.com/api/document?id=urn:contentItem:5T0Y-CDN0-01KN-B07S-00000-00&amp;idtype=PID&amp;context=1000516" TargetMode="External"/><Relationship Id="rId551" Type="http://schemas.openxmlformats.org/officeDocument/2006/relationships/footer" Target="footer70.xml"/><Relationship Id="rId649" Type="http://schemas.openxmlformats.org/officeDocument/2006/relationships/footer" Target="footer95.xml"/><Relationship Id="rId856" Type="http://schemas.openxmlformats.org/officeDocument/2006/relationships/hyperlink" Target="https://advance.lexis.com/api/document?collection=jury-instructions&amp;id=urn:contentItem:5T0Y-CDN0-01KN-B03S-00000-00&amp;context=" TargetMode="External"/><Relationship Id="rId1181" Type="http://schemas.openxmlformats.org/officeDocument/2006/relationships/hyperlink" Target="https://advance.lexis.com/api/document?collection=cases&amp;id=urn:contentItem:44R4-TW80-0039-447K-00000-00&amp;context=" TargetMode="External"/><Relationship Id="rId1279" Type="http://schemas.openxmlformats.org/officeDocument/2006/relationships/hyperlink" Target="https://advance.lexis.com/api/document?collection=jury-instructions&amp;id=urn:contentItem:5T0Y-CDN0-01KN-B04B-00000-00&amp;context=" TargetMode="External"/><Relationship Id="rId1486" Type="http://schemas.openxmlformats.org/officeDocument/2006/relationships/header" Target="header249.xml"/><Relationship Id="rId2232" Type="http://schemas.openxmlformats.org/officeDocument/2006/relationships/hyperlink" Target="https://advance.lexis.com/api/document?collection=cases&amp;id=urn:contentItem:4C9T-JT50-0039-450H-00000-00&amp;context=" TargetMode="External"/><Relationship Id="rId204" Type="http://schemas.openxmlformats.org/officeDocument/2006/relationships/hyperlink" Target="https://advance.lexis.com/api/document?collection=jury-instructions&amp;id=urn:contentItem:5T0Y-CDN0-01KN-B020-00000-00&amp;context=" TargetMode="External"/><Relationship Id="rId411" Type="http://schemas.openxmlformats.org/officeDocument/2006/relationships/header" Target="header41.xml"/><Relationship Id="rId509" Type="http://schemas.openxmlformats.org/officeDocument/2006/relationships/footer" Target="footer63.xml"/><Relationship Id="rId1041" Type="http://schemas.openxmlformats.org/officeDocument/2006/relationships/hyperlink" Target="https://advance.lexis.com/api/document?collection=cases&amp;id=urn:contentItem:41M4-RDX0-0039-417D-00000-00&amp;context=" TargetMode="External"/><Relationship Id="rId1139" Type="http://schemas.openxmlformats.org/officeDocument/2006/relationships/hyperlink" Target="https://advance.lexis.com/api/document?collection=cases&amp;id=urn:contentItem:4FGJ-9H90-0039-42FW-00000-00&amp;context=" TargetMode="External"/><Relationship Id="rId1346" Type="http://schemas.openxmlformats.org/officeDocument/2006/relationships/footer" Target="footer207.xml"/><Relationship Id="rId1693" Type="http://schemas.openxmlformats.org/officeDocument/2006/relationships/hyperlink" Target="https://advance.lexis.com/api/document?collection=cases&amp;id=urn:contentItem:3RX4-C5K0-003G-2547-00000-00&amp;context=" TargetMode="External"/><Relationship Id="rId1998" Type="http://schemas.openxmlformats.org/officeDocument/2006/relationships/hyperlink" Target="https://advance.lexis.com/api/document?id=urn:contentItem:5T0Y-CDN0-01KN-B06W-00000-00&amp;idtype=PID&amp;context=1000516" TargetMode="External"/><Relationship Id="rId716" Type="http://schemas.openxmlformats.org/officeDocument/2006/relationships/hyperlink" Target="https://advance.lexis.com/api/document?collection=jury-instructions&amp;id=urn:contentItem:5T0Y-CDN0-01KN-B03D-00000-00&amp;context=" TargetMode="External"/><Relationship Id="rId923" Type="http://schemas.openxmlformats.org/officeDocument/2006/relationships/hyperlink" Target="https://advance.lexis.com/api/document?collection=cases&amp;id=urn:contentItem:3RX4-7V50-003G-2275-00000-00&amp;context=" TargetMode="External"/><Relationship Id="rId1553" Type="http://schemas.openxmlformats.org/officeDocument/2006/relationships/header" Target="header260.xml"/><Relationship Id="rId1760" Type="http://schemas.openxmlformats.org/officeDocument/2006/relationships/hyperlink" Target="https://advance.lexis.com/api/document?collection=cases&amp;id=urn:contentItem:3RX4-C9B0-003G-2062-00000-00&amp;context=" TargetMode="External"/><Relationship Id="rId1858" Type="http://schemas.openxmlformats.org/officeDocument/2006/relationships/footer" Target="footer303.xml"/><Relationship Id="rId52" Type="http://schemas.openxmlformats.org/officeDocument/2006/relationships/footer" Target="footer7.xml"/><Relationship Id="rId1206" Type="http://schemas.openxmlformats.org/officeDocument/2006/relationships/hyperlink" Target="https://advance.lexis.com/api/document?collection=cases&amp;id=urn:contentItem:3RX4-3YN0-003G-22CM-00000-00&amp;context=" TargetMode="External"/><Relationship Id="rId1413" Type="http://schemas.openxmlformats.org/officeDocument/2006/relationships/footer" Target="footer230.xml"/><Relationship Id="rId1620" Type="http://schemas.openxmlformats.org/officeDocument/2006/relationships/hyperlink" Target="https://advance.lexis.com/api/document?id=urn:contentItem:5T0Y-CDN0-01KN-B057-00000-00&amp;idtype=PID&amp;context=1000516" TargetMode="External"/><Relationship Id="rId1718" Type="http://schemas.openxmlformats.org/officeDocument/2006/relationships/hyperlink" Target="https://advance.lexis.com/api/document?collection=jury-instructions&amp;id=urn:contentItem:5T0Y-CDN0-01KN-B059-00000-00&amp;context=" TargetMode="External"/><Relationship Id="rId1925" Type="http://schemas.openxmlformats.org/officeDocument/2006/relationships/hyperlink" Target="https://advance.lexis.com/api/document?collection=cases&amp;id=urn:contentItem:3RX4-3890-003G-210C-00000-00&amp;context=" TargetMode="External"/><Relationship Id="rId299" Type="http://schemas.openxmlformats.org/officeDocument/2006/relationships/hyperlink" Target="https://advance.lexis.com/api/document?id=urn:contentItem:5T0Y-CDN0-01KN-B027-00000-00&amp;idtype=PID&amp;context=1000516" TargetMode="External"/><Relationship Id="rId2187" Type="http://schemas.openxmlformats.org/officeDocument/2006/relationships/footer" Target="footer367.xml"/><Relationship Id="rId2394" Type="http://schemas.openxmlformats.org/officeDocument/2006/relationships/hyperlink" Target="https://advance.lexis.com/api/document?collection=cases&amp;id=urn:contentItem:3RX4-CK10-003G-20XM-00000-00&amp;context=" TargetMode="External"/><Relationship Id="rId159" Type="http://schemas.openxmlformats.org/officeDocument/2006/relationships/footer" Target="footer28.xml"/><Relationship Id="rId366" Type="http://schemas.openxmlformats.org/officeDocument/2006/relationships/hyperlink" Target="https://advance.lexis.com/api/document?collection=jury-instructions&amp;id=urn:contentItem:5T0Y-CDN0-01KN-B028-00000-00&amp;context=" TargetMode="External"/><Relationship Id="rId573" Type="http://schemas.openxmlformats.org/officeDocument/2006/relationships/header" Target="header78.xml"/><Relationship Id="rId780" Type="http://schemas.openxmlformats.org/officeDocument/2006/relationships/header" Target="header120.xml"/><Relationship Id="rId2047" Type="http://schemas.openxmlformats.org/officeDocument/2006/relationships/footer" Target="footer343.xml"/><Relationship Id="rId2254" Type="http://schemas.openxmlformats.org/officeDocument/2006/relationships/hyperlink" Target="https://advance.lexis.com/api/document?collection=cases&amp;id=urn:contentItem:59PP-6911-F04G-T01R-00000-00&amp;context=" TargetMode="External"/><Relationship Id="rId2461" Type="http://schemas.openxmlformats.org/officeDocument/2006/relationships/hyperlink" Target="https://advance.lexis.com/api/document?collection=jury-instructions&amp;id=urn:contentItem:5T0Y-CDN0-01KN-B07R-00000-00&amp;context=" TargetMode="External"/><Relationship Id="rId226" Type="http://schemas.openxmlformats.org/officeDocument/2006/relationships/hyperlink" Target="https://advance.lexis.com/api/document?collection=cases&amp;id=urn:contentItem:3RX4-9VH0-003G-21X6-00000-00&amp;context=" TargetMode="External"/><Relationship Id="rId433" Type="http://schemas.openxmlformats.org/officeDocument/2006/relationships/header" Target="header49.xml"/><Relationship Id="rId878" Type="http://schemas.openxmlformats.org/officeDocument/2006/relationships/footer" Target="footer144.xml"/><Relationship Id="rId1063" Type="http://schemas.openxmlformats.org/officeDocument/2006/relationships/hyperlink" Target="https://advance.lexis.com/api/document?collection=cases&amp;id=urn:contentItem:3RX4-C1C0-003G-24SR-00000-00&amp;context=" TargetMode="External"/><Relationship Id="rId1270" Type="http://schemas.openxmlformats.org/officeDocument/2006/relationships/footer" Target="footer192.xml"/><Relationship Id="rId2114" Type="http://schemas.openxmlformats.org/officeDocument/2006/relationships/header" Target="header360.xml"/><Relationship Id="rId640" Type="http://schemas.openxmlformats.org/officeDocument/2006/relationships/hyperlink" Target="https://advance.lexis.com/api/document?collection=cases&amp;id=urn:contentItem:3RX4-BCJ0-003G-236Y-00000-00&amp;context=" TargetMode="External"/><Relationship Id="rId738" Type="http://schemas.openxmlformats.org/officeDocument/2006/relationships/hyperlink" Target="https://advance.lexis.com/api/document?collection=cases&amp;id=urn:contentItem:3S12-2PD0-003D-Y2NN-00000-00&amp;context=" TargetMode="External"/><Relationship Id="rId945" Type="http://schemas.openxmlformats.org/officeDocument/2006/relationships/header" Target="header151.xml"/><Relationship Id="rId1368" Type="http://schemas.openxmlformats.org/officeDocument/2006/relationships/footer" Target="footer215.xml"/><Relationship Id="rId1575" Type="http://schemas.openxmlformats.org/officeDocument/2006/relationships/hyperlink" Target="https://advance.lexis.com/api/document?collection=cases&amp;id=urn:contentItem:4B7G-2320-004C-001H-00000-00&amp;context=" TargetMode="External"/><Relationship Id="rId1782" Type="http://schemas.openxmlformats.org/officeDocument/2006/relationships/hyperlink" Target="https://advance.lexis.com/api/document?collection=cases&amp;id=urn:contentItem:3X8H-HV50-0039-43B4-00000-00&amp;context=" TargetMode="External"/><Relationship Id="rId2321" Type="http://schemas.openxmlformats.org/officeDocument/2006/relationships/footer" Target="footer394.xml"/><Relationship Id="rId2419" Type="http://schemas.openxmlformats.org/officeDocument/2006/relationships/hyperlink" Target="https://advance.lexis.com/api/document?collection=cases&amp;id=urn:contentItem:3S12-2CF0-003D-Y18P-00000-00&amp;context=" TargetMode="External"/><Relationship Id="rId74" Type="http://schemas.openxmlformats.org/officeDocument/2006/relationships/header" Target="header17.xml"/><Relationship Id="rId500" Type="http://schemas.openxmlformats.org/officeDocument/2006/relationships/footer" Target="footer59.xml"/><Relationship Id="rId805" Type="http://schemas.openxmlformats.org/officeDocument/2006/relationships/footer" Target="footer127.xml"/><Relationship Id="rId1130" Type="http://schemas.openxmlformats.org/officeDocument/2006/relationships/hyperlink" Target="https://advance.lexis.com/api/document?collection=jury-instructions&amp;id=urn:contentItem:5T0Y-CDN0-01KN-B044-00000-00&amp;context=" TargetMode="External"/><Relationship Id="rId1228" Type="http://schemas.openxmlformats.org/officeDocument/2006/relationships/hyperlink" Target="https://advance.lexis.com/api/document?collection=cases&amp;id=urn:contentItem:41P0-P7C0-0039-431D-00000-00&amp;context=" TargetMode="External"/><Relationship Id="rId1435" Type="http://schemas.openxmlformats.org/officeDocument/2006/relationships/hyperlink" Target="https://advance.lexis.com/api/document?id=urn:contentItem:5T0Y-CDN0-01KN-B055-00000-00&amp;idtype=PID&amp;context=1000516" TargetMode="External"/><Relationship Id="rId1642" Type="http://schemas.openxmlformats.org/officeDocument/2006/relationships/header" Target="header267.xml"/><Relationship Id="rId1947" Type="http://schemas.openxmlformats.org/officeDocument/2006/relationships/hyperlink" Target="https://advance.lexis.com/api/document?collection=cases&amp;id=urn:contentItem:3RX4-B7W0-003G-22WS-00000-00&amp;context=" TargetMode="External"/><Relationship Id="rId1502" Type="http://schemas.openxmlformats.org/officeDocument/2006/relationships/hyperlink" Target="https://advance.lexis.com/api/document?collection=cases&amp;id=urn:contentItem:3RX4-9F20-003G-20XF-00000-00&amp;context=" TargetMode="External"/><Relationship Id="rId1807" Type="http://schemas.openxmlformats.org/officeDocument/2006/relationships/hyperlink" Target="https://advance.lexis.com/api/document?collection=cases&amp;id=urn:contentItem:3RX4-94V0-003G-206S-00000-00&amp;context=" TargetMode="External"/><Relationship Id="rId290" Type="http://schemas.openxmlformats.org/officeDocument/2006/relationships/hyperlink" Target="https://advance.lexis.com/api/document?id=urn:contentItem:5T0Y-CDN0-01KN-B024-00000-00&amp;idtype=PID&amp;context=1000516" TargetMode="External"/><Relationship Id="rId388" Type="http://schemas.openxmlformats.org/officeDocument/2006/relationships/hyperlink" Target="https://advance.lexis.com/api/document?id=urn:contentItem:5T0Y-CDN0-01KN-B02V-00000-00&amp;idtype=PID&amp;context=1000516" TargetMode="External"/><Relationship Id="rId2069" Type="http://schemas.openxmlformats.org/officeDocument/2006/relationships/hyperlink" Target="https://advance.lexis.com/api/document?collection=cases&amp;id=urn:contentItem:3RX4-CK00-003G-20XJ-00000-00&amp;context=" TargetMode="External"/><Relationship Id="rId150" Type="http://schemas.openxmlformats.org/officeDocument/2006/relationships/hyperlink" Target="https://advance.lexis.com/api/document?collection=cases&amp;id=urn:contentItem:3RX6-DYD0-003G-223W-00000-00&amp;context=" TargetMode="External"/><Relationship Id="rId595" Type="http://schemas.openxmlformats.org/officeDocument/2006/relationships/hyperlink" Target="https://advance.lexis.com/api/document?collection=cases&amp;id=urn:contentItem:4M81-8S50-0039-43MJ-00000-00&amp;context=" TargetMode="External"/><Relationship Id="rId2276" Type="http://schemas.openxmlformats.org/officeDocument/2006/relationships/header" Target="header383.xml"/><Relationship Id="rId2483" Type="http://schemas.openxmlformats.org/officeDocument/2006/relationships/fontTable" Target="fontTable.xml"/><Relationship Id="rId248" Type="http://schemas.openxmlformats.org/officeDocument/2006/relationships/hyperlink" Target="https://advance.lexis.com/api/document?collection=cases&amp;id=urn:contentItem:3RX4-CKN0-003G-210N-00000-00&amp;context=" TargetMode="External"/><Relationship Id="rId455" Type="http://schemas.openxmlformats.org/officeDocument/2006/relationships/hyperlink" Target="https://advance.lexis.com/api/document?collection=cases&amp;id=urn:contentItem:3RX4-CNW0-003G-2188-00000-00&amp;context=" TargetMode="External"/><Relationship Id="rId662" Type="http://schemas.openxmlformats.org/officeDocument/2006/relationships/hyperlink" Target="https://advance.lexis.com/api/document?collection=cases&amp;id=urn:contentItem:3RX4-CST0-003G-21KP-00000-00&amp;context=" TargetMode="External"/><Relationship Id="rId1085" Type="http://schemas.openxmlformats.org/officeDocument/2006/relationships/footer" Target="footer165.xml"/><Relationship Id="rId1292" Type="http://schemas.openxmlformats.org/officeDocument/2006/relationships/header" Target="header198.xml"/><Relationship Id="rId2136" Type="http://schemas.openxmlformats.org/officeDocument/2006/relationships/hyperlink" Target="https://advance.lexis.com/api/document?collection=cases&amp;id=urn:contentItem:3RX4-B4Y0-003G-22MW-00000-00&amp;context=" TargetMode="External"/><Relationship Id="rId2343" Type="http://schemas.openxmlformats.org/officeDocument/2006/relationships/hyperlink" Target="https://advance.lexis.com/api/document?collection=cases&amp;id=urn:contentItem:3RX4-4YK0-003G-24G7-00000-00&amp;context=" TargetMode="External"/><Relationship Id="rId108" Type="http://schemas.openxmlformats.org/officeDocument/2006/relationships/hyperlink" Target="https://advance.lexis.com/api/document?collection=cases&amp;id=urn:contentItem:3RX4-30M0-003G-20FC-00000-00&amp;context=" TargetMode="External"/><Relationship Id="rId315" Type="http://schemas.openxmlformats.org/officeDocument/2006/relationships/hyperlink" Target="https://advance.lexis.com/api/document?collection=cases&amp;id=urn:contentItem:3RX4-4PX0-003G-2411-00000-00&amp;context=" TargetMode="External"/><Relationship Id="rId522" Type="http://schemas.openxmlformats.org/officeDocument/2006/relationships/hyperlink" Target="https://advance.lexis.com/api/document?collection=jury-instructions&amp;id=urn:contentItem:5T0Y-CDN0-01KN-B02Y-00000-00&amp;context=" TargetMode="External"/><Relationship Id="rId967" Type="http://schemas.openxmlformats.org/officeDocument/2006/relationships/hyperlink" Target="https://advance.lexis.com/api/document?collection=cases&amp;id=urn:contentItem:3RX4-3R20-003G-21XG-00000-00&amp;context=" TargetMode="External"/><Relationship Id="rId1152" Type="http://schemas.openxmlformats.org/officeDocument/2006/relationships/hyperlink" Target="https://advance.lexis.com/api/document?collection=cases&amp;id=urn:contentItem:3RX4-4JW0-003G-23R2-00000-00&amp;context=" TargetMode="External"/><Relationship Id="rId1597" Type="http://schemas.openxmlformats.org/officeDocument/2006/relationships/hyperlink" Target="https://advance.lexis.com/api/document?collection=cases&amp;id=urn:contentItem:3RX4-3M70-003G-21PV-00000-00&amp;context=" TargetMode="External"/><Relationship Id="rId2203" Type="http://schemas.openxmlformats.org/officeDocument/2006/relationships/footer" Target="footer373.xml"/><Relationship Id="rId2410" Type="http://schemas.openxmlformats.org/officeDocument/2006/relationships/hyperlink" Target="https://advance.lexis.com/api/document?collection=cases&amp;id=urn:contentItem:3RX4-5DK0-003G-20G6-00000-00&amp;context=" TargetMode="External"/><Relationship Id="rId96" Type="http://schemas.openxmlformats.org/officeDocument/2006/relationships/hyperlink" Target="https://advance.lexis.com/api/document?collection=cases&amp;id=urn:contentItem:3RX4-4800-003G-2321-00000-00&amp;context=" TargetMode="External"/><Relationship Id="rId827" Type="http://schemas.openxmlformats.org/officeDocument/2006/relationships/hyperlink" Target="https://advance.lexis.com/api/document?id=urn:contentItem:5T0Y-CDN0-01KN-B03X-00000-00&amp;idtype=PID&amp;context=1000516" TargetMode="External"/><Relationship Id="rId1012" Type="http://schemas.openxmlformats.org/officeDocument/2006/relationships/hyperlink" Target="https://advance.lexis.com/api/document?collection=cases&amp;id=urn:contentItem:3RX4-C8R0-003G-204M-00000-00&amp;context=" TargetMode="External"/><Relationship Id="rId1457" Type="http://schemas.openxmlformats.org/officeDocument/2006/relationships/hyperlink" Target="https://advance.lexis.com/api/document?collection=jury-instructions&amp;id=urn:contentItem:5T0Y-CDN0-01KN-B04V-00000-00&amp;context=" TargetMode="External"/><Relationship Id="rId1664" Type="http://schemas.openxmlformats.org/officeDocument/2006/relationships/hyperlink" Target="https://advance.lexis.com/api/document?collection=cases&amp;id=urn:contentItem:3RX4-CDH0-003G-20FY-00000-00&amp;context=" TargetMode="External"/><Relationship Id="rId1871" Type="http://schemas.openxmlformats.org/officeDocument/2006/relationships/hyperlink" Target="https://advance.lexis.com/api/document?collection=cases&amp;id=urn:contentItem:4SR0-C740-TX4N-G0P6-00000-00&amp;context=" TargetMode="External"/><Relationship Id="rId1317" Type="http://schemas.openxmlformats.org/officeDocument/2006/relationships/hyperlink" Target="https://advance.lexis.com/api/document?id=urn:contentItem:5T0Y-CDN0-01KN-B04M-00000-00&amp;idtype=PID&amp;context=1000516" TargetMode="External"/><Relationship Id="rId1524" Type="http://schemas.openxmlformats.org/officeDocument/2006/relationships/hyperlink" Target="https://advance.lexis.com/api/document?collection=cases&amp;id=urn:contentItem:3RX4-94B0-003G-205H-00000-00&amp;context=" TargetMode="External"/><Relationship Id="rId1731" Type="http://schemas.openxmlformats.org/officeDocument/2006/relationships/footer" Target="footer283.xml"/><Relationship Id="rId1969" Type="http://schemas.openxmlformats.org/officeDocument/2006/relationships/header" Target="header325.xml"/><Relationship Id="rId23" Type="http://schemas.openxmlformats.org/officeDocument/2006/relationships/hyperlink" Target="https://advance.lexis.com/api/document?id=urn:contentItem:5T0Y-CDN0-01KN-B01X-00000-00&amp;idtype=PID&amp;context=1000516" TargetMode="External"/><Relationship Id="rId1829" Type="http://schemas.openxmlformats.org/officeDocument/2006/relationships/hyperlink" Target="https://advance.lexis.com/api/document?id=urn:contentItem:5T0Y-CDN0-01KN-B05K-00000-00&amp;idtype=PID&amp;context=1000516" TargetMode="External"/><Relationship Id="rId2298" Type="http://schemas.openxmlformats.org/officeDocument/2006/relationships/header" Target="header390.xml"/><Relationship Id="rId172" Type="http://schemas.openxmlformats.org/officeDocument/2006/relationships/header" Target="header31.xml"/><Relationship Id="rId477" Type="http://schemas.openxmlformats.org/officeDocument/2006/relationships/hyperlink" Target="https://advance.lexis.com/api/document?collection=cases&amp;id=urn:contentItem:3RX4-BGD0-003G-23G0-00000-00&amp;context=" TargetMode="External"/><Relationship Id="rId684" Type="http://schemas.openxmlformats.org/officeDocument/2006/relationships/hyperlink" Target="https://advance.lexis.com/api/document?id=urn:contentItem:5T0Y-CDN0-01KN-B03M-00000-00&amp;idtype=PID&amp;context=1000516" TargetMode="External"/><Relationship Id="rId2060" Type="http://schemas.openxmlformats.org/officeDocument/2006/relationships/header" Target="header350.xml"/><Relationship Id="rId2158" Type="http://schemas.openxmlformats.org/officeDocument/2006/relationships/footer" Target="footer366.xml"/><Relationship Id="rId2365" Type="http://schemas.openxmlformats.org/officeDocument/2006/relationships/hyperlink" Target="https://advance.lexis.com/api/document?id=urn:contentItem:5T0Y-CDN0-01KN-B07N-00000-00&amp;idtype=PID&amp;context=1000516" TargetMode="External"/><Relationship Id="rId337" Type="http://schemas.openxmlformats.org/officeDocument/2006/relationships/hyperlink" Target="https://advance.lexis.com/api/document?collection=cases&amp;id=urn:contentItem:3RX4-CN10-003G-2157-00000-00&amp;context=" TargetMode="External"/><Relationship Id="rId891" Type="http://schemas.openxmlformats.org/officeDocument/2006/relationships/header" Target="header147.xml"/><Relationship Id="rId989" Type="http://schemas.openxmlformats.org/officeDocument/2006/relationships/hyperlink" Target="https://advance.lexis.com/api/document?collection=cases&amp;id=urn:contentItem:3RX4-BMH0-003G-23V5-00000-00&amp;context=" TargetMode="External"/><Relationship Id="rId2018" Type="http://schemas.openxmlformats.org/officeDocument/2006/relationships/header" Target="header331.xml"/><Relationship Id="rId544" Type="http://schemas.openxmlformats.org/officeDocument/2006/relationships/header" Target="header68.xml"/><Relationship Id="rId751" Type="http://schemas.openxmlformats.org/officeDocument/2006/relationships/hyperlink" Target="https://advance.lexis.com/api/document?collection=cases&amp;id=urn:contentItem:3S3J-Y8V0-003G-04P5-00000-00&amp;context=" TargetMode="External"/><Relationship Id="rId849" Type="http://schemas.openxmlformats.org/officeDocument/2006/relationships/hyperlink" Target="https://advance.lexis.com/api/document?collection=jury-instructions&amp;id=urn:contentItem:5T0Y-CDN0-01KN-B03R-00000-00&amp;context=" TargetMode="External"/><Relationship Id="rId1174" Type="http://schemas.openxmlformats.org/officeDocument/2006/relationships/header" Target="header178.xml"/><Relationship Id="rId1381" Type="http://schemas.openxmlformats.org/officeDocument/2006/relationships/footer" Target="footer220.xml"/><Relationship Id="rId1479" Type="http://schemas.openxmlformats.org/officeDocument/2006/relationships/hyperlink" Target="https://advance.lexis.com/api/document?collection=cases&amp;id=urn:contentItem:4NHV-9J10-0039-4361-00000-00&amp;context=" TargetMode="External"/><Relationship Id="rId1686" Type="http://schemas.openxmlformats.org/officeDocument/2006/relationships/footer" Target="footer273.xml"/><Relationship Id="rId2225" Type="http://schemas.openxmlformats.org/officeDocument/2006/relationships/hyperlink" Target="https://advance.lexis.com/api/document?collection=cases&amp;id=urn:contentItem:3S12-3B50-003D-Y044-00000-00&amp;context=" TargetMode="External"/><Relationship Id="rId2432" Type="http://schemas.openxmlformats.org/officeDocument/2006/relationships/hyperlink" Target="https://advance.lexis.com/api/document?collection=jury-instructions&amp;id=urn:contentItem:5T0Y-CDN0-01KN-B07N-00000-00&amp;context=" TargetMode="External"/><Relationship Id="rId404" Type="http://schemas.openxmlformats.org/officeDocument/2006/relationships/header" Target="header38.xml"/><Relationship Id="rId611" Type="http://schemas.openxmlformats.org/officeDocument/2006/relationships/header" Target="header87.xml"/><Relationship Id="rId1034" Type="http://schemas.openxmlformats.org/officeDocument/2006/relationships/header" Target="header160.xml"/><Relationship Id="rId1241" Type="http://schemas.openxmlformats.org/officeDocument/2006/relationships/footer" Target="footer188.xml"/><Relationship Id="rId1339" Type="http://schemas.openxmlformats.org/officeDocument/2006/relationships/hyperlink" Target="https://advance.lexis.com/api/document?collection=jury-instructions&amp;id=urn:contentItem:5T0Y-CDN0-01KN-B04F-00000-00&amp;context=" TargetMode="External"/><Relationship Id="rId1893" Type="http://schemas.openxmlformats.org/officeDocument/2006/relationships/footer" Target="footer311.xml"/><Relationship Id="rId709" Type="http://schemas.openxmlformats.org/officeDocument/2006/relationships/hyperlink" Target="https://advance.lexis.com/api/document?collection=cases&amp;id=urn:contentItem:46G4-B8M0-0039-44PJ-00000-00&amp;context=" TargetMode="External"/><Relationship Id="rId916" Type="http://schemas.openxmlformats.org/officeDocument/2006/relationships/hyperlink" Target="https://advance.lexis.com/api/document?collection=cases&amp;id=urn:contentItem:3RX4-42S0-003G-22KD-00000-00&amp;context=" TargetMode="External"/><Relationship Id="rId1101" Type="http://schemas.openxmlformats.org/officeDocument/2006/relationships/hyperlink" Target="https://advance.lexis.com/api/document?id=urn:contentItem:5T0Y-CDN0-01KN-B048-00000-00&amp;idtype=PID&amp;context=1000516" TargetMode="External"/><Relationship Id="rId1546" Type="http://schemas.openxmlformats.org/officeDocument/2006/relationships/hyperlink" Target="https://advance.lexis.com/api/document?collection=cases&amp;id=urn:contentItem:3RX4-8SK0-003G-24KW-00000-00&amp;context=" TargetMode="External"/><Relationship Id="rId1753" Type="http://schemas.openxmlformats.org/officeDocument/2006/relationships/hyperlink" Target="https://advance.lexis.com/api/document?collection=cases&amp;id=urn:contentItem:3RX4-C9B0-003G-2062-00000-00&amp;context=" TargetMode="External"/><Relationship Id="rId1960" Type="http://schemas.openxmlformats.org/officeDocument/2006/relationships/hyperlink" Target="https://advance.lexis.com/api/document?collection=cases&amp;id=urn:contentItem:3RX4-75S0-003G-202K-00000-00&amp;context=" TargetMode="External"/><Relationship Id="rId45" Type="http://schemas.openxmlformats.org/officeDocument/2006/relationships/hyperlink" Target="https://advance.lexis.com/api/document?collection=cases&amp;id=urn:contentItem:3RX4-BV30-003G-24B1-00000-00&amp;context=" TargetMode="External"/><Relationship Id="rId1406" Type="http://schemas.openxmlformats.org/officeDocument/2006/relationships/hyperlink" Target="https://advance.lexis.com/api/document?collection=jury-instructions&amp;id=urn:contentItem:5T0Y-CDN0-01KN-B04P-00000-00&amp;context=" TargetMode="External"/><Relationship Id="rId1613" Type="http://schemas.openxmlformats.org/officeDocument/2006/relationships/hyperlink" Target="https://advance.lexis.com/api/document?collection=cases&amp;id=urn:contentItem:3RRM-X8J0-003C-N2T2-00000-00&amp;context=" TargetMode="External"/><Relationship Id="rId1820" Type="http://schemas.openxmlformats.org/officeDocument/2006/relationships/hyperlink" Target="https://advance.lexis.com/api/document?collection=cases&amp;id=urn:contentItem:3RX4-92T0-003G-2022-00000-00&amp;context=" TargetMode="External"/><Relationship Id="rId194" Type="http://schemas.openxmlformats.org/officeDocument/2006/relationships/hyperlink" Target="https://advance.lexis.com/api/document?id=urn:contentItem:5T0Y-CDN0-01KN-B024-00000-00&amp;idtype=PID&amp;context=1000516" TargetMode="External"/><Relationship Id="rId1918" Type="http://schemas.openxmlformats.org/officeDocument/2006/relationships/footer" Target="footer320.xml"/><Relationship Id="rId2082" Type="http://schemas.openxmlformats.org/officeDocument/2006/relationships/hyperlink" Target="https://advance.lexis.com/api/document?collection=cases&amp;id=urn:contentItem:3RX4-9WK0-003G-2212-00000-00&amp;context=" TargetMode="External"/><Relationship Id="rId261" Type="http://schemas.openxmlformats.org/officeDocument/2006/relationships/hyperlink" Target="https://advance.lexis.com/api/document?collection=cases&amp;id=urn:contentItem:3RX4-39T0-003G-213D-00000-00&amp;context=" TargetMode="External"/><Relationship Id="rId499" Type="http://schemas.openxmlformats.org/officeDocument/2006/relationships/footer" Target="footer58.xml"/><Relationship Id="rId2387" Type="http://schemas.openxmlformats.org/officeDocument/2006/relationships/hyperlink" Target="https://advance.lexis.com/api/document?collection=jury-instructions&amp;id=urn:contentItem:5T0Y-CDN0-01KN-B07K-00000-00&amp;context=" TargetMode="External"/><Relationship Id="rId359" Type="http://schemas.openxmlformats.org/officeDocument/2006/relationships/hyperlink" Target="https://advance.lexis.com/api/document?collection=cases&amp;id=urn:contentItem:3RX4-8980-003G-23J4-00000-00&amp;context=" TargetMode="External"/><Relationship Id="rId566" Type="http://schemas.openxmlformats.org/officeDocument/2006/relationships/hyperlink" Target="https://advance.lexis.com/api/document?collection=cases&amp;id=urn:contentItem:3RX4-5K50-003G-20X8-00000-00&amp;context=" TargetMode="External"/><Relationship Id="rId773" Type="http://schemas.openxmlformats.org/officeDocument/2006/relationships/header" Target="header117.xml"/><Relationship Id="rId1196" Type="http://schemas.openxmlformats.org/officeDocument/2006/relationships/hyperlink" Target="https://advance.lexis.com/api/document?collection=jury-instructions&amp;id=urn:contentItem:5T0Y-CDN0-01KN-B047-00000-00&amp;context=" TargetMode="External"/><Relationship Id="rId2247" Type="http://schemas.openxmlformats.org/officeDocument/2006/relationships/footer" Target="footer378.xml"/><Relationship Id="rId2454" Type="http://schemas.openxmlformats.org/officeDocument/2006/relationships/hyperlink" Target="https://advance.lexis.com/api/document?collection=cases&amp;id=urn:contentItem:3RX4-B330-003G-22G3-00000-00&amp;context=" TargetMode="External"/><Relationship Id="rId121" Type="http://schemas.openxmlformats.org/officeDocument/2006/relationships/footer" Target="footer23.xml"/><Relationship Id="rId219" Type="http://schemas.openxmlformats.org/officeDocument/2006/relationships/hyperlink" Target="https://advance.lexis.com/api/document?collection=cases&amp;id=urn:contentItem:3RX4-4PX0-003G-2411-00000-00&amp;context=" TargetMode="External"/><Relationship Id="rId426" Type="http://schemas.openxmlformats.org/officeDocument/2006/relationships/footer" Target="footer46.xml"/><Relationship Id="rId633" Type="http://schemas.openxmlformats.org/officeDocument/2006/relationships/hyperlink" Target="https://advance.lexis.com/api/document?collection=cases&amp;id=urn:contentItem:3TGV-B6C0-0039-42CV-00000-00&amp;context=" TargetMode="External"/><Relationship Id="rId980" Type="http://schemas.openxmlformats.org/officeDocument/2006/relationships/hyperlink" Target="https://advance.lexis.com/api/document?collection=cases&amp;id=urn:contentItem:3RX4-4VH0-003G-247X-00000-00&amp;context=" TargetMode="External"/><Relationship Id="rId1056" Type="http://schemas.openxmlformats.org/officeDocument/2006/relationships/hyperlink" Target="https://advance.lexis.com/api/document?collection=cases&amp;id=urn:contentItem:3RX4-9SY0-003G-21S8-00000-00&amp;context=" TargetMode="External"/><Relationship Id="rId1263" Type="http://schemas.openxmlformats.org/officeDocument/2006/relationships/hyperlink" Target="https://advance.lexis.com/api/document?collection=cases&amp;id=urn:contentItem:3RX4-8WP0-003G-24WH-00000-00&amp;context=" TargetMode="External"/><Relationship Id="rId2107" Type="http://schemas.openxmlformats.org/officeDocument/2006/relationships/hyperlink" Target="https://advance.lexis.com/api/document?collection=cases&amp;id=urn:contentItem:3RX4-9XP0-003G-2234-00000-00&amp;context=" TargetMode="External"/><Relationship Id="rId2314" Type="http://schemas.openxmlformats.org/officeDocument/2006/relationships/hyperlink" Target="https://advance.lexis.com/api/document?collection=cases&amp;id=urn:contentItem:3S12-34X0-003D-Y4JR-00000-00&amp;context=" TargetMode="External"/><Relationship Id="rId840" Type="http://schemas.openxmlformats.org/officeDocument/2006/relationships/footer" Target="footer134.xml"/><Relationship Id="rId938" Type="http://schemas.openxmlformats.org/officeDocument/2006/relationships/footer" Target="footer150.xml"/><Relationship Id="rId1470" Type="http://schemas.openxmlformats.org/officeDocument/2006/relationships/footer" Target="footer246.xml"/><Relationship Id="rId1568" Type="http://schemas.openxmlformats.org/officeDocument/2006/relationships/hyperlink" Target="https://advance.lexis.com/api/document?collection=cases&amp;id=urn:contentItem:3RX4-4FJ0-003G-23FY-00000-00&amp;context=" TargetMode="External"/><Relationship Id="rId1775" Type="http://schemas.openxmlformats.org/officeDocument/2006/relationships/hyperlink" Target="https://advance.lexis.com/api/document?collection=cases&amp;id=urn:contentItem:3RX4-B3X0-003G-22J6-00000-00&amp;context=" TargetMode="External"/><Relationship Id="rId67" Type="http://schemas.openxmlformats.org/officeDocument/2006/relationships/header" Target="header14.xml"/><Relationship Id="rId700" Type="http://schemas.openxmlformats.org/officeDocument/2006/relationships/header" Target="header105.xml"/><Relationship Id="rId1123" Type="http://schemas.openxmlformats.org/officeDocument/2006/relationships/hyperlink" Target="https://advance.lexis.com/api/document?collection=jury-instructions&amp;id=urn:contentItem:5T0Y-CDN0-01KN-B043-00000-00&amp;context=" TargetMode="External"/><Relationship Id="rId1330" Type="http://schemas.openxmlformats.org/officeDocument/2006/relationships/footer" Target="footer200.xml"/><Relationship Id="rId1428" Type="http://schemas.openxmlformats.org/officeDocument/2006/relationships/hyperlink" Target="https://advance.lexis.com/api/document?id=urn:contentItem:5T0Y-CDN0-01KN-B050-00000-00&amp;idtype=PID&amp;context=1000516" TargetMode="External"/><Relationship Id="rId1635" Type="http://schemas.openxmlformats.org/officeDocument/2006/relationships/hyperlink" Target="https://advance.lexis.com/api/document?id=urn:contentItem:5T0Y-CDN0-01KN-B05G-00000-00&amp;idtype=PID&amp;context=1000516" TargetMode="External"/><Relationship Id="rId1982" Type="http://schemas.openxmlformats.org/officeDocument/2006/relationships/footer" Target="footer328.xml"/><Relationship Id="rId1842" Type="http://schemas.openxmlformats.org/officeDocument/2006/relationships/hyperlink" Target="https://advance.lexis.com/api/document?id=urn:contentItem:5T0Y-CDN0-01KN-B05V-00000-00&amp;idtype=PID&amp;context=1000516" TargetMode="External"/><Relationship Id="rId1702" Type="http://schemas.openxmlformats.org/officeDocument/2006/relationships/header" Target="header275.xml"/><Relationship Id="rId283" Type="http://schemas.openxmlformats.org/officeDocument/2006/relationships/hyperlink" Target="https://advance.lexis.com/api/document?id=urn:contentItem:5T0Y-CDN0-01KN-B020-00000-00&amp;idtype=PID&amp;context=1000516" TargetMode="External"/><Relationship Id="rId490" Type="http://schemas.openxmlformats.org/officeDocument/2006/relationships/header" Target="header55.xml"/><Relationship Id="rId2171" Type="http://schemas.openxmlformats.org/officeDocument/2006/relationships/hyperlink" Target="https://advance.lexis.com/api/document?id=urn:contentItem:5T0Y-CDN0-01KN-B07B-00000-00&amp;idtype=PID&amp;context=1000516"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35.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68.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101.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134.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167.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200.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233.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266.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299.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332.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368.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_rels/footer401.xml.rels><?xml version="1.0" encoding="UTF-8" standalone="yes"?>
<Relationships xmlns="http://schemas.openxmlformats.org/package/2006/relationships"><Relationship Id="rId3" Type="http://schemas.openxmlformats.org/officeDocument/2006/relationships/hyperlink" Target="http://www.lexisnexis.com/en-us/terms/privacy-policy.page" TargetMode="External"/><Relationship Id="rId2" Type="http://schemas.openxmlformats.org/officeDocument/2006/relationships/hyperlink" Target="http://www.lexisnexis.com/about-us/" TargetMode="External"/><Relationship Id="rId1" Type="http://schemas.openxmlformats.org/officeDocument/2006/relationships/image" Target="media/image2.jpeg"/><Relationship Id="rId5" Type="http://schemas.openxmlformats.org/officeDocument/2006/relationships/hyperlink" Target="http://www.lexisnexis.com/terms/copyright.aspx" TargetMode="External"/><Relationship Id="rId4" Type="http://schemas.openxmlformats.org/officeDocument/2006/relationships/hyperlink" Target="http://www.lexisnexis.com/terms/genera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351</Pages>
  <Words>133972</Words>
  <Characters>763643</Characters>
  <Application>Microsoft Office Word</Application>
  <DocSecurity>0</DocSecurity>
  <Lines>6363</Lines>
  <Paragraphs>1791</Paragraphs>
  <ScaleCrop>false</ScaleCrop>
  <HeadingPairs>
    <vt:vector size="2" baseType="variant">
      <vt:variant>
        <vt:lpstr>Title</vt:lpstr>
      </vt:variant>
      <vt:variant>
        <vt:i4>1</vt:i4>
      </vt:variant>
    </vt:vector>
  </HeadingPairs>
  <TitlesOfParts>
    <vt:vector size="1" baseType="lpstr">
      <vt:lpstr>MPJI-Cr 4:01.2</vt:lpstr>
    </vt:vector>
  </TitlesOfParts>
  <Company/>
  <LinksUpToDate>false</LinksUpToDate>
  <CharactersWithSpaces>895824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4:01.2</dc:title>
  <dc:creator>Michael Fiorenza</dc:creator>
  <cp:lastModifiedBy>Michael Fiorenza</cp:lastModifiedBy>
  <cp:revision>2</cp:revision>
  <dcterms:created xsi:type="dcterms:W3CDTF">2018-11-20T04:10:00Z</dcterms:created>
  <dcterms:modified xsi:type="dcterms:W3CDTF">2018-11-20T04:10:00Z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77923580</vt:lpwstr>
  </property>
  <property fmtid="{D5CDD505-2E9C-101B-9397-08002B2CF9AE}" pid="3" name="LADocCount">
    <vt:i4>11</vt:i4>
  </property>
  <property fmtid="{D5CDD505-2E9C-101B-9397-08002B2CF9AE}" pid="4" name="UserPermID">
    <vt:lpwstr>urn:user:PA182399192</vt:lpwstr>
  </property>
</Properties>
</file>