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8.9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7pt;height:30pt">
            <v:imagedata r:id="rId4" o:title=""/>
          </v:shape>
        </w:pict>
      </w:r>
    </w:p>
    <w:p>
      <w:pPr>
        <w:spacing w:before="360" w:line="260" w:lineRule="atLeast"/>
        <w:rPr>
          <w:lang w:val="en-US" w:eastAsia="en-US" w:bidi="ar-SA"/>
        </w:rPr>
      </w:pPr>
      <w:r>
        <w:rPr>
          <w:rFonts w:ascii="Arial" w:eastAsia="Arial" w:hAnsi="Arial" w:cs="Arial"/>
          <w:b/>
          <w:color w:val="000000"/>
          <w:sz w:val="20"/>
          <w:lang w:val="en-US" w:eastAsia="en-US" w:bidi="ar-SA"/>
        </w:rPr>
        <w:t xml:space="preserve">User Name: </w:t>
      </w:r>
      <w:r>
        <w:rPr>
          <w:rFonts w:ascii="Arial" w:eastAsia="Arial" w:hAnsi="Arial" w:cs="Arial"/>
          <w:color w:val="000000"/>
          <w:sz w:val="20"/>
          <w:lang w:val="en-US" w:eastAsia="en-US" w:bidi="ar-SA"/>
        </w:rPr>
        <w:t>Michael Fiorenza</w:t>
      </w:r>
    </w:p>
    <w:p>
      <w:pPr>
        <w:spacing w:before="80" w:line="240" w:lineRule="atLeas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Monday, November 19, 2018 10:46:00 PM EST</w:t>
      </w:r>
    </w:p>
    <w:p>
      <w:pPr>
        <w:spacing w:before="80" w:line="240" w:lineRule="atLeas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77923540</w:t>
      </w:r>
    </w:p>
    <w:p>
      <w:pPr>
        <w:spacing w:before="360" w:line="360" w:lineRule="atLeast"/>
        <w:jc w:val="both"/>
        <w:rPr>
          <w:lang w:val="en-US" w:eastAsia="en-US" w:bidi="ar-SA"/>
        </w:rPr>
      </w:pPr>
      <w:r>
        <w:rPr>
          <w:rFonts w:ascii="Arial" w:eastAsia="Arial" w:hAnsi="Arial" w:cs="Arial"/>
          <w:b/>
          <w:color w:val="000000"/>
          <w:lang w:val="en-US" w:eastAsia="en-US" w:bidi="ar-SA"/>
        </w:rPr>
        <w:t>Documents (12)</w:t>
      </w:r>
    </w:p>
    <w:p>
      <w:pPr>
        <w:spacing w:before="200" w:line="300" w:lineRule="atLeast"/>
        <w:ind w:left="440" w:hanging="290"/>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lang w:val="en-US" w:eastAsia="en-US" w:bidi="ar-SA"/>
          </w:rPr>
          <w:t xml:space="preserve"> </w:t>
        </w:r>
      </w:hyperlink>
      <w:hyperlink r:id="rId5" w:history="1">
        <w:r>
          <w:rPr>
            <w:rFonts w:ascii="Arial" w:eastAsia="Arial" w:hAnsi="Arial" w:cs="Arial"/>
            <w:i/>
            <w:color w:val="0077CC"/>
            <w:sz w:val="20"/>
            <w:u w:val="single"/>
            <w:lang w:val="en-US" w:eastAsia="en-US" w:bidi="ar-SA"/>
          </w:rPr>
          <w:t>Alibi</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line="300" w:lineRule="atLeast"/>
        <w:ind w:left="440" w:hanging="290"/>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lang w:val="en-US" w:eastAsia="en-US" w:bidi="ar-SA"/>
          </w:rPr>
          <w:t xml:space="preserve"> </w:t>
        </w:r>
      </w:hyperlink>
      <w:hyperlink r:id="rId6" w:history="1">
        <w:r>
          <w:rPr>
            <w:rFonts w:ascii="Arial" w:eastAsia="Arial" w:hAnsi="Arial" w:cs="Arial"/>
            <w:i/>
            <w:color w:val="0077CC"/>
            <w:sz w:val="20"/>
            <w:u w:val="single"/>
            <w:lang w:val="en-US" w:eastAsia="en-US" w:bidi="ar-SA"/>
          </w:rPr>
          <w:t>Defense of Others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line="300" w:lineRule="atLeast"/>
        <w:ind w:left="440" w:hanging="290"/>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lang w:val="en-US" w:eastAsia="en-US" w:bidi="ar-SA"/>
          </w:rPr>
          <w:t xml:space="preserve"> </w:t>
        </w:r>
      </w:hyperlink>
      <w:hyperlink r:id="rId7" w:history="1">
        <w:r>
          <w:rPr>
            <w:rFonts w:ascii="Arial" w:eastAsia="Arial" w:hAnsi="Arial" w:cs="Arial"/>
            <w:i/>
            <w:color w:val="0077CC"/>
            <w:sz w:val="20"/>
            <w:u w:val="single"/>
            <w:lang w:val="en-US" w:eastAsia="en-US" w:bidi="ar-SA"/>
          </w:rPr>
          <w:t>Defense of Habitation--Deadly Force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line="300" w:lineRule="atLeast"/>
        <w:ind w:left="440" w:hanging="290"/>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lang w:val="en-US" w:eastAsia="en-US" w:bidi="ar-SA"/>
          </w:rPr>
          <w:t xml:space="preserve"> </w:t>
        </w:r>
      </w:hyperlink>
      <w:hyperlink r:id="rId8" w:history="1">
        <w:r>
          <w:rPr>
            <w:rFonts w:ascii="Arial" w:eastAsia="Arial" w:hAnsi="Arial" w:cs="Arial"/>
            <w:i/>
            <w:color w:val="0077CC"/>
            <w:sz w:val="20"/>
            <w:u w:val="single"/>
            <w:lang w:val="en-US" w:eastAsia="en-US" w:bidi="ar-SA"/>
          </w:rPr>
          <w:t>Defense of Property--Nondeadly Force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line="300" w:lineRule="atLeast"/>
        <w:ind w:left="440" w:hanging="290"/>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lang w:val="en-US" w:eastAsia="en-US" w:bidi="ar-SA"/>
          </w:rPr>
          <w:t xml:space="preserve"> </w:t>
        </w:r>
      </w:hyperlink>
      <w:hyperlink r:id="rId9" w:history="1">
        <w:r>
          <w:rPr>
            <w:rFonts w:ascii="Arial" w:eastAsia="Arial" w:hAnsi="Arial" w:cs="Arial"/>
            <w:i/>
            <w:color w:val="0077CC"/>
            <w:sz w:val="20"/>
            <w:u w:val="single"/>
            <w:lang w:val="en-US" w:eastAsia="en-US" w:bidi="ar-SA"/>
          </w:rPr>
          <w:t>Duress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line="300" w:lineRule="atLeast"/>
        <w:ind w:left="440" w:hanging="290"/>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lang w:val="en-US" w:eastAsia="en-US" w:bidi="ar-SA"/>
          </w:rPr>
          <w:t xml:space="preserve"> </w:t>
        </w:r>
      </w:hyperlink>
      <w:hyperlink r:id="rId10" w:history="1">
        <w:r>
          <w:rPr>
            <w:rFonts w:ascii="Arial" w:eastAsia="Arial" w:hAnsi="Arial" w:cs="Arial"/>
            <w:i/>
            <w:color w:val="0077CC"/>
            <w:sz w:val="20"/>
            <w:u w:val="single"/>
            <w:lang w:val="en-US" w:eastAsia="en-US" w:bidi="ar-SA"/>
          </w:rPr>
          <w:t>Entrapment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line="300" w:lineRule="atLeast"/>
        <w:ind w:left="440" w:hanging="290"/>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lang w:val="en-US" w:eastAsia="en-US" w:bidi="ar-SA"/>
          </w:rPr>
          <w:t xml:space="preserve"> </w:t>
        </w:r>
      </w:hyperlink>
      <w:hyperlink r:id="rId11" w:history="1">
        <w:r>
          <w:rPr>
            <w:rFonts w:ascii="Arial" w:eastAsia="Arial" w:hAnsi="Arial" w:cs="Arial"/>
            <w:i/>
            <w:color w:val="0077CC"/>
            <w:sz w:val="20"/>
            <w:u w:val="single"/>
            <w:lang w:val="en-US" w:eastAsia="en-US" w:bidi="ar-SA"/>
          </w:rPr>
          <w:t>Insanity--Nonbifurcated Proceeding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line="300" w:lineRule="atLeast"/>
        <w:ind w:left="440" w:hanging="290"/>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lang w:val="en-US" w:eastAsia="en-US" w:bidi="ar-SA"/>
          </w:rPr>
          <w:t xml:space="preserve"> </w:t>
        </w:r>
      </w:hyperlink>
      <w:hyperlink r:id="rId12" w:history="1">
        <w:r>
          <w:rPr>
            <w:rFonts w:ascii="Arial" w:eastAsia="Arial" w:hAnsi="Arial" w:cs="Arial"/>
            <w:i/>
            <w:color w:val="0077CC"/>
            <w:sz w:val="20"/>
            <w:u w:val="single"/>
            <w:lang w:val="en-US" w:eastAsia="en-US" w:bidi="ar-SA"/>
          </w:rPr>
          <w:t>Insanity--Bifurcated Proceeding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line="300" w:lineRule="atLeast"/>
        <w:ind w:left="440" w:hanging="290"/>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lang w:val="en-US" w:eastAsia="en-US" w:bidi="ar-SA"/>
          </w:rPr>
          <w:t xml:space="preserve"> </w:t>
        </w:r>
      </w:hyperlink>
      <w:hyperlink r:id="rId13" w:history="1">
        <w:r>
          <w:rPr>
            <w:rFonts w:ascii="Arial" w:eastAsia="Arial" w:hAnsi="Arial" w:cs="Arial"/>
            <w:i/>
            <w:color w:val="0077CC"/>
            <w:sz w:val="20"/>
            <w:u w:val="single"/>
            <w:lang w:val="en-US" w:eastAsia="en-US" w:bidi="ar-SA"/>
          </w:rPr>
          <w:t>Mistake of Fact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line="300" w:lineRule="atLeast"/>
        <w:ind w:left="440" w:hanging="290"/>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lang w:val="en-US" w:eastAsia="en-US" w:bidi="ar-SA"/>
          </w:rPr>
          <w:t xml:space="preserve"> </w:t>
        </w:r>
      </w:hyperlink>
      <w:hyperlink r:id="rId14" w:history="1">
        <w:r>
          <w:rPr>
            <w:rFonts w:ascii="Arial" w:eastAsia="Arial" w:hAnsi="Arial" w:cs="Arial"/>
            <w:i/>
            <w:color w:val="0077CC"/>
            <w:sz w:val="20"/>
            <w:u w:val="single"/>
            <w:lang w:val="en-US" w:eastAsia="en-US" w:bidi="ar-SA"/>
          </w:rPr>
          <w:t>Self-Defense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line="300" w:lineRule="atLeast"/>
        <w:ind w:left="440" w:hanging="290"/>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lang w:val="en-US" w:eastAsia="en-US" w:bidi="ar-SA"/>
          </w:rPr>
          <w:t xml:space="preserve"> </w:t>
        </w:r>
      </w:hyperlink>
      <w:hyperlink r:id="rId15" w:history="1">
        <w:r>
          <w:rPr>
            <w:rFonts w:ascii="Arial" w:eastAsia="Arial" w:hAnsi="Arial" w:cs="Arial"/>
            <w:i/>
            <w:color w:val="0077CC"/>
            <w:sz w:val="20"/>
            <w:u w:val="single"/>
            <w:lang w:val="en-US" w:eastAsia="en-US" w:bidi="ar-SA"/>
          </w:rPr>
          <w:t>Voluntary Intoxication--Specific Intent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line="300" w:lineRule="atLeast"/>
        <w:ind w:left="440" w:hanging="290"/>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lang w:val="en-US" w:eastAsia="en-US" w:bidi="ar-SA"/>
          </w:rPr>
          <w:t xml:space="preserve"> </w:t>
        </w:r>
      </w:hyperlink>
      <w:hyperlink r:id="rId16" w:history="1">
        <w:r>
          <w:rPr>
            <w:rFonts w:ascii="Arial" w:eastAsia="Arial" w:hAnsi="Arial" w:cs="Arial"/>
            <w:i/>
            <w:color w:val="0077CC"/>
            <w:sz w:val="20"/>
            <w:u w:val="single"/>
            <w:lang w:val="en-US" w:eastAsia="en-US" w:bidi="ar-SA"/>
          </w:rPr>
          <w:t>Territorial Jurisdiction</w:t>
        </w:r>
      </w:hyperlink>
    </w:p>
    <w:p>
      <w:pPr>
        <w:spacing w:before="80" w:line="240" w:lineRule="atLeast"/>
        <w:ind w:left="290"/>
        <w:rPr>
          <w:lang w:val="en-US" w:eastAsia="en-US" w:bidi="ar-SA"/>
        </w:rPr>
        <w:sectPr>
          <w:headerReference w:type="even" r:id="rId17"/>
          <w:headerReference w:type="default" r:id="rId18"/>
          <w:footerReference w:type="even" r:id="rId19"/>
          <w:footerReference w:type="default" r:id="rId20"/>
          <w:headerReference w:type="first" r:id="rId21"/>
          <w:footerReference w:type="first" r:id="rId22"/>
          <w:type w:val="nextPage"/>
          <w:pgMar w:top="840" w:right="1080" w:bottom="840" w:left="1080" w:header="0" w:footer="0"/>
          <w:pgNumType w:fmt="decimal"/>
          <w:cols w:space="720"/>
        </w:sect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rPr>
          <w:lang w:val="en-US" w:eastAsia="en-US" w:bidi="ar-SA"/>
        </w:rPr>
        <w:sectPr>
          <w:headerReference w:type="even" r:id="rId23"/>
          <w:headerReference w:type="default" r:id="rId24"/>
          <w:footerReference w:type="even" r:id="rId25"/>
          <w:footerReference w:type="default" r:id="rId26"/>
          <w:headerReference w:type="first" r:id="rId27"/>
          <w:footerReference w:type="first" r:id="rId28"/>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7pt;height:30pt">
            <v:imagedata r:id="rId4" o:title=""/>
          </v:shape>
        </w:pict>
      </w:r>
      <w:r>
        <w:rPr>
          <w:lang w:val="en-US" w:eastAsia="en-US" w:bidi="ar-SA"/>
        </w:rPr>
        <w:cr/>
      </w:r>
    </w:p>
    <w:p>
      <w:pPr>
        <w:spacing w:before="240" w:after="200" w:line="340" w:lineRule="atLeast"/>
        <w:jc w:val="center"/>
        <w:outlineLvl w:val="0"/>
        <w:rPr>
          <w:rFonts w:ascii="Arial" w:hAnsi="Arial" w:cs="Arial"/>
          <w:b/>
          <w:bCs/>
          <w:kern w:val="32"/>
          <w:sz w:val="32"/>
          <w:szCs w:val="32"/>
          <w:lang w:val="en-US" w:eastAsia="en-US" w:bidi="ar-SA"/>
        </w:rPr>
      </w:pPr>
      <w:hyperlink r:id="rId29" w:history="1">
        <w:r>
          <w:rPr>
            <w:rFonts w:ascii="arial" w:eastAsia="arial" w:hAnsi="arial" w:cs="arial"/>
            <w:b/>
            <w:bCs/>
            <w:i/>
            <w:color w:val="0077CC"/>
            <w:kern w:val="32"/>
            <w:sz w:val="28"/>
            <w:szCs w:val="32"/>
            <w:u w:val="single"/>
            <w:lang w:val="en-US" w:eastAsia="en-US" w:bidi="ar-SA"/>
          </w:rPr>
          <w:t>MPJI-Cr 5:00</w:t>
        </w:r>
      </w:hyperlink>
    </w:p>
    <w:p>
      <w:pPr>
        <w:spacing w:line="240" w:lineRule="atLeast"/>
        <w:jc w:val="both"/>
        <w:rPr>
          <w:lang w:val="en-US" w:eastAsia="en-US" w:bidi="ar-SA"/>
        </w:rPr>
      </w:pPr>
    </w:p>
    <w:p>
      <w:pPr>
        <w:spacing w:before="200" w:line="280" w:lineRule="atLeast"/>
        <w:rPr>
          <w:lang w:val="en-US" w:eastAsia="en-US" w:bidi="ar-SA"/>
        </w:rPr>
      </w:pPr>
      <w:r>
        <w:rPr>
          <w:rFonts w:ascii="arial" w:eastAsia="arial" w:hAnsi="arial" w:cs="arial"/>
          <w:b/>
          <w:i/>
          <w:color w:val="000000"/>
          <w:sz w:val="22"/>
          <w:lang w:val="en-US" w:eastAsia="en-US" w:bidi="ar-SA"/>
        </w:rPr>
        <w:t>Maryland Criminal Pattern Jury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CHAPTER 5 DEFENSES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ALIBI</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5:00Alibi</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color w:val="000000"/>
          <w:sz w:val="20"/>
          <w:lang w:val="en-US" w:eastAsia="en-US" w:bidi="ar-SA"/>
        </w:rPr>
        <w:t>You have heard evidence that the defendant was not present when the crime was committed. You should consider this evidence along with all other evidence in this case. In order to convict the defendant, the State must prove, beyond a reasonable doubt, that the crime was committed and the defendant committed it</w:t>
      </w:r>
      <w:r>
        <w:rPr>
          <w:rFonts w:ascii="arial" w:eastAsia="arial" w:hAnsi="arial" w:cs="arial"/>
          <w:color w:val="000000"/>
          <w:sz w:val="20"/>
          <w:lang w:val="en-US" w:eastAsia="en-US" w:bidi="ar-SA"/>
        </w:rPr>
        <w:t>.</w:t>
      </w:r>
    </w:p>
    <w:p>
      <w:pPr>
        <w:rPr>
          <w:lang w:val="en-US" w:eastAsia="en-US" w:bidi="ar-SA"/>
        </w:rPr>
      </w:pPr>
    </w:p>
    <w:tbl>
      <w:tblPr>
        <w:tblStyle w:val="TableNormal"/>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
      <w:tblGrid>
        <w:gridCol w:w="10240"/>
      </w:tblGrid>
      <w:tr>
        <w:tblPrEx>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Ex>
        <w:tc>
          <w:tcPr>
            <w:tcW w:w="10240" w:type="dxa"/>
            <w:vAlign w:val="center"/>
          </w:tcPr>
          <w:p>
            <w:pPr>
              <w:spacing w:before="240" w:line="260" w:lineRule="atLeast"/>
              <w:ind w:left="60" w:right="360"/>
              <w:rPr>
                <w:lang w:val="en-US" w:eastAsia="en-US" w:bidi="ar-SA"/>
              </w:rPr>
            </w:pPr>
            <w:r>
              <w:rPr>
                <w:rFonts w:ascii="arial" w:eastAsia="arial" w:hAnsi="arial" w:cs="arial"/>
                <w:b/>
                <w:color w:val="000000"/>
                <w:sz w:val="20"/>
                <w:lang w:val="en-US" w:eastAsia="en-US" w:bidi="ar-SA"/>
              </w:rPr>
              <w:t> </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COMMENT</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An alibi is not an affirmative defense; it is evidence put forth by the defendant in an attempt to negate the State's evidence of criminal agency. Due process requires the State to establish the defendant's criminal agency beyond a reasonable doubt. </w:t>
            </w:r>
            <w:hyperlink r:id="rId30" w:history="1">
              <w:r>
                <w:rPr>
                  <w:rFonts w:ascii="arial" w:eastAsia="arial" w:hAnsi="arial" w:cs="arial"/>
                  <w:i/>
                  <w:color w:val="0077CC"/>
                  <w:sz w:val="20"/>
                  <w:u w:val="single"/>
                  <w:lang w:val="en-US" w:eastAsia="en-US" w:bidi="ar-SA"/>
                </w:rPr>
                <w:t>Davis v. State, 285 Md. 19, 24-31, 400 A.2d 406, 408-12 (1979);</w:t>
              </w:r>
            </w:hyperlink>
            <w:r>
              <w:rPr>
                <w:rFonts w:ascii="arial" w:eastAsia="arial" w:hAnsi="arial" w:cs="arial"/>
                <w:color w:val="000000"/>
                <w:sz w:val="20"/>
                <w:lang w:val="en-US" w:eastAsia="en-US" w:bidi="ar-SA"/>
              </w:rPr>
              <w:t xml:space="preserve"> </w:t>
            </w:r>
            <w:hyperlink r:id="rId31" w:history="1">
              <w:r>
                <w:rPr>
                  <w:rFonts w:ascii="arial" w:eastAsia="arial" w:hAnsi="arial" w:cs="arial"/>
                  <w:i/>
                  <w:color w:val="0077CC"/>
                  <w:sz w:val="20"/>
                  <w:u w:val="single"/>
                  <w:lang w:val="en-US" w:eastAsia="en-US" w:bidi="ar-SA"/>
                </w:rPr>
                <w:t>State v. Grady, 276 Md. 178, 345 A.2d 436 (1975);</w:t>
              </w:r>
            </w:hyperlink>
            <w:r>
              <w:rPr>
                <w:rFonts w:ascii="arial" w:eastAsia="arial" w:hAnsi="arial" w:cs="arial"/>
                <w:color w:val="000000"/>
                <w:sz w:val="20"/>
                <w:lang w:val="en-US" w:eastAsia="en-US" w:bidi="ar-SA"/>
              </w:rPr>
              <w:t xml:space="preserve"> </w:t>
            </w:r>
            <w:hyperlink r:id="rId32" w:history="1">
              <w:r>
                <w:rPr>
                  <w:rFonts w:ascii="arial" w:eastAsia="arial" w:hAnsi="arial" w:cs="arial"/>
                  <w:i/>
                  <w:color w:val="0077CC"/>
                  <w:sz w:val="20"/>
                  <w:u w:val="single"/>
                  <w:lang w:val="en-US" w:eastAsia="en-US" w:bidi="ar-SA"/>
                </w:rPr>
                <w:t>Robertson v. State, 112 Md. App. 366, 382, 685 A.2d 805, 814-15 (1996);</w:t>
              </w:r>
            </w:hyperlink>
            <w:r>
              <w:rPr>
                <w:rFonts w:ascii="arial" w:eastAsia="arial" w:hAnsi="arial" w:cs="arial"/>
                <w:color w:val="000000"/>
                <w:sz w:val="20"/>
                <w:lang w:val="en-US" w:eastAsia="en-US" w:bidi="ar-SA"/>
              </w:rPr>
              <w:t xml:space="preserve"> RICHARD P. GILBERT &amp; CHARLES E. MOYLAN JR., MARYLAND CRIMINAL LAW: PRACTICE &amp; PROCEDURE § 45.3, at 598-600 (1983 &amp; Supp. 1990). Thus, the defendant is entitled to an alibi instruction when the issue of alibi is generated by the evidence, even if the issue is generated solely by the prosecution. </w:t>
            </w:r>
            <w:r>
              <w:rPr>
                <w:rFonts w:ascii="arial" w:eastAsia="arial" w:hAnsi="arial" w:cs="arial"/>
                <w:i/>
                <w:color w:val="000000"/>
                <w:sz w:val="20"/>
                <w:lang w:val="en-US" w:eastAsia="en-US" w:bidi="ar-SA"/>
              </w:rPr>
              <w:t xml:space="preserve">See </w:t>
            </w:r>
            <w:hyperlink r:id="rId33" w:history="1">
              <w:r>
                <w:rPr>
                  <w:rFonts w:ascii="arial" w:eastAsia="arial" w:hAnsi="arial" w:cs="arial"/>
                  <w:i/>
                  <w:color w:val="0077CC"/>
                  <w:sz w:val="20"/>
                  <w:u w:val="single"/>
                  <w:lang w:val="en-US" w:eastAsia="en-US" w:bidi="ar-SA"/>
                </w:rPr>
                <w:t>Robinson v. State, 20 Md. App. 450, 316 A.2d 268 (1974);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accord </w:t>
            </w:r>
            <w:hyperlink r:id="rId34" w:history="1">
              <w:r>
                <w:rPr>
                  <w:rFonts w:ascii="arial" w:eastAsia="arial" w:hAnsi="arial" w:cs="arial"/>
                  <w:i/>
                  <w:color w:val="0077CC"/>
                  <w:sz w:val="20"/>
                  <w:u w:val="single"/>
                  <w:lang w:val="en-US" w:eastAsia="en-US" w:bidi="ar-SA"/>
                </w:rPr>
                <w:t>State v. Simms, 420 Md. 705, 25 A.3d 144 (2011)</w:t>
              </w:r>
            </w:hyperlink>
            <w:r>
              <w:rPr>
                <w:rFonts w:ascii="arial" w:eastAsia="arial" w:hAnsi="arial" w:cs="arial"/>
                <w:color w:val="000000"/>
                <w:sz w:val="20"/>
                <w:lang w:val="en-US" w:eastAsia="en-US" w:bidi="ar-SA"/>
              </w:rPr>
              <w:t xml:space="preserve"> (State may not use notice of an alibi defense to impeach a defendant who rests without presenting evidence); </w:t>
            </w:r>
            <w:hyperlink r:id="rId35" w:history="1">
              <w:r>
                <w:rPr>
                  <w:rFonts w:ascii="arial" w:eastAsia="arial" w:hAnsi="arial" w:cs="arial"/>
                  <w:i/>
                  <w:color w:val="0077CC"/>
                  <w:sz w:val="20"/>
                  <w:u w:val="single"/>
                  <w:lang w:val="en-US" w:eastAsia="en-US" w:bidi="ar-SA"/>
                </w:rPr>
                <w:t>In re Parris W., 363 Md. 717, 729, 770 A.2d 202, 209 (2001)</w:t>
              </w:r>
            </w:hyperlink>
            <w:r>
              <w:rPr>
                <w:rFonts w:ascii="arial" w:eastAsia="arial" w:hAnsi="arial" w:cs="arial"/>
                <w:color w:val="000000"/>
                <w:sz w:val="20"/>
                <w:lang w:val="en-US" w:eastAsia="en-US" w:bidi="ar-SA"/>
              </w:rPr>
              <w:t xml:space="preserve"> (reaffirming that an alibi is not an affirmative defense, but rather evidence that challenges criminal agency, and citing MPJI-Cr 5:00).</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The instruction does not contain the word "alibi" because it may incorrectly suggest that alibi is an affirmative defense. The Committee considered </w:t>
            </w:r>
            <w:hyperlink r:id="rId36" w:history="1">
              <w:r>
                <w:rPr>
                  <w:rFonts w:ascii="arial" w:eastAsia="arial" w:hAnsi="arial" w:cs="arial"/>
                  <w:i/>
                  <w:color w:val="0077CC"/>
                  <w:sz w:val="20"/>
                  <w:u w:val="single"/>
                  <w:lang w:val="en-US" w:eastAsia="en-US" w:bidi="ar-SA"/>
                </w:rPr>
                <w:t>Smith v. State, 302 Md. 175, 180, 486 A.2d 196, 198 (1985),</w:t>
              </w:r>
            </w:hyperlink>
            <w:r>
              <w:rPr>
                <w:rFonts w:ascii="arial" w:eastAsia="arial" w:hAnsi="arial" w:cs="arial"/>
                <w:color w:val="000000"/>
                <w:sz w:val="20"/>
                <w:lang w:val="en-US" w:eastAsia="en-US" w:bidi="ar-SA"/>
              </w:rPr>
              <w:t xml:space="preserve"> and </w:t>
            </w:r>
            <w:hyperlink r:id="rId37" w:history="1">
              <w:r>
                <w:rPr>
                  <w:rFonts w:ascii="arial" w:eastAsia="arial" w:hAnsi="arial" w:cs="arial"/>
                  <w:i/>
                  <w:color w:val="0077CC"/>
                  <w:sz w:val="20"/>
                  <w:u w:val="single"/>
                  <w:lang w:val="en-US" w:eastAsia="en-US" w:bidi="ar-SA"/>
                </w:rPr>
                <w:t>Pulley v. State, 38 Md. App. 682, 686-91, 382 A.2d 621, 624-26 (1978),</w:t>
              </w:r>
            </w:hyperlink>
            <w:r>
              <w:rPr>
                <w:rFonts w:ascii="arial" w:eastAsia="arial" w:hAnsi="arial" w:cs="arial"/>
                <w:color w:val="000000"/>
                <w:sz w:val="20"/>
                <w:lang w:val="en-US" w:eastAsia="en-US" w:bidi="ar-SA"/>
              </w:rPr>
              <w:t xml:space="preserve"> both of which held that even though alibi evidence merely goes to negate criminal agency and thus is "fairly covered" by more general instructions on criminal agency and burden of persuasion, a separate alibi instruction must be given if an alibi issue has been generated and the defendant requests such an instruction. </w:t>
            </w:r>
            <w:r>
              <w:rPr>
                <w:rFonts w:ascii="arial" w:eastAsia="arial" w:hAnsi="arial" w:cs="arial"/>
                <w:i/>
                <w:color w:val="000000"/>
                <w:sz w:val="20"/>
                <w:lang w:val="en-US" w:eastAsia="en-US" w:bidi="ar-SA"/>
              </w:rPr>
              <w:t xml:space="preserve">See </w:t>
            </w:r>
            <w:hyperlink r:id="rId38" w:history="1">
              <w:r>
                <w:rPr>
                  <w:rFonts w:ascii="arial" w:eastAsia="arial" w:hAnsi="arial" w:cs="arial"/>
                  <w:i/>
                  <w:color w:val="0077CC"/>
                  <w:sz w:val="20"/>
                  <w:u w:val="single"/>
                  <w:lang w:val="en-US" w:eastAsia="en-US" w:bidi="ar-SA"/>
                </w:rPr>
                <w:t>Schmitt v. State, 140 Md. App. 1, 779 A.2d 1004 (2001),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367 Md. 88, 785 A.2d 1291 (2001).</w:t>
            </w:r>
            <w:r>
              <w:rPr>
                <w:rFonts w:ascii="arial" w:eastAsia="arial" w:hAnsi="arial" w:cs="arial"/>
                <w:color w:val="000000"/>
                <w:sz w:val="20"/>
                <w:lang w:val="en-US" w:eastAsia="en-US" w:bidi="ar-SA"/>
              </w:rPr>
              <w:t xml:space="preserve"> The Committee's separate alibi instruction was designed to satisfy the requirements of </w:t>
            </w:r>
            <w:r>
              <w:rPr>
                <w:rFonts w:ascii="arial" w:eastAsia="arial" w:hAnsi="arial" w:cs="arial"/>
                <w:i/>
                <w:color w:val="000000"/>
                <w:sz w:val="20"/>
                <w:lang w:val="en-US" w:eastAsia="en-US" w:bidi="ar-SA"/>
              </w:rPr>
              <w:t>Smith</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Pulley</w:t>
            </w:r>
            <w:r>
              <w:rPr>
                <w:rFonts w:ascii="arial" w:eastAsia="arial" w:hAnsi="arial" w:cs="arial"/>
                <w:color w:val="000000"/>
                <w:sz w:val="20"/>
                <w:lang w:val="en-US" w:eastAsia="en-US" w:bidi="ar-SA"/>
              </w:rPr>
              <w:t xml:space="preserve">. When the State proves beyond a reasonable doubt that the crime was committed and that the defendant committed it, it proves beyond a reasonable doubt that the defendant was present, which, </w:t>
            </w:r>
            <w:r>
              <w:rPr>
                <w:rFonts w:ascii="arial" w:eastAsia="arial" w:hAnsi="arial" w:cs="arial"/>
                <w:i/>
                <w:color w:val="000000"/>
                <w:sz w:val="20"/>
                <w:lang w:val="en-US" w:eastAsia="en-US" w:bidi="ar-SA"/>
              </w:rPr>
              <w:t>ipso facto</w:t>
            </w:r>
            <w:r>
              <w:rPr>
                <w:rFonts w:ascii="arial" w:eastAsia="arial" w:hAnsi="arial" w:cs="arial"/>
                <w:color w:val="000000"/>
                <w:sz w:val="20"/>
                <w:lang w:val="en-US" w:eastAsia="en-US" w:bidi="ar-SA"/>
              </w:rPr>
              <w:t xml:space="preserve">, proves beyond a reasonable doubt that the defendant was not elsewhere. </w:t>
            </w:r>
            <w:r>
              <w:rPr>
                <w:rFonts w:ascii="arial" w:eastAsia="arial" w:hAnsi="arial" w:cs="arial"/>
                <w:i/>
                <w:color w:val="000000"/>
                <w:sz w:val="20"/>
                <w:lang w:val="en-US" w:eastAsia="en-US" w:bidi="ar-SA"/>
              </w:rPr>
              <w:t xml:space="preserve">See </w:t>
            </w:r>
            <w:hyperlink r:id="rId31" w:history="1">
              <w:r>
                <w:rPr>
                  <w:rFonts w:ascii="arial" w:eastAsia="arial" w:hAnsi="arial" w:cs="arial"/>
                  <w:i/>
                  <w:color w:val="0077CC"/>
                  <w:sz w:val="20"/>
                  <w:u w:val="single"/>
                  <w:lang w:val="en-US" w:eastAsia="en-US" w:bidi="ar-SA"/>
                </w:rPr>
                <w:t>Grady, 276 Md. at 178, 345 A.2d at 436.</w:t>
              </w:r>
            </w:hyperlink>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If the State files a discovery request for alibi witnesses, pursuant to MD. RULE 4-263(d)(3), and the defendant does not comply with the discovery request, the court may prohibit the defendant from calling alibi witnesses. MD. RULES 4-263(i), 4-263(n); </w:t>
            </w:r>
            <w:r>
              <w:rPr>
                <w:rFonts w:ascii="arial" w:eastAsia="arial" w:hAnsi="arial" w:cs="arial"/>
                <w:i/>
                <w:color w:val="000000"/>
                <w:sz w:val="20"/>
                <w:lang w:val="en-US" w:eastAsia="en-US" w:bidi="ar-SA"/>
              </w:rPr>
              <w:t xml:space="preserve">see </w:t>
            </w:r>
            <w:hyperlink r:id="rId39" w:history="1">
              <w:r>
                <w:rPr>
                  <w:rFonts w:ascii="arial" w:eastAsia="arial" w:hAnsi="arial" w:cs="arial"/>
                  <w:i/>
                  <w:color w:val="0077CC"/>
                  <w:sz w:val="20"/>
                  <w:u w:val="single"/>
                  <w:lang w:val="en-US" w:eastAsia="en-US" w:bidi="ar-SA"/>
                </w:rPr>
                <w:t>Parham v. State, 79 Md. App. 152, 159, 556 A.2d 280, 283 (1989);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see also </w:t>
            </w:r>
            <w:hyperlink r:id="rId40" w:history="1">
              <w:r>
                <w:rPr>
                  <w:rFonts w:ascii="arial" w:eastAsia="arial" w:hAnsi="arial" w:cs="arial"/>
                  <w:i/>
                  <w:color w:val="0077CC"/>
                  <w:sz w:val="20"/>
                  <w:u w:val="single"/>
                  <w:lang w:val="en-US" w:eastAsia="en-US" w:bidi="ar-SA"/>
                </w:rPr>
                <w:t>Taylor v. Illinois, 484 U.S. 400</w:t>
              </w:r>
            </w:hyperlink>
            <w:r>
              <w:rPr>
                <w:rFonts w:ascii="arial" w:eastAsia="arial" w:hAnsi="arial" w:cs="arial"/>
                <w:color w:val="000000"/>
                <w:sz w:val="20"/>
                <w:lang w:val="en-US" w:eastAsia="en-US" w:bidi="ar-SA"/>
              </w:rPr>
              <w:t xml:space="preserve"> (rejecting constitutional compulsory process challenge when defendant is denied the right to call alibi witnesses after failing to comply with discovery rule), </w:t>
            </w:r>
            <w:r>
              <w:rPr>
                <w:rFonts w:ascii="arial" w:eastAsia="arial" w:hAnsi="arial" w:cs="arial"/>
                <w:i/>
                <w:color w:val="000000"/>
                <w:sz w:val="20"/>
                <w:lang w:val="en-US" w:eastAsia="en-US" w:bidi="ar-SA"/>
              </w:rPr>
              <w:t>reh'g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485 U.S. 983 (1988);</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cf. </w:t>
            </w:r>
            <w:hyperlink r:id="rId41" w:history="1">
              <w:r>
                <w:rPr>
                  <w:rFonts w:ascii="arial" w:eastAsia="arial" w:hAnsi="arial" w:cs="arial"/>
                  <w:i/>
                  <w:color w:val="0077CC"/>
                  <w:sz w:val="20"/>
                  <w:u w:val="single"/>
                  <w:lang w:val="en-US" w:eastAsia="en-US" w:bidi="ar-SA"/>
                </w:rPr>
                <w:t>Brooks v. State, 80 Md. App. 118, 560 A.2d 56 (1989)</w:t>
              </w:r>
            </w:hyperlink>
            <w:r>
              <w:rPr>
                <w:rFonts w:ascii="arial" w:eastAsia="arial" w:hAnsi="arial" w:cs="arial"/>
                <w:color w:val="000000"/>
                <w:sz w:val="20"/>
                <w:lang w:val="en-US" w:eastAsia="en-US" w:bidi="ar-SA"/>
              </w:rPr>
              <w:t xml:space="preserve"> (witness testifying that DWI defendant was not the driver is not an alibi witness).</w:t>
            </w:r>
          </w:p>
          <w:p>
            <w:pPr>
              <w:spacing w:after="120"/>
              <w:rPr>
                <w:lang w:val="en-US" w:eastAsia="en-US" w:bidi="ar-SA"/>
              </w:rPr>
            </w:pPr>
          </w:p>
        </w:tc>
      </w:tr>
    </w:tbl>
    <w:p>
      <w:pPr>
        <w:spacing w:before="60" w:line="260" w:lineRule="atLeast"/>
        <w:ind w:left="720"/>
        <w:jc w:val="both"/>
        <w:rPr>
          <w:lang w:val="en-US" w:eastAsia="en-US" w:bidi="ar-SA"/>
        </w:rPr>
      </w:pPr>
      <w:r>
        <w:rPr>
          <w:rFonts w:ascii="arial" w:eastAsia="arial" w:hAnsi="arial" w:cs="arial"/>
          <w:color w:val="000000"/>
          <w:sz w:val="20"/>
          <w:lang w:val="en-US" w:eastAsia="en-US" w:bidi="ar-SA"/>
        </w:rPr>
        <w:t>#MICPEL#</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Source:</w:t>
      </w:r>
      <w:r>
        <w:rPr>
          <w:rFonts w:ascii="arial" w:eastAsia="arial" w:hAnsi="arial" w:cs="arial"/>
          <w:color w:val="000000"/>
          <w:sz w:val="20"/>
          <w:lang w:val="en-US" w:eastAsia="en-US" w:bidi="ar-SA"/>
        </w:rPr>
        <w:t> MICPEL</w:t>
      </w:r>
    </w:p>
    <w:p>
      <w:pPr>
        <w:spacing w:before="240" w:line="220" w:lineRule="atLeast"/>
        <w:rPr>
          <w:lang w:val="en-US" w:eastAsia="en-US" w:bidi="ar-SA"/>
        </w:rPr>
      </w:pPr>
      <w:r>
        <w:rPr>
          <w:rFonts w:ascii="arial" w:eastAsia="arial" w:hAnsi="arial" w:cs="arial"/>
          <w:color w:val="000000"/>
          <w:sz w:val="16"/>
          <w:lang w:val="en-US" w:eastAsia="en-US" w:bidi="ar-SA"/>
        </w:rPr>
        <w:t>Maryland Criminal Pattern Jury Instructions</w:t>
      </w:r>
    </w:p>
    <w:p>
      <w:pPr>
        <w:spacing w:line="220" w:lineRule="atLeast"/>
        <w:rPr>
          <w:lang w:val="en-US" w:eastAsia="en-US" w:bidi="ar-SA"/>
        </w:rPr>
      </w:pPr>
      <w:r>
        <w:rPr>
          <w:rFonts w:ascii="arial" w:eastAsia="arial" w:hAnsi="arial" w:cs="arial"/>
          <w:color w:val="000000"/>
          <w:sz w:val="16"/>
          <w:lang w:val="en-US" w:eastAsia="en-US" w:bidi="ar-SA"/>
        </w:rPr>
        <w:t>Copyright 2018 by The Maryland State Bar Association, Inc.</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6705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
          <w:headerReference w:type="default" r:id="rId43"/>
          <w:footerReference w:type="even" r:id="rId44"/>
          <w:footerReference w:type="default" r:id="rId45"/>
          <w:headerReference w:type="first" r:id="rId46"/>
          <w:footerReference w:type="first" r:id="rId47"/>
          <w:type w:val="nextPage"/>
          <w:pgSz w:w="12240" w:h="15840"/>
          <w:pgMar w:top="840" w:right="1000" w:bottom="840" w:left="1000" w:header="400" w:footer="400"/>
          <w:pgNumType w:fmt="decimal"/>
          <w:cols w:space="720"/>
          <w:titlePg/>
        </w:sectPr>
      </w:pPr>
    </w:p>
    <w:p>
      <w:pPr>
        <w:rPr>
          <w:lang w:val="en-US" w:eastAsia="en-US" w:bidi="ar-SA"/>
        </w:rPr>
      </w:pPr>
      <w:bookmarkStart w:id="1" w:name="Bookmark_2"/>
      <w:bookmarkEnd w:id="1"/>
    </w:p>
    <w:p>
      <w:pPr>
        <w:rPr>
          <w:lang w:val="en-US" w:eastAsia="en-US" w:bidi="ar-SA"/>
        </w:rPr>
      </w:pPr>
      <w:r>
        <w:pict>
          <v:shape id="_x0000_i1029" type="#_x0000_t75" alt="LexisNexis®" style="width:147.77pt;height:30pt">
            <v:imagedata r:id="rId4" o:title=""/>
          </v:shape>
        </w:pict>
      </w:r>
      <w:r>
        <w:rPr>
          <w:lang w:val="en-US" w:eastAsia="en-US" w:bidi="ar-SA"/>
        </w:rPr>
        <w:cr/>
      </w:r>
    </w:p>
    <w:p>
      <w:pPr>
        <w:spacing w:before="240" w:after="200" w:line="340" w:lineRule="atLeast"/>
        <w:jc w:val="center"/>
        <w:outlineLvl w:val="0"/>
        <w:rPr>
          <w:rFonts w:ascii="Arial" w:hAnsi="Arial" w:cs="Arial"/>
          <w:b/>
          <w:bCs/>
          <w:kern w:val="32"/>
          <w:sz w:val="32"/>
          <w:szCs w:val="32"/>
          <w:lang w:val="en-US" w:eastAsia="en-US" w:bidi="ar-SA"/>
        </w:rPr>
      </w:pPr>
      <w:hyperlink r:id="rId48" w:history="1">
        <w:r>
          <w:rPr>
            <w:rFonts w:ascii="arial" w:eastAsia="arial" w:hAnsi="arial" w:cs="arial"/>
            <w:b/>
            <w:bCs/>
            <w:i/>
            <w:color w:val="0077CC"/>
            <w:kern w:val="32"/>
            <w:sz w:val="28"/>
            <w:szCs w:val="32"/>
            <w:u w:val="single"/>
            <w:lang w:val="en-US" w:eastAsia="en-US" w:bidi="ar-SA"/>
          </w:rPr>
          <w:t>MPJI-Cr 5:01</w:t>
        </w:r>
      </w:hyperlink>
    </w:p>
    <w:p>
      <w:pPr>
        <w:spacing w:line="240" w:lineRule="atLeast"/>
        <w:jc w:val="both"/>
        <w:rPr>
          <w:lang w:val="en-US" w:eastAsia="en-US" w:bidi="ar-SA"/>
        </w:rPr>
      </w:pPr>
    </w:p>
    <w:p>
      <w:pPr>
        <w:spacing w:before="200" w:line="280" w:lineRule="atLeast"/>
        <w:rPr>
          <w:lang w:val="en-US" w:eastAsia="en-US" w:bidi="ar-SA"/>
        </w:rPr>
      </w:pPr>
      <w:r>
        <w:rPr>
          <w:rFonts w:ascii="arial" w:eastAsia="arial" w:hAnsi="arial" w:cs="arial"/>
          <w:b/>
          <w:i/>
          <w:color w:val="000000"/>
          <w:sz w:val="22"/>
          <w:lang w:val="en-US" w:eastAsia="en-US" w:bidi="ar-SA"/>
        </w:rPr>
        <w:t>Maryland Criminal Pattern Jury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CHAPTER 5 DEFENSES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DEFENSE OF OTHERS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5:01Defense of Others</w:t>
      </w:r>
    </w:p>
    <w:p>
      <w:pPr>
        <w:spacing w:line="60" w:lineRule="exact"/>
        <w:rPr>
          <w:lang w:val="en-US" w:eastAsia="en-US" w:bidi="ar-SA"/>
        </w:rPr>
      </w:pPr>
      <w:r>
        <w:pict>
          <v:line id="_x0000_s1030" style="position:absolute;z-index:2516592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color w:val="000000"/>
          <w:sz w:val="20"/>
          <w:lang w:val="en-US" w:eastAsia="en-US" w:bidi="ar-SA"/>
        </w:rPr>
        <w:t>You have heard evidence that the defendant acted in defense of [name of person]. Defense of others is a defense, and you are required to find the defendant not guilty if all of the following four factors are present</w:t>
      </w:r>
      <w:r>
        <w:rPr>
          <w:rFonts w:ascii="arial" w:eastAsia="arial" w:hAnsi="arial" w:cs="arial"/>
          <w:color w:val="000000"/>
          <w:sz w:val="20"/>
          <w:lang w:val="en-US" w:eastAsia="en-US" w:bidi="ar-SA"/>
        </w:rPr>
        <w:t>:</w:t>
      </w:r>
    </w:p>
    <w:p>
      <w:pPr>
        <w:spacing w:before="200" w:line="260" w:lineRule="atLeast"/>
        <w:ind w:left="400"/>
        <w:jc w:val="both"/>
        <w:rPr>
          <w:lang w:val="en-US" w:eastAsia="en-US" w:bidi="ar-SA"/>
        </w:rPr>
      </w:pPr>
      <w:r>
        <w:rPr>
          <w:rFonts w:ascii="arial" w:eastAsia="arial" w:hAnsi="arial" w:cs="arial"/>
          <w:b/>
          <w:color w:val="000000"/>
          <w:sz w:val="20"/>
          <w:lang w:val="en-US" w:eastAsia="en-US" w:bidi="ar-SA"/>
        </w:rPr>
        <w:t>(1) the defendant actually believed that the person he was defending was in immediate or imminent danger of bodily harm</w:t>
      </w:r>
      <w:r>
        <w:rPr>
          <w:rFonts w:ascii="arial" w:eastAsia="arial" w:hAnsi="arial" w:cs="arial"/>
          <w:color w:val="000000"/>
          <w:sz w:val="20"/>
          <w:lang w:val="en-US" w:eastAsia="en-US" w:bidi="ar-SA"/>
        </w:rPr>
        <w:t>;</w:t>
      </w:r>
    </w:p>
    <w:p>
      <w:pPr>
        <w:spacing w:before="200" w:line="260" w:lineRule="atLeast"/>
        <w:ind w:left="400"/>
        <w:jc w:val="both"/>
        <w:rPr>
          <w:lang w:val="en-US" w:eastAsia="en-US" w:bidi="ar-SA"/>
        </w:rPr>
      </w:pPr>
      <w:r>
        <w:rPr>
          <w:rFonts w:ascii="arial" w:eastAsia="arial" w:hAnsi="arial" w:cs="arial"/>
          <w:b/>
          <w:color w:val="000000"/>
          <w:sz w:val="20"/>
          <w:lang w:val="en-US" w:eastAsia="en-US" w:bidi="ar-SA"/>
        </w:rPr>
        <w:t>(2) the defendant's belief was reasonable</w:t>
      </w:r>
      <w:r>
        <w:rPr>
          <w:rFonts w:ascii="arial" w:eastAsia="arial" w:hAnsi="arial" w:cs="arial"/>
          <w:color w:val="000000"/>
          <w:sz w:val="20"/>
          <w:lang w:val="en-US" w:eastAsia="en-US" w:bidi="ar-SA"/>
        </w:rPr>
        <w:t>;</w:t>
      </w:r>
    </w:p>
    <w:p>
      <w:pPr>
        <w:spacing w:before="200" w:line="260" w:lineRule="atLeast"/>
        <w:ind w:left="400"/>
        <w:jc w:val="both"/>
        <w:rPr>
          <w:lang w:val="en-US" w:eastAsia="en-US" w:bidi="ar-SA"/>
        </w:rPr>
      </w:pPr>
      <w:r>
        <w:rPr>
          <w:rFonts w:ascii="arial" w:eastAsia="arial" w:hAnsi="arial" w:cs="arial"/>
          <w:b/>
          <w:color w:val="000000"/>
          <w:sz w:val="20"/>
          <w:lang w:val="en-US" w:eastAsia="en-US" w:bidi="ar-SA"/>
        </w:rPr>
        <w:t>(3) the defendant used no more force than was reasonably necessary in light of the threatened or actual force; and</w:t>
      </w:r>
    </w:p>
    <w:p>
      <w:pPr>
        <w:spacing w:before="200" w:line="260" w:lineRule="atLeast"/>
        <w:ind w:left="400"/>
        <w:jc w:val="both"/>
        <w:rPr>
          <w:lang w:val="en-US" w:eastAsia="en-US" w:bidi="ar-SA"/>
        </w:rPr>
      </w:pPr>
      <w:r>
        <w:rPr>
          <w:rFonts w:ascii="arial" w:eastAsia="arial" w:hAnsi="arial" w:cs="arial"/>
          <w:b/>
          <w:color w:val="000000"/>
          <w:sz w:val="20"/>
          <w:lang w:val="en-US" w:eastAsia="en-US" w:bidi="ar-SA"/>
        </w:rPr>
        <w:t>(4) the defendant's purpose in using force was to aid the person he was defending</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color w:val="000000"/>
          <w:sz w:val="20"/>
          <w:lang w:val="en-US" w:eastAsia="en-US" w:bidi="ar-SA"/>
        </w:rPr>
        <w:t>In order to convict the defendant, the State must prove that the defense of others does not apply in this case. This means that you are required to find the defendant not guilty unless the State has persuaded you, beyond a reasonable doubt, that at least one of the four factors of defense of others was absent</w:t>
      </w:r>
      <w:r>
        <w:rPr>
          <w:rFonts w:ascii="arial" w:eastAsia="arial" w:hAnsi="arial" w:cs="arial"/>
          <w:color w:val="000000"/>
          <w:sz w:val="20"/>
          <w:lang w:val="en-US" w:eastAsia="en-US" w:bidi="ar-SA"/>
        </w:rPr>
        <w:t>.</w:t>
      </w:r>
    </w:p>
    <w:p>
      <w:pPr>
        <w:rPr>
          <w:lang w:val="en-US" w:eastAsia="en-US" w:bidi="ar-SA"/>
        </w:rPr>
      </w:pPr>
    </w:p>
    <w:tbl>
      <w:tblPr>
        <w:tblStyle w:val="TableNormal"/>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
      <w:tblGrid>
        <w:gridCol w:w="10240"/>
      </w:tblGrid>
      <w:tr>
        <w:tblPrEx>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Ex>
        <w:tc>
          <w:tcPr>
            <w:tcW w:w="10240" w:type="dxa"/>
            <w:vAlign w:val="center"/>
          </w:tcPr>
          <w:p>
            <w:pPr>
              <w:spacing w:before="240" w:line="260" w:lineRule="atLeast"/>
              <w:ind w:left="60" w:right="360"/>
              <w:rPr>
                <w:lang w:val="en-US" w:eastAsia="en-US" w:bidi="ar-SA"/>
              </w:rPr>
            </w:pPr>
            <w:r>
              <w:rPr>
                <w:rFonts w:ascii="arial" w:eastAsia="arial" w:hAnsi="arial" w:cs="arial"/>
                <w:b/>
                <w:color w:val="000000"/>
                <w:sz w:val="20"/>
                <w:lang w:val="en-US" w:eastAsia="en-US" w:bidi="ar-SA"/>
              </w:rPr>
              <w:t> </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COMMENT</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The common law only permitted defense of others if (1) the person defended was in a close relationship with the defender, and (2) the person defended actually had a right of self-defense, meaning that the defendant "stood in the shoes" of the one defended. </w:t>
            </w:r>
            <w:hyperlink r:id="rId49" w:history="1">
              <w:r>
                <w:rPr>
                  <w:rFonts w:ascii="arial" w:eastAsia="arial" w:hAnsi="arial" w:cs="arial"/>
                  <w:i/>
                  <w:color w:val="0077CC"/>
                  <w:sz w:val="20"/>
                  <w:u w:val="single"/>
                  <w:lang w:val="en-US" w:eastAsia="en-US" w:bidi="ar-SA"/>
                </w:rPr>
                <w:t>Guerriero v. State, 213 Md. 545, 549, 132 A.2d 466, 467 (1957)</w:t>
              </w:r>
            </w:hyperlink>
            <w:r>
              <w:rPr>
                <w:rFonts w:ascii="arial" w:eastAsia="arial" w:hAnsi="arial" w:cs="arial"/>
                <w:color w:val="000000"/>
                <w:sz w:val="20"/>
                <w:lang w:val="en-US" w:eastAsia="en-US" w:bidi="ar-SA"/>
              </w:rPr>
              <w:t xml:space="preserve"> ("A third person, closely related to or associated with one attacked in such a manner that he could properly have defended himself by the use of force, has a right to go to the defense of the person attacked and to use the same degree and character of force that the one attacked could have used."); </w:t>
            </w:r>
            <w:hyperlink r:id="rId50" w:history="1">
              <w:r>
                <w:rPr>
                  <w:rFonts w:ascii="arial" w:eastAsia="arial" w:hAnsi="arial" w:cs="arial"/>
                  <w:i/>
                  <w:color w:val="0077CC"/>
                  <w:sz w:val="20"/>
                  <w:u w:val="single"/>
                  <w:lang w:val="en-US" w:eastAsia="en-US" w:bidi="ar-SA"/>
                </w:rPr>
                <w:t>Lee v. State, 193 Md. App. 45, 60, 996 A.2d 425, 434,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415 Md. 339, 1 A.3d 468 (2010);</w:t>
            </w:r>
            <w:r>
              <w:rPr>
                <w:rFonts w:ascii="arial" w:eastAsia="arial" w:hAnsi="arial" w:cs="arial"/>
                <w:color w:val="000000"/>
                <w:sz w:val="20"/>
                <w:lang w:val="en-US" w:eastAsia="en-US" w:bidi="ar-SA"/>
              </w:rPr>
              <w:t xml:space="preserve"> </w:t>
            </w:r>
            <w:hyperlink r:id="rId51" w:history="1">
              <w:r>
                <w:rPr>
                  <w:rFonts w:ascii="arial" w:eastAsia="arial" w:hAnsi="arial" w:cs="arial"/>
                  <w:i/>
                  <w:color w:val="0077CC"/>
                  <w:sz w:val="20"/>
                  <w:u w:val="single"/>
                  <w:lang w:val="en-US" w:eastAsia="en-US" w:bidi="ar-SA"/>
                </w:rPr>
                <w:t>Alexander v. State, 52 Md. App. 171, 176-78, 447 A.2d 880, 883-84,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aff'd per curiam</w:t>
            </w:r>
            <w:r>
              <w:rPr>
                <w:rFonts w:ascii="arial" w:eastAsia="arial" w:hAnsi="arial" w:cs="arial"/>
                <w:color w:val="000000"/>
                <w:sz w:val="20"/>
                <w:lang w:val="en-US" w:eastAsia="en-US" w:bidi="ar-SA"/>
              </w:rPr>
              <w:t xml:space="preserve">, </w:t>
            </w:r>
            <w:hyperlink r:id="rId52" w:history="1">
              <w:r>
                <w:rPr>
                  <w:rFonts w:ascii="arial" w:eastAsia="arial" w:hAnsi="arial" w:cs="arial"/>
                  <w:i/>
                  <w:color w:val="0077CC"/>
                  <w:sz w:val="20"/>
                  <w:u w:val="single"/>
                  <w:lang w:val="en-US" w:eastAsia="en-US" w:bidi="ar-SA"/>
                </w:rPr>
                <w:t>294 Md. 600, 451 A.2d 664 (1982).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See generally</w:t>
            </w:r>
            <w:r>
              <w:rPr>
                <w:rFonts w:ascii="arial" w:eastAsia="arial" w:hAnsi="arial" w:cs="arial"/>
                <w:color w:val="000000"/>
                <w:sz w:val="20"/>
                <w:lang w:val="en-US" w:eastAsia="en-US" w:bidi="ar-SA"/>
              </w:rPr>
              <w:t xml:space="preserve"> WAYNE R. LAFAVE, CRIMINAL LAW § 10.5, at 582-85 (5th ed. 2010).</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MARYLAND CODE ANNOTATED, CRIMINAL LAW I § 3-209 (2012 &amp; Supp. 2018) provides that a person charged,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xml:space="preserve">, with first or second degree assault or reckless endangerment "may assert any judicially recognized defense." In </w:t>
            </w:r>
            <w:r>
              <w:rPr>
                <w:rFonts w:ascii="arial" w:eastAsia="arial" w:hAnsi="arial" w:cs="arial"/>
                <w:i/>
                <w:color w:val="000000"/>
                <w:sz w:val="20"/>
                <w:lang w:val="en-US" w:eastAsia="en-US" w:bidi="ar-SA"/>
              </w:rPr>
              <w:t>Lee</w:t>
            </w:r>
            <w:r>
              <w:rPr>
                <w:rFonts w:ascii="arial" w:eastAsia="arial" w:hAnsi="arial" w:cs="arial"/>
                <w:color w:val="000000"/>
                <w:sz w:val="20"/>
                <w:lang w:val="en-US" w:eastAsia="en-US" w:bidi="ar-SA"/>
              </w:rPr>
              <w:t>, the Court of Special Appeals explained that this provision replaced Maryland's "Good Samaritan" statute, which was repealed.</w:t>
            </w:r>
          </w:p>
          <w:p>
            <w:pPr>
              <w:spacing w:before="60" w:line="260" w:lineRule="atLeast"/>
              <w:ind w:left="460" w:right="360"/>
              <w:jc w:val="both"/>
              <w:rPr>
                <w:lang w:val="en-US" w:eastAsia="en-US" w:bidi="ar-SA"/>
              </w:rPr>
            </w:pPr>
            <w:r>
              <w:rPr>
                <w:rFonts w:ascii="arial" w:eastAsia="arial" w:hAnsi="arial" w:cs="arial"/>
                <w:color w:val="000000"/>
                <w:sz w:val="20"/>
                <w:lang w:val="en-US" w:eastAsia="en-US" w:bidi="ar-SA"/>
              </w:rPr>
              <w:t>Then codified at Md. Code (1982 Repl. Vol.), art. 27, section 12A, the statute provided: "Any person witnessing a violent assault upon the person of another may lawfully aid the person being assaulted by assisting in that person's defense. The force exerted upon the attacker or attackers by the person witnessing the assault may be that degree of force which the assaulted person is allowed to assert in defending himself."</w:t>
            </w:r>
          </w:p>
          <w:p>
            <w:pPr>
              <w:spacing w:before="240" w:line="260" w:lineRule="atLeast"/>
              <w:ind w:left="60" w:right="360"/>
              <w:jc w:val="both"/>
              <w:rPr>
                <w:lang w:val="en-US" w:eastAsia="en-US" w:bidi="ar-SA"/>
              </w:rPr>
            </w:pPr>
            <w:hyperlink r:id="rId50" w:history="1">
              <w:r>
                <w:rPr>
                  <w:rFonts w:ascii="arial" w:eastAsia="arial" w:hAnsi="arial" w:cs="arial"/>
                  <w:i/>
                  <w:color w:val="0077CC"/>
                  <w:sz w:val="20"/>
                  <w:u w:val="single"/>
                  <w:lang w:val="en-US" w:eastAsia="en-US" w:bidi="ar-SA"/>
                </w:rPr>
                <w:t>Lee, 193 Md. App. at 62, 996 A.2d at 435.</w:t>
              </w:r>
            </w:hyperlink>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The Court in </w:t>
            </w:r>
            <w:r>
              <w:rPr>
                <w:rFonts w:ascii="arial" w:eastAsia="arial" w:hAnsi="arial" w:cs="arial"/>
                <w:i/>
                <w:color w:val="000000"/>
                <w:sz w:val="20"/>
                <w:lang w:val="en-US" w:eastAsia="en-US" w:bidi="ar-SA"/>
              </w:rPr>
              <w:t>Lee</w:t>
            </w:r>
            <w:r>
              <w:rPr>
                <w:rFonts w:ascii="arial" w:eastAsia="arial" w:hAnsi="arial" w:cs="arial"/>
                <w:color w:val="000000"/>
                <w:sz w:val="20"/>
                <w:lang w:val="en-US" w:eastAsia="en-US" w:bidi="ar-SA"/>
              </w:rPr>
              <w:t>, citing the Code revision committee notes, stated:</w:t>
            </w:r>
          </w:p>
          <w:p>
            <w:pPr>
              <w:spacing w:before="240" w:line="260" w:lineRule="atLeast"/>
              <w:ind w:left="460" w:right="360"/>
              <w:jc w:val="both"/>
              <w:rPr>
                <w:lang w:val="en-US" w:eastAsia="en-US" w:bidi="ar-SA"/>
              </w:rPr>
            </w:pPr>
            <w:r>
              <w:rPr>
                <w:rFonts w:ascii="arial" w:eastAsia="arial" w:hAnsi="arial" w:cs="arial"/>
                <w:color w:val="000000"/>
                <w:sz w:val="20"/>
                <w:lang w:val="en-US" w:eastAsia="en-US" w:bidi="ar-SA"/>
              </w:rPr>
              <w:t xml:space="preserve">[T]his revision was intended to ensure that the repeal of the [Good Samaritan Statute] was not understood as a repeal of the defense available under [that statute], nor an abrogation of the extension of this defense recognized in </w:t>
            </w:r>
            <w:hyperlink r:id="rId51" w:history="1">
              <w:r>
                <w:rPr>
                  <w:rFonts w:ascii="arial" w:eastAsia="arial" w:hAnsi="arial" w:cs="arial"/>
                  <w:i/>
                  <w:color w:val="0077CC"/>
                  <w:sz w:val="20"/>
                  <w:u w:val="single"/>
                  <w:lang w:val="en-US" w:eastAsia="en-US" w:bidi="ar-SA"/>
                </w:rPr>
                <w:t>Alexander, supra,</w:t>
              </w:r>
            </w:hyperlink>
            <w:r>
              <w:rPr>
                <w:rFonts w:ascii="arial" w:eastAsia="arial" w:hAnsi="arial" w:cs="arial"/>
                <w:color w:val="000000"/>
                <w:sz w:val="20"/>
                <w:lang w:val="en-US" w:eastAsia="en-US" w:bidi="ar-SA"/>
              </w:rPr>
              <w:t xml:space="preserve"> to a person who reasonably believes that another is being assaulted.</w:t>
            </w:r>
          </w:p>
          <w:p>
            <w:pPr>
              <w:spacing w:before="240" w:line="260" w:lineRule="atLeast"/>
              <w:ind w:left="60" w:right="360"/>
              <w:jc w:val="both"/>
              <w:rPr>
                <w:lang w:val="en-US" w:eastAsia="en-US" w:bidi="ar-SA"/>
              </w:rPr>
            </w:pPr>
            <w:r>
              <w:rPr>
                <w:rFonts w:ascii="arial" w:eastAsia="arial" w:hAnsi="arial" w:cs="arial"/>
                <w:i/>
                <w:color w:val="000000"/>
                <w:sz w:val="20"/>
                <w:lang w:val="en-US" w:eastAsia="en-US" w:bidi="ar-SA"/>
              </w:rPr>
              <w:t>Id.</w:t>
            </w:r>
            <w:r>
              <w:rPr>
                <w:rFonts w:ascii="arial" w:eastAsia="arial" w:hAnsi="arial" w:cs="arial"/>
                <w:color w:val="000000"/>
                <w:sz w:val="20"/>
                <w:lang w:val="en-US" w:eastAsia="en-US" w:bidi="ar-SA"/>
              </w:rPr>
              <w:t xml:space="preserve"> at 62 n.11, 996 A.2d at 435 n.11. Thus today, the defense of others is available without regard to relationship and without regard to the actual right of self-defense on the part of the one defended, so long as the one defending honestly and reasonably believes that the one defended has the right of self-defense. </w:t>
            </w:r>
            <w:hyperlink r:id="rId51" w:history="1">
              <w:r>
                <w:rPr>
                  <w:rFonts w:ascii="arial" w:eastAsia="arial" w:hAnsi="arial" w:cs="arial"/>
                  <w:i/>
                  <w:color w:val="0077CC"/>
                  <w:sz w:val="20"/>
                  <w:u w:val="single"/>
                  <w:lang w:val="en-US" w:eastAsia="en-US" w:bidi="ar-SA"/>
                </w:rPr>
                <w:t>Alexander, 52 Md. App. at 176-78, 447 A.2d at 883-84;</w:t>
              </w:r>
            </w:hyperlink>
            <w:r>
              <w:rPr>
                <w:rFonts w:ascii="arial" w:eastAsia="arial" w:hAnsi="arial" w:cs="arial"/>
                <w:color w:val="000000"/>
                <w:sz w:val="20"/>
                <w:lang w:val="en-US" w:eastAsia="en-US" w:bidi="ar-SA"/>
              </w:rPr>
              <w:t xml:space="preserve"> </w:t>
            </w:r>
            <w:hyperlink r:id="rId53" w:history="1">
              <w:r>
                <w:rPr>
                  <w:rFonts w:ascii="arial" w:eastAsia="arial" w:hAnsi="arial" w:cs="arial"/>
                  <w:i/>
                  <w:color w:val="0077CC"/>
                  <w:sz w:val="20"/>
                  <w:u w:val="single"/>
                  <w:lang w:val="en-US" w:eastAsia="en-US" w:bidi="ar-SA"/>
                </w:rPr>
                <w:t>Bright v. State, 68 Md. App. 41, 50-52, 509 A.2d 1227, 1232-33 (1986),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rev'd on other grounds sub nom. </w:t>
            </w:r>
            <w:hyperlink r:id="rId54" w:history="1">
              <w:r>
                <w:rPr>
                  <w:rFonts w:ascii="arial" w:eastAsia="arial" w:hAnsi="arial" w:cs="arial"/>
                  <w:i/>
                  <w:color w:val="0077CC"/>
                  <w:sz w:val="20"/>
                  <w:u w:val="single"/>
                  <w:lang w:val="en-US" w:eastAsia="en-US" w:bidi="ar-SA"/>
                </w:rPr>
                <w:t>Parren v. State, 309 Md. 260, 523 A.2d 597 (1987).</w:t>
              </w:r>
            </w:hyperlink>
            <w:r>
              <w:rPr>
                <w:rFonts w:ascii="arial" w:eastAsia="arial" w:hAnsi="arial" w:cs="arial"/>
                <w:color w:val="000000"/>
                <w:sz w:val="20"/>
                <w:lang w:val="en-US" w:eastAsia="en-US" w:bidi="ar-SA"/>
              </w:rPr>
              <w:t xml:space="preserve"> For defense of others to be applicable, the purpose of the intervention must be "to aid" the victim and must not be to punish the offender or avenge the victim. </w:t>
            </w:r>
            <w:hyperlink r:id="rId51" w:history="1">
              <w:r>
                <w:rPr>
                  <w:rFonts w:ascii="arial" w:eastAsia="arial" w:hAnsi="arial" w:cs="arial"/>
                  <w:i/>
                  <w:color w:val="0077CC"/>
                  <w:sz w:val="20"/>
                  <w:u w:val="single"/>
                  <w:lang w:val="en-US" w:eastAsia="en-US" w:bidi="ar-SA"/>
                </w:rPr>
                <w:t>Alexander, 52 Md. App. at 184, 447 A.2d at 887;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see also </w:t>
            </w:r>
            <w:hyperlink r:id="rId50" w:history="1">
              <w:r>
                <w:rPr>
                  <w:rFonts w:ascii="arial" w:eastAsia="arial" w:hAnsi="arial" w:cs="arial"/>
                  <w:i/>
                  <w:color w:val="0077CC"/>
                  <w:sz w:val="20"/>
                  <w:u w:val="single"/>
                  <w:lang w:val="en-US" w:eastAsia="en-US" w:bidi="ar-SA"/>
                </w:rPr>
                <w:t>Lee, 193 Md. App. at 45, 996 A.2d at 425</w:t>
              </w:r>
            </w:hyperlink>
            <w:r>
              <w:rPr>
                <w:rFonts w:ascii="arial" w:eastAsia="arial" w:hAnsi="arial" w:cs="arial"/>
                <w:color w:val="000000"/>
                <w:sz w:val="20"/>
                <w:lang w:val="en-US" w:eastAsia="en-US" w:bidi="ar-SA"/>
              </w:rPr>
              <w:t xml:space="preserve"> (affirming refusal to give defense of others instruction where evidence could not support a reasonable inference that defendant security guard believed harm to others was imminent when he shot a belligerent bar patron six times in the parking lot, killing him).</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This instruction was updated in June 2018 to comply with the specific direction of the Court of Appeals. </w:t>
            </w:r>
            <w:r>
              <w:rPr>
                <w:rFonts w:ascii="arial" w:eastAsia="arial" w:hAnsi="arial" w:cs="arial"/>
                <w:i/>
                <w:color w:val="000000"/>
                <w:sz w:val="20"/>
                <w:lang w:val="en-US" w:eastAsia="en-US" w:bidi="ar-SA"/>
              </w:rPr>
              <w:t xml:space="preserve">See </w:t>
            </w:r>
            <w:hyperlink r:id="rId55" w:history="1">
              <w:r>
                <w:rPr>
                  <w:rFonts w:ascii="arial" w:eastAsia="arial" w:hAnsi="arial" w:cs="arial"/>
                  <w:i/>
                  <w:color w:val="0077CC"/>
                  <w:sz w:val="20"/>
                  <w:u w:val="single"/>
                  <w:lang w:val="en-US" w:eastAsia="en-US" w:bidi="ar-SA"/>
                </w:rPr>
                <w:t>Porter v. State, 455 Md. 220, 245 n.6, 166 A.3d 1044, 1059 n.6 (2017)</w:t>
              </w:r>
            </w:hyperlink>
            <w:r>
              <w:rPr>
                <w:rFonts w:ascii="arial" w:eastAsia="arial" w:hAnsi="arial" w:cs="arial"/>
                <w:color w:val="000000"/>
                <w:sz w:val="20"/>
                <w:lang w:val="en-US" w:eastAsia="en-US" w:bidi="ar-SA"/>
              </w:rPr>
              <w:t xml:space="preserve"> (noting MPJI-Cr should use the phrase "imminent or immediate" instead of "imminent and immediate" in self-defense instructions).</w:t>
            </w:r>
          </w:p>
          <w:p>
            <w:pPr>
              <w:spacing w:after="120"/>
              <w:rPr>
                <w:lang w:val="en-US" w:eastAsia="en-US" w:bidi="ar-SA"/>
              </w:rPr>
            </w:pPr>
          </w:p>
        </w:tc>
      </w:tr>
    </w:tbl>
    <w:p>
      <w:pPr>
        <w:spacing w:before="60" w:line="260" w:lineRule="atLeast"/>
        <w:ind w:left="720"/>
        <w:jc w:val="both"/>
        <w:rPr>
          <w:lang w:val="en-US" w:eastAsia="en-US" w:bidi="ar-SA"/>
        </w:rPr>
      </w:pPr>
      <w:r>
        <w:rPr>
          <w:rFonts w:ascii="arial" w:eastAsia="arial" w:hAnsi="arial" w:cs="arial"/>
          <w:color w:val="000000"/>
          <w:sz w:val="20"/>
          <w:lang w:val="en-US" w:eastAsia="en-US" w:bidi="ar-SA"/>
        </w:rPr>
        <w:t>#MICPEL#</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Reference</w:t>
      </w:r>
    </w:p>
    <w:p>
      <w:pPr>
        <w:spacing w:line="60" w:lineRule="exact"/>
        <w:rPr>
          <w:lang w:val="en-US" w:eastAsia="en-US" w:bidi="ar-SA"/>
        </w:rPr>
      </w:pPr>
      <w:r>
        <w:pict>
          <v:line id="_x0000_s1031" style="position:absolute;z-index:251671552" from="0,2pt" to="512pt,2pt" strokecolor="#009ddb" strokeweight="2pt">
            <v:stroke linestyle="single"/>
            <w10:wrap type="topAndBottom"/>
          </v:line>
        </w:pict>
      </w:r>
    </w:p>
    <w:p>
      <w:pPr>
        <w:spacing w:line="120" w:lineRule="exact"/>
        <w:rPr>
          <w:lang w:val="en-US" w:eastAsia="en-US" w:bidi="ar-SA"/>
        </w:rPr>
      </w:pPr>
    </w:p>
    <w:p>
      <w:pPr>
        <w:spacing w:before="120" w:line="260" w:lineRule="atLeast"/>
        <w:rPr>
          <w:lang w:val="en-US" w:eastAsia="en-US" w:bidi="ar-SA"/>
        </w:rPr>
      </w:pPr>
      <w:r>
        <w:rPr>
          <w:rFonts w:ascii="arial" w:eastAsia="arial" w:hAnsi="arial" w:cs="arial"/>
          <w:color w:val="000000"/>
          <w:sz w:val="20"/>
          <w:lang w:val="en-US" w:eastAsia="en-US" w:bidi="ar-SA"/>
        </w:rPr>
        <w:t>MPJI-Cr 4:17.3.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Source:</w:t>
      </w:r>
      <w:r>
        <w:rPr>
          <w:rFonts w:ascii="arial" w:eastAsia="arial" w:hAnsi="arial" w:cs="arial"/>
          <w:color w:val="000000"/>
          <w:sz w:val="20"/>
          <w:lang w:val="en-US" w:eastAsia="en-US" w:bidi="ar-SA"/>
        </w:rPr>
        <w:t> MICPEL</w:t>
      </w:r>
    </w:p>
    <w:p>
      <w:pPr>
        <w:spacing w:before="240" w:line="220" w:lineRule="atLeast"/>
        <w:rPr>
          <w:lang w:val="en-US" w:eastAsia="en-US" w:bidi="ar-SA"/>
        </w:rPr>
      </w:pPr>
      <w:r>
        <w:rPr>
          <w:rFonts w:ascii="arial" w:eastAsia="arial" w:hAnsi="arial" w:cs="arial"/>
          <w:color w:val="000000"/>
          <w:sz w:val="16"/>
          <w:lang w:val="en-US" w:eastAsia="en-US" w:bidi="ar-SA"/>
        </w:rPr>
        <w:t>Maryland Criminal Pattern Jury Instructions</w:t>
      </w:r>
    </w:p>
    <w:p>
      <w:pPr>
        <w:spacing w:line="220" w:lineRule="atLeast"/>
        <w:rPr>
          <w:lang w:val="en-US" w:eastAsia="en-US" w:bidi="ar-SA"/>
        </w:rPr>
      </w:pPr>
      <w:r>
        <w:rPr>
          <w:rFonts w:ascii="arial" w:eastAsia="arial" w:hAnsi="arial" w:cs="arial"/>
          <w:color w:val="000000"/>
          <w:sz w:val="16"/>
          <w:lang w:val="en-US" w:eastAsia="en-US" w:bidi="ar-SA"/>
        </w:rPr>
        <w:t>Copyright 2018 by The Maryland State Bar Association, Inc.</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2" style="position:absolute;z-index:2516828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
          <w:headerReference w:type="default" r:id="rId57"/>
          <w:footerReference w:type="even" r:id="rId58"/>
          <w:footerReference w:type="default" r:id="rId59"/>
          <w:headerReference w:type="first" r:id="rId60"/>
          <w:footerReference w:type="first" r:id="rId61"/>
          <w:type w:val="nextPage"/>
          <w:pgSz w:w="12240" w:h="15840"/>
          <w:pgMar w:top="840" w:right="1000" w:bottom="840" w:left="1000" w:header="400" w:footer="400"/>
          <w:pgNumType w:fmt="decimal"/>
          <w:cols w:space="720"/>
          <w:titlePg/>
        </w:sectPr>
      </w:pPr>
    </w:p>
    <w:p>
      <w:pPr>
        <w:rPr>
          <w:lang w:val="en-US" w:eastAsia="en-US" w:bidi="ar-SA"/>
        </w:rPr>
      </w:pPr>
      <w:bookmarkStart w:id="2" w:name="Bookmark_3"/>
      <w:bookmarkEnd w:id="2"/>
    </w:p>
    <w:p>
      <w:pPr>
        <w:rPr>
          <w:lang w:val="en-US" w:eastAsia="en-US" w:bidi="ar-SA"/>
        </w:rPr>
      </w:pPr>
      <w:r>
        <w:pict>
          <v:shape id="_x0000_i1033" type="#_x0000_t75" alt="LexisNexis®" style="width:147.77pt;height:30pt">
            <v:imagedata r:id="rId4" o:title=""/>
          </v:shape>
        </w:pict>
      </w:r>
      <w:r>
        <w:rPr>
          <w:lang w:val="en-US" w:eastAsia="en-US" w:bidi="ar-SA"/>
        </w:rPr>
        <w:cr/>
      </w:r>
    </w:p>
    <w:p>
      <w:pPr>
        <w:spacing w:before="240" w:after="200" w:line="340" w:lineRule="atLeast"/>
        <w:jc w:val="center"/>
        <w:outlineLvl w:val="0"/>
        <w:rPr>
          <w:rFonts w:ascii="Arial" w:hAnsi="Arial" w:cs="Arial"/>
          <w:b/>
          <w:bCs/>
          <w:kern w:val="32"/>
          <w:sz w:val="32"/>
          <w:szCs w:val="32"/>
          <w:lang w:val="en-US" w:eastAsia="en-US" w:bidi="ar-SA"/>
        </w:rPr>
      </w:pPr>
      <w:hyperlink r:id="rId62" w:history="1">
        <w:r>
          <w:rPr>
            <w:rFonts w:ascii="arial" w:eastAsia="arial" w:hAnsi="arial" w:cs="arial"/>
            <w:b/>
            <w:bCs/>
            <w:i/>
            <w:color w:val="0077CC"/>
            <w:kern w:val="32"/>
            <w:sz w:val="28"/>
            <w:szCs w:val="32"/>
            <w:u w:val="single"/>
            <w:lang w:val="en-US" w:eastAsia="en-US" w:bidi="ar-SA"/>
          </w:rPr>
          <w:t>MPJI-Cr 5:02</w:t>
        </w:r>
      </w:hyperlink>
    </w:p>
    <w:p>
      <w:pPr>
        <w:spacing w:line="240" w:lineRule="atLeast"/>
        <w:jc w:val="both"/>
        <w:rPr>
          <w:lang w:val="en-US" w:eastAsia="en-US" w:bidi="ar-SA"/>
        </w:rPr>
      </w:pPr>
    </w:p>
    <w:p>
      <w:pPr>
        <w:spacing w:before="200" w:line="280" w:lineRule="atLeast"/>
        <w:rPr>
          <w:lang w:val="en-US" w:eastAsia="en-US" w:bidi="ar-SA"/>
        </w:rPr>
      </w:pPr>
      <w:r>
        <w:rPr>
          <w:rFonts w:ascii="arial" w:eastAsia="arial" w:hAnsi="arial" w:cs="arial"/>
          <w:b/>
          <w:i/>
          <w:color w:val="000000"/>
          <w:sz w:val="22"/>
          <w:lang w:val="en-US" w:eastAsia="en-US" w:bidi="ar-SA"/>
        </w:rPr>
        <w:t>Maryland Criminal Pattern Jury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CHAPTER 5 DEFENSES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DEFENSE OF HABITATION--DEADLY FORCE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5:02Defense of Habitation--Deadly Force</w:t>
      </w:r>
    </w:p>
    <w:p>
      <w:pPr>
        <w:spacing w:line="60" w:lineRule="exact"/>
        <w:rPr>
          <w:lang w:val="en-US" w:eastAsia="en-US" w:bidi="ar-SA"/>
        </w:rPr>
      </w:pPr>
      <w:r>
        <w:pict>
          <v:line id="_x0000_s1034" style="position:absolute;z-index:2516602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color w:val="000000"/>
          <w:sz w:val="20"/>
          <w:lang w:val="en-US" w:eastAsia="en-US" w:bidi="ar-SA"/>
        </w:rPr>
        <w:t>You have heard evidence that the defendant acted in defense of [his] [her] home. Defense of one's home is a defense, and you are required to find the defendant not guilty if all of the following five factors are present</w:t>
      </w:r>
      <w:r>
        <w:rPr>
          <w:rFonts w:ascii="arial" w:eastAsia="arial" w:hAnsi="arial" w:cs="arial"/>
          <w:color w:val="000000"/>
          <w:sz w:val="20"/>
          <w:lang w:val="en-US" w:eastAsia="en-US" w:bidi="ar-SA"/>
        </w:rPr>
        <w:t>:</w:t>
      </w:r>
    </w:p>
    <w:p>
      <w:pPr>
        <w:spacing w:before="200" w:line="260" w:lineRule="atLeast"/>
        <w:ind w:left="400"/>
        <w:jc w:val="both"/>
        <w:rPr>
          <w:lang w:val="en-US" w:eastAsia="en-US" w:bidi="ar-SA"/>
        </w:rPr>
      </w:pPr>
      <w:r>
        <w:rPr>
          <w:rFonts w:ascii="arial" w:eastAsia="arial" w:hAnsi="arial" w:cs="arial"/>
          <w:b/>
          <w:color w:val="000000"/>
          <w:sz w:val="20"/>
          <w:lang w:val="en-US" w:eastAsia="en-US" w:bidi="ar-SA"/>
        </w:rPr>
        <w:t>(1) [name of person] entered [or attempted to enter] the defendant's home</w:t>
      </w:r>
      <w:r>
        <w:rPr>
          <w:rFonts w:ascii="arial" w:eastAsia="arial" w:hAnsi="arial" w:cs="arial"/>
          <w:color w:val="000000"/>
          <w:sz w:val="20"/>
          <w:lang w:val="en-US" w:eastAsia="en-US" w:bidi="ar-SA"/>
        </w:rPr>
        <w:t>;</w:t>
      </w:r>
    </w:p>
    <w:p>
      <w:pPr>
        <w:spacing w:before="200" w:line="260" w:lineRule="atLeast"/>
        <w:ind w:left="400"/>
        <w:jc w:val="both"/>
        <w:rPr>
          <w:lang w:val="en-US" w:eastAsia="en-US" w:bidi="ar-SA"/>
        </w:rPr>
      </w:pPr>
      <w:r>
        <w:rPr>
          <w:rFonts w:ascii="arial" w:eastAsia="arial" w:hAnsi="arial" w:cs="arial"/>
          <w:b/>
          <w:color w:val="000000"/>
          <w:sz w:val="20"/>
          <w:lang w:val="en-US" w:eastAsia="en-US" w:bidi="ar-SA"/>
        </w:rPr>
        <w:t>(2) the defendant believed that [name of person] intended to commit a crime that would involve an imminent threat of death or serious bodily harm</w:t>
      </w:r>
      <w:r>
        <w:rPr>
          <w:rFonts w:ascii="arial" w:eastAsia="arial" w:hAnsi="arial" w:cs="arial"/>
          <w:color w:val="000000"/>
          <w:sz w:val="20"/>
          <w:lang w:val="en-US" w:eastAsia="en-US" w:bidi="ar-SA"/>
        </w:rPr>
        <w:t>;</w:t>
      </w:r>
    </w:p>
    <w:p>
      <w:pPr>
        <w:spacing w:before="200" w:line="260" w:lineRule="atLeast"/>
        <w:ind w:left="400"/>
        <w:jc w:val="both"/>
        <w:rPr>
          <w:lang w:val="en-US" w:eastAsia="en-US" w:bidi="ar-SA"/>
        </w:rPr>
      </w:pPr>
      <w:r>
        <w:rPr>
          <w:rFonts w:ascii="arial" w:eastAsia="arial" w:hAnsi="arial" w:cs="arial"/>
          <w:b/>
          <w:color w:val="000000"/>
          <w:sz w:val="20"/>
          <w:lang w:val="en-US" w:eastAsia="en-US" w:bidi="ar-SA"/>
        </w:rPr>
        <w:t>(3) the defendant reasonably believed that [name of person] intended to commit such a crime</w:t>
      </w:r>
      <w:r>
        <w:rPr>
          <w:rFonts w:ascii="arial" w:eastAsia="arial" w:hAnsi="arial" w:cs="arial"/>
          <w:color w:val="000000"/>
          <w:sz w:val="20"/>
          <w:lang w:val="en-US" w:eastAsia="en-US" w:bidi="ar-SA"/>
        </w:rPr>
        <w:t>;</w:t>
      </w:r>
    </w:p>
    <w:p>
      <w:pPr>
        <w:spacing w:before="200" w:line="260" w:lineRule="atLeast"/>
        <w:ind w:left="400"/>
        <w:jc w:val="both"/>
        <w:rPr>
          <w:lang w:val="en-US" w:eastAsia="en-US" w:bidi="ar-SA"/>
        </w:rPr>
      </w:pPr>
      <w:r>
        <w:rPr>
          <w:rFonts w:ascii="arial" w:eastAsia="arial" w:hAnsi="arial" w:cs="arial"/>
          <w:b/>
          <w:color w:val="000000"/>
          <w:sz w:val="20"/>
          <w:lang w:val="en-US" w:eastAsia="en-US" w:bidi="ar-SA"/>
        </w:rPr>
        <w:t>(4) the defendant believed that the force that [he] [she] used against [name of person] was necessary to prevent imminent death or serious bodily harm; and</w:t>
      </w:r>
    </w:p>
    <w:p>
      <w:pPr>
        <w:spacing w:before="200" w:line="260" w:lineRule="atLeast"/>
        <w:ind w:left="400"/>
        <w:jc w:val="both"/>
        <w:rPr>
          <w:lang w:val="en-US" w:eastAsia="en-US" w:bidi="ar-SA"/>
        </w:rPr>
      </w:pPr>
      <w:r>
        <w:rPr>
          <w:rFonts w:ascii="arial" w:eastAsia="arial" w:hAnsi="arial" w:cs="arial"/>
          <w:b/>
          <w:color w:val="000000"/>
          <w:sz w:val="20"/>
          <w:lang w:val="en-US" w:eastAsia="en-US" w:bidi="ar-SA"/>
        </w:rPr>
        <w:t>(5) the defendant reasonably believed that such force was necessary</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color w:val="000000"/>
          <w:sz w:val="20"/>
          <w:lang w:val="en-US" w:eastAsia="en-US" w:bidi="ar-SA"/>
        </w:rPr>
        <w:t>In order to convict the defendant, the State must show that the defense of one's home does not apply in this case by proving, beyond a reasonable doubt, that at least one of the five factors previously stated was absent</w:t>
      </w:r>
      <w:r>
        <w:rPr>
          <w:rFonts w:ascii="arial" w:eastAsia="arial" w:hAnsi="arial" w:cs="arial"/>
          <w:color w:val="000000"/>
          <w:sz w:val="20"/>
          <w:lang w:val="en-US" w:eastAsia="en-US" w:bidi="ar-SA"/>
        </w:rPr>
        <w:t>.</w:t>
      </w:r>
    </w:p>
    <w:p>
      <w:pPr>
        <w:rPr>
          <w:lang w:val="en-US" w:eastAsia="en-US" w:bidi="ar-SA"/>
        </w:rPr>
      </w:pPr>
    </w:p>
    <w:tbl>
      <w:tblPr>
        <w:tblStyle w:val="TableNormal"/>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
      <w:tblGrid>
        <w:gridCol w:w="10240"/>
      </w:tblGrid>
      <w:tr>
        <w:tblPrEx>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Ex>
        <w:tc>
          <w:tcPr>
            <w:tcW w:w="10240" w:type="dxa"/>
            <w:vAlign w:val="center"/>
          </w:tcPr>
          <w:p>
            <w:pPr>
              <w:spacing w:before="240" w:line="260" w:lineRule="atLeast"/>
              <w:ind w:left="60" w:right="360"/>
              <w:rPr>
                <w:lang w:val="en-US" w:eastAsia="en-US" w:bidi="ar-SA"/>
              </w:rPr>
            </w:pPr>
            <w:r>
              <w:rPr>
                <w:rFonts w:ascii="arial" w:eastAsia="arial" w:hAnsi="arial" w:cs="arial"/>
                <w:b/>
                <w:color w:val="000000"/>
                <w:sz w:val="20"/>
                <w:lang w:val="en-US" w:eastAsia="en-US" w:bidi="ar-SA"/>
              </w:rPr>
              <w:t> </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COMMENT</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The Court of Appeals first addressed the defense of habitation in </w:t>
            </w:r>
            <w:hyperlink r:id="rId63" w:history="1">
              <w:r>
                <w:rPr>
                  <w:rFonts w:ascii="arial" w:eastAsia="arial" w:hAnsi="arial" w:cs="arial"/>
                  <w:i/>
                  <w:color w:val="0077CC"/>
                  <w:sz w:val="20"/>
                  <w:u w:val="single"/>
                  <w:lang w:val="en-US" w:eastAsia="en-US" w:bidi="ar-SA"/>
                </w:rPr>
                <w:t>Crawford v. State, 231 Md. 354, 190 A.2d 538 (1963):</w:t>
              </w:r>
            </w:hyperlink>
          </w:p>
          <w:p>
            <w:pPr>
              <w:spacing w:before="200" w:line="260" w:lineRule="atLeast"/>
              <w:ind w:left="460" w:right="360"/>
              <w:jc w:val="both"/>
              <w:rPr>
                <w:lang w:val="en-US" w:eastAsia="en-US" w:bidi="ar-SA"/>
              </w:rPr>
            </w:pPr>
            <w:r>
              <w:rPr>
                <w:rFonts w:ascii="arial" w:eastAsia="arial" w:hAnsi="arial" w:cs="arial"/>
                <w:color w:val="000000"/>
                <w:sz w:val="20"/>
                <w:lang w:val="en-US" w:eastAsia="en-US" w:bidi="ar-SA"/>
              </w:rPr>
              <w:t xml:space="preserve">[I]f an assault on a dwelling and an attempted forcible entry are made under circumstances which would create a reasonable apprehension that it is the design of the assailant </w:t>
            </w:r>
            <w:r>
              <w:rPr>
                <w:rFonts w:ascii="arial" w:eastAsia="arial" w:hAnsi="arial" w:cs="arial"/>
                <w:i/>
                <w:color w:val="000000"/>
                <w:sz w:val="20"/>
                <w:lang w:val="en-US" w:eastAsia="en-US" w:bidi="ar-SA"/>
              </w:rPr>
              <w:t>to commit a felony</w:t>
            </w:r>
            <w:r>
              <w:rPr>
                <w:rFonts w:ascii="arial" w:eastAsia="arial" w:hAnsi="arial" w:cs="arial"/>
                <w:color w:val="000000"/>
                <w:sz w:val="20"/>
                <w:lang w:val="en-US" w:eastAsia="en-US" w:bidi="ar-SA"/>
              </w:rPr>
              <w:t xml:space="preserve"> or to inflict on the inhabitants injury which may result in loss of life or great bodily harm, and that the danger that the design will be carried into effect is imminent, a lawful occupant of the dwelling may prevent the entry even by the taking of the intruder's life.</w:t>
            </w:r>
          </w:p>
          <w:p>
            <w:pPr>
              <w:spacing w:before="200" w:line="260" w:lineRule="atLeast"/>
              <w:ind w:left="60" w:right="360"/>
              <w:jc w:val="both"/>
              <w:rPr>
                <w:lang w:val="en-US" w:eastAsia="en-US" w:bidi="ar-SA"/>
              </w:rPr>
            </w:pPr>
            <w:hyperlink r:id="rId63" w:history="1">
              <w:r>
                <w:rPr>
                  <w:rFonts w:ascii="arial" w:eastAsia="arial" w:hAnsi="arial" w:cs="arial"/>
                  <w:i/>
                  <w:color w:val="0077CC"/>
                  <w:sz w:val="20"/>
                  <w:u w:val="single"/>
                  <w:lang w:val="en-US" w:eastAsia="en-US" w:bidi="ar-SA"/>
                </w:rPr>
                <w:t>Id. at 360, 190 A.2d at 541</w:t>
              </w:r>
            </w:hyperlink>
            <w:r>
              <w:rPr>
                <w:rFonts w:ascii="arial" w:eastAsia="arial" w:hAnsi="arial" w:cs="arial"/>
                <w:color w:val="000000"/>
                <w:sz w:val="20"/>
                <w:lang w:val="en-US" w:eastAsia="en-US" w:bidi="ar-SA"/>
              </w:rPr>
              <w:t xml:space="preserve"> (emphasis in original). The Court stated that "the rules regarding the defense of one's person and the rules regarding the defense of one's habitation are generally similar." </w:t>
            </w:r>
            <w:hyperlink r:id="rId63" w:history="1">
              <w:r>
                <w:rPr>
                  <w:rFonts w:ascii="arial" w:eastAsia="arial" w:hAnsi="arial" w:cs="arial"/>
                  <w:i/>
                  <w:color w:val="0077CC"/>
                  <w:sz w:val="20"/>
                  <w:u w:val="single"/>
                  <w:lang w:val="en-US" w:eastAsia="en-US" w:bidi="ar-SA"/>
                </w:rPr>
                <w:t>Id. at 361-62, 190 A.2d at 542.</w:t>
              </w:r>
            </w:hyperlink>
            <w:r>
              <w:rPr>
                <w:rFonts w:ascii="arial" w:eastAsia="arial" w:hAnsi="arial" w:cs="arial"/>
                <w:color w:val="000000"/>
                <w:sz w:val="20"/>
                <w:lang w:val="en-US" w:eastAsia="en-US" w:bidi="ar-SA"/>
              </w:rPr>
              <w:t xml:space="preserve"> The Court recognized that the defense of habitation is closely related to the castle doctrine exception to the duty to retreat rule in self-defense. </w:t>
            </w:r>
            <w:hyperlink r:id="rId63" w:history="1">
              <w:r>
                <w:rPr>
                  <w:rFonts w:ascii="arial" w:eastAsia="arial" w:hAnsi="arial" w:cs="arial"/>
                  <w:i/>
                  <w:color w:val="0077CC"/>
                  <w:sz w:val="20"/>
                  <w:u w:val="single"/>
                  <w:lang w:val="en-US" w:eastAsia="en-US" w:bidi="ar-SA"/>
                </w:rPr>
                <w:t>Id. at 361-62, 190 A.2d at 541-42.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See generally</w:t>
            </w:r>
            <w:r>
              <w:rPr>
                <w:rFonts w:ascii="arial" w:eastAsia="arial" w:hAnsi="arial" w:cs="arial"/>
                <w:color w:val="000000"/>
                <w:sz w:val="20"/>
                <w:lang w:val="en-US" w:eastAsia="en-US" w:bidi="ar-SA"/>
              </w:rPr>
              <w:t xml:space="preserve"> WAYNE R. LAFAVE, CRIMINAL LAW § 10.6, at 585-90 (5th ed. 2010); ROLLIN M. PERKINS &amp; RONALD N. BOYCE, CRIMINAL LAW 1148-52 (3d ed. 1982); WILLIAM LAWRENCE CLARK &amp; WILLIAM LAWRENCE MARSHALL, A TREATISE ON THE LAW OF CRIMES § 7.03, at 493-95 (7th ed. 1967).</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The right to use deadly force comes from an honest and reasonable belief of imminent death or serious bodily harm and/or an honest and reasonable belief of an imminent felony. If an imminent felony, it must be one "committed by forcible means, violence, and surprise, such as murder, robbery, burglary, rape, or arson [and thus the] killing is necessary to prevent the commission of the felony in question." </w:t>
            </w:r>
            <w:hyperlink r:id="rId63" w:history="1">
              <w:r>
                <w:rPr>
                  <w:rFonts w:ascii="arial" w:eastAsia="arial" w:hAnsi="arial" w:cs="arial"/>
                  <w:i/>
                  <w:color w:val="0077CC"/>
                  <w:sz w:val="20"/>
                  <w:u w:val="single"/>
                  <w:lang w:val="en-US" w:eastAsia="en-US" w:bidi="ar-SA"/>
                </w:rPr>
                <w:t>Crawford, 231 Md. at 362-63, 190 A.2d at 542-43</w:t>
              </w:r>
            </w:hyperlink>
            <w:r>
              <w:rPr>
                <w:rFonts w:ascii="arial" w:eastAsia="arial" w:hAnsi="arial" w:cs="arial"/>
                <w:color w:val="000000"/>
                <w:sz w:val="20"/>
                <w:lang w:val="en-US" w:eastAsia="en-US" w:bidi="ar-SA"/>
              </w:rPr>
              <w:t xml:space="preserve"> (quoting 1 WHARTON'S CRIMINAL LAW &amp; PROCEDURE § 206, at 453-55 (Anderson, ed. 1957)); </w:t>
            </w:r>
            <w:hyperlink r:id="rId64" w:history="1">
              <w:r>
                <w:rPr>
                  <w:rFonts w:ascii="arial" w:eastAsia="arial" w:hAnsi="arial" w:cs="arial"/>
                  <w:i/>
                  <w:color w:val="0077CC"/>
                  <w:sz w:val="20"/>
                  <w:u w:val="single"/>
                  <w:lang w:val="en-US" w:eastAsia="en-US" w:bidi="ar-SA"/>
                </w:rPr>
                <w:t>Braboy v. State, 130 Md. App. 220, 230 n.10, 745 A.2d 471, 476 n.10</w:t>
              </w:r>
            </w:hyperlink>
            <w:r>
              <w:rPr>
                <w:rFonts w:ascii="arial" w:eastAsia="arial" w:hAnsi="arial" w:cs="arial"/>
                <w:color w:val="000000"/>
                <w:sz w:val="20"/>
                <w:lang w:val="en-US" w:eastAsia="en-US" w:bidi="ar-SA"/>
              </w:rPr>
              <w:t xml:space="preserve"> ("The habitation defense applies when a defendant has used deadly force in response to a reasonable belief that the victim intended to commit a felony in the home or to inflict serious bodily harm or death on the inhabitants of the home." (citing </w:t>
            </w:r>
            <w:hyperlink r:id="rId63" w:history="1">
              <w:r>
                <w:rPr>
                  <w:rFonts w:ascii="arial" w:eastAsia="arial" w:hAnsi="arial" w:cs="arial"/>
                  <w:i/>
                  <w:color w:val="0077CC"/>
                  <w:sz w:val="20"/>
                  <w:u w:val="single"/>
                  <w:lang w:val="en-US" w:eastAsia="en-US" w:bidi="ar-SA"/>
                </w:rPr>
                <w:t>Crawford v. State, 231 Md. 354, 360, 361-62, 190 A.2d 538 (1963))),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358 Md. 609, 751 A.2d 470 (2000).</w:t>
            </w:r>
          </w:p>
          <w:p>
            <w:pPr>
              <w:spacing w:before="200" w:line="260" w:lineRule="atLeast"/>
              <w:ind w:left="60" w:right="360"/>
              <w:jc w:val="both"/>
              <w:rPr>
                <w:lang w:val="en-US" w:eastAsia="en-US" w:bidi="ar-SA"/>
              </w:rPr>
            </w:pPr>
            <w:r>
              <w:rPr>
                <w:rFonts w:ascii="arial" w:eastAsia="arial" w:hAnsi="arial" w:cs="arial"/>
                <w:i/>
                <w:color w:val="000000"/>
                <w:sz w:val="20"/>
                <w:lang w:val="en-US" w:eastAsia="en-US" w:bidi="ar-SA"/>
              </w:rPr>
              <w:t>See generally</w:t>
            </w:r>
            <w:r>
              <w:rPr>
                <w:rFonts w:ascii="arial" w:eastAsia="arial" w:hAnsi="arial" w:cs="arial"/>
                <w:color w:val="000000"/>
                <w:sz w:val="20"/>
                <w:lang w:val="en-US" w:eastAsia="en-US" w:bidi="ar-SA"/>
              </w:rPr>
              <w:t xml:space="preserve"> CLARK &amp; MARSHALL,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 7.05. </w:t>
            </w:r>
            <w:r>
              <w:rPr>
                <w:rFonts w:ascii="arial" w:eastAsia="arial" w:hAnsi="arial" w:cs="arial"/>
                <w:i/>
                <w:color w:val="000000"/>
                <w:sz w:val="20"/>
                <w:lang w:val="en-US" w:eastAsia="en-US" w:bidi="ar-SA"/>
              </w:rPr>
              <w:t xml:space="preserve">See </w:t>
            </w:r>
            <w:hyperlink r:id="rId65" w:history="1">
              <w:r>
                <w:rPr>
                  <w:rFonts w:ascii="arial" w:eastAsia="arial" w:hAnsi="arial" w:cs="arial"/>
                  <w:i/>
                  <w:color w:val="0077CC"/>
                  <w:sz w:val="20"/>
                  <w:u w:val="single"/>
                  <w:lang w:val="en-US" w:eastAsia="en-US" w:bidi="ar-SA"/>
                </w:rPr>
                <w:t>Barton v. State, 46 Md. App. 616, 620, 420 A.2d 1009, 1012 (1980)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Crawford</w:t>
            </w:r>
            <w:r>
              <w:rPr>
                <w:rFonts w:ascii="arial" w:eastAsia="arial" w:hAnsi="arial" w:cs="arial"/>
                <w:color w:val="000000"/>
                <w:sz w:val="20"/>
                <w:lang w:val="en-US" w:eastAsia="en-US" w:bidi="ar-SA"/>
              </w:rPr>
              <w:t xml:space="preserve"> recognizes that "the rules regarding the defense of one's dwelling 'are generally similar' to those governing the defense of one's person"); </w:t>
            </w:r>
            <w:hyperlink r:id="rId66" w:history="1">
              <w:r>
                <w:rPr>
                  <w:rFonts w:ascii="arial" w:eastAsia="arial" w:hAnsi="arial" w:cs="arial"/>
                  <w:i/>
                  <w:color w:val="0077CC"/>
                  <w:sz w:val="20"/>
                  <w:u w:val="single"/>
                  <w:lang w:val="en-US" w:eastAsia="en-US" w:bidi="ar-SA"/>
                </w:rPr>
                <w:t>Law v. State, 21 Md. App. 13, 27-28, 318 A.2d 859, 867-68 (1974)</w:t>
              </w:r>
            </w:hyperlink>
            <w:r>
              <w:rPr>
                <w:rFonts w:ascii="arial" w:eastAsia="arial" w:hAnsi="arial" w:cs="arial"/>
                <w:color w:val="000000"/>
                <w:sz w:val="20"/>
                <w:lang w:val="en-US" w:eastAsia="en-US" w:bidi="ar-SA"/>
              </w:rPr>
              <w:t xml:space="preserve"> (emphasizing that the "real or apparent necessity" limitation precludes the taking of life unless unavoidable). Thus, a valid defense of habitation at the deadly force level is also a valid self-defense or defense of others at the deadly force level or crime prevention against an inherently dangerous felony level. </w:t>
            </w:r>
            <w:r>
              <w:rPr>
                <w:rFonts w:ascii="arial" w:eastAsia="arial" w:hAnsi="arial" w:cs="arial"/>
                <w:i/>
                <w:color w:val="000000"/>
                <w:sz w:val="20"/>
                <w:lang w:val="en-US" w:eastAsia="en-US" w:bidi="ar-SA"/>
              </w:rPr>
              <w:t xml:space="preserve">See </w:t>
            </w:r>
            <w:hyperlink r:id="rId67" w:history="1">
              <w:r>
                <w:rPr>
                  <w:rFonts w:ascii="arial" w:eastAsia="arial" w:hAnsi="arial" w:cs="arial"/>
                  <w:i/>
                  <w:color w:val="0077CC"/>
                  <w:sz w:val="20"/>
                  <w:u w:val="single"/>
                  <w:lang w:val="en-US" w:eastAsia="en-US" w:bidi="ar-SA"/>
                </w:rPr>
                <w:t>Brown v. State, 441 S.W.2d 485 (Tenn. Crim. App. 1969);</w:t>
              </w:r>
            </w:hyperlink>
            <w:r>
              <w:rPr>
                <w:rFonts w:ascii="arial" w:eastAsia="arial" w:hAnsi="arial" w:cs="arial"/>
                <w:color w:val="000000"/>
                <w:sz w:val="20"/>
                <w:lang w:val="en-US" w:eastAsia="en-US" w:bidi="ar-SA"/>
              </w:rPr>
              <w:t xml:space="preserve"> </w:t>
            </w:r>
            <w:hyperlink r:id="rId68" w:history="1">
              <w:r>
                <w:rPr>
                  <w:rFonts w:ascii="arial" w:eastAsia="arial" w:hAnsi="arial" w:cs="arial"/>
                  <w:i/>
                  <w:color w:val="0077CC"/>
                  <w:sz w:val="20"/>
                  <w:u w:val="single"/>
                  <w:lang w:val="en-US" w:eastAsia="en-US" w:bidi="ar-SA"/>
                </w:rPr>
                <w:t>People v. Hubbard, 220 P. 315, 319 (Cal. Dist. Ct. App. 1923);</w:t>
              </w:r>
            </w:hyperlink>
            <w:r>
              <w:rPr>
                <w:rFonts w:ascii="arial" w:eastAsia="arial" w:hAnsi="arial" w:cs="arial"/>
                <w:color w:val="000000"/>
                <w:sz w:val="20"/>
                <w:lang w:val="en-US" w:eastAsia="en-US" w:bidi="ar-SA"/>
              </w:rPr>
              <w:t xml:space="preserve"> LAFAVE,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 10.6, at 585-86; PERKINS &amp; BOYCE,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1154-55, 1158-60.</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In defending habitation, the defender must not use excessive force and must exhaust all other means of preventing the crime first. </w:t>
            </w:r>
            <w:hyperlink r:id="rId66" w:history="1">
              <w:r>
                <w:rPr>
                  <w:rFonts w:ascii="arial" w:eastAsia="arial" w:hAnsi="arial" w:cs="arial"/>
                  <w:i/>
                  <w:color w:val="0077CC"/>
                  <w:sz w:val="20"/>
                  <w:u w:val="single"/>
                  <w:lang w:val="en-US" w:eastAsia="en-US" w:bidi="ar-SA"/>
                </w:rPr>
                <w:t>Law, 21 Md. App. at 31, 318 A.2d at 869</w:t>
              </w:r>
            </w:hyperlink>
            <w:r>
              <w:rPr>
                <w:rFonts w:ascii="arial" w:eastAsia="arial" w:hAnsi="arial" w:cs="arial"/>
                <w:color w:val="000000"/>
                <w:sz w:val="20"/>
                <w:lang w:val="en-US" w:eastAsia="en-US" w:bidi="ar-SA"/>
              </w:rPr>
              <w:t xml:space="preserve"> (quoting WHARTON,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Defense of habitation includes maintaining possession of the premises, </w:t>
            </w:r>
            <w:hyperlink r:id="rId68" w:history="1">
              <w:r>
                <w:rPr>
                  <w:rFonts w:ascii="arial" w:eastAsia="arial" w:hAnsi="arial" w:cs="arial"/>
                  <w:i/>
                  <w:color w:val="0077CC"/>
                  <w:sz w:val="20"/>
                  <w:u w:val="single"/>
                  <w:lang w:val="en-US" w:eastAsia="en-US" w:bidi="ar-SA"/>
                </w:rPr>
                <w:t>Hubbard, 220 P. at 319,</w:t>
              </w:r>
            </w:hyperlink>
            <w:r>
              <w:rPr>
                <w:rFonts w:ascii="arial" w:eastAsia="arial" w:hAnsi="arial" w:cs="arial"/>
                <w:color w:val="000000"/>
                <w:sz w:val="20"/>
                <w:lang w:val="en-US" w:eastAsia="en-US" w:bidi="ar-SA"/>
              </w:rPr>
              <w:t xml:space="preserve"> which includes preventing or terminating an unlawful attack upon the dwelling. KAN. STAT. ANN. § 21-3212 (1988). To this end, the defendant, if necessary, "may even pursue the assailant until he finds himself or his property out of danger ...." </w:t>
            </w:r>
            <w:hyperlink r:id="rId66" w:history="1">
              <w:r>
                <w:rPr>
                  <w:rFonts w:ascii="arial" w:eastAsia="arial" w:hAnsi="arial" w:cs="arial"/>
                  <w:i/>
                  <w:color w:val="0077CC"/>
                  <w:sz w:val="20"/>
                  <w:u w:val="single"/>
                  <w:lang w:val="en-US" w:eastAsia="en-US" w:bidi="ar-SA"/>
                </w:rPr>
                <w:t>Law, 21 Md. App. at 28, 318 A.2d at 867</w:t>
              </w:r>
            </w:hyperlink>
            <w:r>
              <w:rPr>
                <w:rFonts w:ascii="arial" w:eastAsia="arial" w:hAnsi="arial" w:cs="arial"/>
                <w:color w:val="000000"/>
                <w:sz w:val="20"/>
                <w:lang w:val="en-US" w:eastAsia="en-US" w:bidi="ar-SA"/>
              </w:rPr>
              <w:t xml:space="preserve"> (quoting SEYMOUR F. HARRIS, PRINCIPLES OF CRIMINAL LAW 127 (M.F. Force ed., Robert Clarke &amp; Co. 3d ed. 1885)). Although Maryland has not addressed the workplace, there is some authority for extending the defense of habitation to the workplace. PERKINS &amp; BOYCE,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 10.6, at 1151.</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As in self-defense and defense of others, there may be an imperfect defense of habitation. </w:t>
            </w:r>
            <w:r>
              <w:rPr>
                <w:rFonts w:ascii="arial" w:eastAsia="arial" w:hAnsi="arial" w:cs="arial"/>
                <w:i/>
                <w:color w:val="000000"/>
                <w:sz w:val="20"/>
                <w:lang w:val="en-US" w:eastAsia="en-US" w:bidi="ar-SA"/>
              </w:rPr>
              <w:t xml:space="preserve">See </w:t>
            </w:r>
            <w:hyperlink r:id="rId69" w:history="1">
              <w:r>
                <w:rPr>
                  <w:rFonts w:ascii="arial" w:eastAsia="arial" w:hAnsi="arial" w:cs="arial"/>
                  <w:i/>
                  <w:color w:val="0077CC"/>
                  <w:sz w:val="20"/>
                  <w:u w:val="single"/>
                  <w:lang w:val="en-US" w:eastAsia="en-US" w:bidi="ar-SA"/>
                </w:rPr>
                <w:t>Law v. State, 29 Md. App. 457, 349 A.2d 295 (1975);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cf. </w:t>
            </w:r>
            <w:hyperlink r:id="rId70" w:history="1">
              <w:r>
                <w:rPr>
                  <w:rFonts w:ascii="arial" w:eastAsia="arial" w:hAnsi="arial" w:cs="arial"/>
                  <w:i/>
                  <w:color w:val="0077CC"/>
                  <w:sz w:val="20"/>
                  <w:u w:val="single"/>
                  <w:lang w:val="en-US" w:eastAsia="en-US" w:bidi="ar-SA"/>
                </w:rPr>
                <w:t>Christian v. State, 405 Md. 306, 951 A.2d 832 (2008)</w:t>
              </w:r>
            </w:hyperlink>
            <w:r>
              <w:rPr>
                <w:rFonts w:ascii="arial" w:eastAsia="arial" w:hAnsi="arial" w:cs="arial"/>
                <w:color w:val="000000"/>
                <w:sz w:val="20"/>
                <w:lang w:val="en-US" w:eastAsia="en-US" w:bidi="ar-SA"/>
              </w:rPr>
              <w:t xml:space="preserve"> (imperfect self-defense can mitigate first degree assault to second degree assault).</w:t>
            </w:r>
          </w:p>
          <w:p>
            <w:pPr>
              <w:spacing w:after="120"/>
              <w:rPr>
                <w:lang w:val="en-US" w:eastAsia="en-US" w:bidi="ar-SA"/>
              </w:rPr>
            </w:pPr>
          </w:p>
        </w:tc>
      </w:tr>
    </w:tbl>
    <w:p>
      <w:pPr>
        <w:spacing w:before="60" w:line="260" w:lineRule="atLeast"/>
        <w:ind w:left="720"/>
        <w:jc w:val="both"/>
        <w:rPr>
          <w:lang w:val="en-US" w:eastAsia="en-US" w:bidi="ar-SA"/>
        </w:rPr>
      </w:pPr>
      <w:r>
        <w:rPr>
          <w:rFonts w:ascii="arial" w:eastAsia="arial" w:hAnsi="arial" w:cs="arial"/>
          <w:color w:val="000000"/>
          <w:sz w:val="20"/>
          <w:lang w:val="en-US" w:eastAsia="en-US" w:bidi="ar-SA"/>
        </w:rPr>
        <w:t>#MICPEL#</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Reference</w:t>
      </w:r>
    </w:p>
    <w:p>
      <w:pPr>
        <w:spacing w:line="60" w:lineRule="exact"/>
        <w:rPr>
          <w:lang w:val="en-US" w:eastAsia="en-US" w:bidi="ar-SA"/>
        </w:rPr>
      </w:pPr>
      <w:r>
        <w:pict>
          <v:line id="_x0000_s1035" style="position:absolute;z-index:251672576" from="0,2pt" to="512pt,2pt" strokecolor="#009ddb" strokeweight="2pt">
            <v:stroke linestyle="single"/>
            <w10:wrap type="topAndBottom"/>
          </v:line>
        </w:pict>
      </w:r>
    </w:p>
    <w:p>
      <w:pPr>
        <w:spacing w:line="120" w:lineRule="exact"/>
        <w:rPr>
          <w:lang w:val="en-US" w:eastAsia="en-US" w:bidi="ar-SA"/>
        </w:rPr>
      </w:pPr>
    </w:p>
    <w:p>
      <w:pPr>
        <w:spacing w:before="120" w:line="260" w:lineRule="atLeast"/>
        <w:rPr>
          <w:lang w:val="en-US" w:eastAsia="en-US" w:bidi="ar-SA"/>
        </w:rPr>
      </w:pPr>
      <w:r>
        <w:rPr>
          <w:rFonts w:ascii="arial" w:eastAsia="arial" w:hAnsi="arial" w:cs="arial"/>
          <w:color w:val="000000"/>
          <w:sz w:val="20"/>
          <w:lang w:val="en-US" w:eastAsia="en-US" w:bidi="ar-SA"/>
        </w:rPr>
        <w:t>MPJI-Cr 4:17.2, MPJI-Cr 4:17.3.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Source:</w:t>
      </w:r>
      <w:r>
        <w:rPr>
          <w:rFonts w:ascii="arial" w:eastAsia="arial" w:hAnsi="arial" w:cs="arial"/>
          <w:color w:val="000000"/>
          <w:sz w:val="20"/>
          <w:lang w:val="en-US" w:eastAsia="en-US" w:bidi="ar-SA"/>
        </w:rPr>
        <w:t> MICPEL</w:t>
      </w:r>
    </w:p>
    <w:p>
      <w:pPr>
        <w:spacing w:before="240" w:line="220" w:lineRule="atLeast"/>
        <w:rPr>
          <w:lang w:val="en-US" w:eastAsia="en-US" w:bidi="ar-SA"/>
        </w:rPr>
      </w:pPr>
      <w:r>
        <w:rPr>
          <w:rFonts w:ascii="arial" w:eastAsia="arial" w:hAnsi="arial" w:cs="arial"/>
          <w:color w:val="000000"/>
          <w:sz w:val="16"/>
          <w:lang w:val="en-US" w:eastAsia="en-US" w:bidi="ar-SA"/>
        </w:rPr>
        <w:t>Maryland Criminal Pattern Jury Instructions</w:t>
      </w:r>
    </w:p>
    <w:p>
      <w:pPr>
        <w:spacing w:line="220" w:lineRule="atLeast"/>
        <w:rPr>
          <w:lang w:val="en-US" w:eastAsia="en-US" w:bidi="ar-SA"/>
        </w:rPr>
      </w:pPr>
      <w:r>
        <w:rPr>
          <w:rFonts w:ascii="arial" w:eastAsia="arial" w:hAnsi="arial" w:cs="arial"/>
          <w:color w:val="000000"/>
          <w:sz w:val="16"/>
          <w:lang w:val="en-US" w:eastAsia="en-US" w:bidi="ar-SA"/>
        </w:rPr>
        <w:t>Copyright 2018 by The Maryland State Bar Association, Inc.</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6" style="position:absolute;z-index:2516838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1"/>
          <w:headerReference w:type="default" r:id="rId72"/>
          <w:footerReference w:type="even" r:id="rId73"/>
          <w:footerReference w:type="default" r:id="rId74"/>
          <w:headerReference w:type="first" r:id="rId75"/>
          <w:footerReference w:type="first" r:id="rId76"/>
          <w:type w:val="nextPage"/>
          <w:pgSz w:w="12240" w:h="15840"/>
          <w:pgMar w:top="840" w:right="1000" w:bottom="840" w:left="1000" w:header="400" w:footer="400"/>
          <w:pgNumType w:fmt="decimal"/>
          <w:cols w:space="720"/>
          <w:titlePg/>
        </w:sectPr>
      </w:pPr>
    </w:p>
    <w:p>
      <w:pPr>
        <w:rPr>
          <w:lang w:val="en-US" w:eastAsia="en-US" w:bidi="ar-SA"/>
        </w:rPr>
      </w:pPr>
      <w:bookmarkStart w:id="3" w:name="Bookmark_4"/>
      <w:bookmarkEnd w:id="3"/>
    </w:p>
    <w:p>
      <w:pPr>
        <w:rPr>
          <w:lang w:val="en-US" w:eastAsia="en-US" w:bidi="ar-SA"/>
        </w:rPr>
      </w:pPr>
      <w:r>
        <w:pict>
          <v:shape id="_x0000_i1037" type="#_x0000_t75" alt="LexisNexis®" style="width:147.77pt;height:30pt">
            <v:imagedata r:id="rId4" o:title=""/>
          </v:shape>
        </w:pict>
      </w:r>
      <w:r>
        <w:rPr>
          <w:lang w:val="en-US" w:eastAsia="en-US" w:bidi="ar-SA"/>
        </w:rPr>
        <w:cr/>
      </w:r>
    </w:p>
    <w:p>
      <w:pPr>
        <w:spacing w:before="240" w:after="200" w:line="340" w:lineRule="atLeast"/>
        <w:jc w:val="center"/>
        <w:outlineLvl w:val="0"/>
        <w:rPr>
          <w:rFonts w:ascii="Arial" w:hAnsi="Arial" w:cs="Arial"/>
          <w:b/>
          <w:bCs/>
          <w:kern w:val="32"/>
          <w:sz w:val="32"/>
          <w:szCs w:val="32"/>
          <w:lang w:val="en-US" w:eastAsia="en-US" w:bidi="ar-SA"/>
        </w:rPr>
      </w:pPr>
      <w:hyperlink r:id="rId77" w:history="1">
        <w:r>
          <w:rPr>
            <w:rFonts w:ascii="arial" w:eastAsia="arial" w:hAnsi="arial" w:cs="arial"/>
            <w:b/>
            <w:bCs/>
            <w:i/>
            <w:color w:val="0077CC"/>
            <w:kern w:val="32"/>
            <w:sz w:val="28"/>
            <w:szCs w:val="32"/>
            <w:u w:val="single"/>
            <w:lang w:val="en-US" w:eastAsia="en-US" w:bidi="ar-SA"/>
          </w:rPr>
          <w:t>MPJI-Cr 5:02.1</w:t>
        </w:r>
      </w:hyperlink>
    </w:p>
    <w:p>
      <w:pPr>
        <w:spacing w:line="240" w:lineRule="atLeast"/>
        <w:jc w:val="both"/>
        <w:rPr>
          <w:lang w:val="en-US" w:eastAsia="en-US" w:bidi="ar-SA"/>
        </w:rPr>
      </w:pPr>
    </w:p>
    <w:p>
      <w:pPr>
        <w:spacing w:before="200" w:line="280" w:lineRule="atLeast"/>
        <w:rPr>
          <w:lang w:val="en-US" w:eastAsia="en-US" w:bidi="ar-SA"/>
        </w:rPr>
      </w:pPr>
      <w:r>
        <w:rPr>
          <w:rFonts w:ascii="arial" w:eastAsia="arial" w:hAnsi="arial" w:cs="arial"/>
          <w:b/>
          <w:i/>
          <w:color w:val="000000"/>
          <w:sz w:val="22"/>
          <w:lang w:val="en-US" w:eastAsia="en-US" w:bidi="ar-SA"/>
        </w:rPr>
        <w:t>Maryland Criminal Pattern Jury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CHAPTER 5 DEFENSES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DEFENSE OF PROPERTY--NONDEADLY FORCE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5:02.1Defense of Property--Nondeadly Force</w:t>
      </w:r>
    </w:p>
    <w:p>
      <w:pPr>
        <w:spacing w:line="60" w:lineRule="exact"/>
        <w:rPr>
          <w:lang w:val="en-US" w:eastAsia="en-US" w:bidi="ar-SA"/>
        </w:rPr>
      </w:pPr>
      <w:r>
        <w:pict>
          <v:line id="_x0000_s1038" style="position:absolute;z-index:2516613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color w:val="000000"/>
          <w:sz w:val="20"/>
          <w:lang w:val="en-US" w:eastAsia="en-US" w:bidi="ar-SA"/>
        </w:rPr>
        <w:t>You have heard evidence that the defendant acted in defense of [his] [her] property. Defense of property is a defense and you are required to find the defendant not guilty if all of the following three factors are present</w:t>
      </w:r>
      <w:r>
        <w:rPr>
          <w:rFonts w:ascii="arial" w:eastAsia="arial" w:hAnsi="arial" w:cs="arial"/>
          <w:color w:val="000000"/>
          <w:sz w:val="20"/>
          <w:lang w:val="en-US" w:eastAsia="en-US" w:bidi="ar-SA"/>
        </w:rPr>
        <w:t>:</w:t>
      </w:r>
    </w:p>
    <w:p>
      <w:pPr>
        <w:spacing w:before="200" w:line="260" w:lineRule="atLeast"/>
        <w:ind w:left="400"/>
        <w:jc w:val="both"/>
        <w:rPr>
          <w:lang w:val="en-US" w:eastAsia="en-US" w:bidi="ar-SA"/>
        </w:rPr>
      </w:pPr>
      <w:r>
        <w:rPr>
          <w:rFonts w:ascii="arial" w:eastAsia="arial" w:hAnsi="arial" w:cs="arial"/>
          <w:b/>
          <w:color w:val="000000"/>
          <w:sz w:val="20"/>
          <w:lang w:val="en-US" w:eastAsia="en-US" w:bidi="ar-SA"/>
        </w:rPr>
        <w:t>(1) the defendant actually believed that (name of person) was unlawfully interfering [was just about to unlawfully interfere] with [his] [her] property</w:t>
      </w:r>
      <w:r>
        <w:rPr>
          <w:rFonts w:ascii="arial" w:eastAsia="arial" w:hAnsi="arial" w:cs="arial"/>
          <w:color w:val="000000"/>
          <w:sz w:val="20"/>
          <w:lang w:val="en-US" w:eastAsia="en-US" w:bidi="ar-SA"/>
        </w:rPr>
        <w:t>;</w:t>
      </w:r>
    </w:p>
    <w:p>
      <w:pPr>
        <w:spacing w:before="200" w:line="260" w:lineRule="atLeast"/>
        <w:ind w:left="400"/>
        <w:jc w:val="both"/>
        <w:rPr>
          <w:lang w:val="en-US" w:eastAsia="en-US" w:bidi="ar-SA"/>
        </w:rPr>
      </w:pPr>
      <w:r>
        <w:rPr>
          <w:rFonts w:ascii="arial" w:eastAsia="arial" w:hAnsi="arial" w:cs="arial"/>
          <w:b/>
          <w:color w:val="000000"/>
          <w:sz w:val="20"/>
          <w:lang w:val="en-US" w:eastAsia="en-US" w:bidi="ar-SA"/>
        </w:rPr>
        <w:t>(2) the defendant's belief was reasonable; and</w:t>
      </w:r>
    </w:p>
    <w:p>
      <w:pPr>
        <w:spacing w:before="200" w:line="260" w:lineRule="atLeast"/>
        <w:ind w:left="400"/>
        <w:jc w:val="both"/>
        <w:rPr>
          <w:lang w:val="en-US" w:eastAsia="en-US" w:bidi="ar-SA"/>
        </w:rPr>
      </w:pPr>
      <w:r>
        <w:rPr>
          <w:rFonts w:ascii="arial" w:eastAsia="arial" w:hAnsi="arial" w:cs="arial"/>
          <w:b/>
          <w:color w:val="000000"/>
          <w:sz w:val="20"/>
          <w:lang w:val="en-US" w:eastAsia="en-US" w:bidi="ar-SA"/>
        </w:rPr>
        <w:t>(3) the defendant used no more force than was reasonably necessary to defend against the victim's interference with the property. [A person may not use deadly force to defend [his] [her] property. Deadly force is that amount of force reasonably calculated to cause death or serious bodily harm.]</w:t>
      </w:r>
    </w:p>
    <w:p>
      <w:pPr>
        <w:spacing w:before="200" w:line="260" w:lineRule="atLeast"/>
        <w:jc w:val="both"/>
        <w:rPr>
          <w:lang w:val="en-US" w:eastAsia="en-US" w:bidi="ar-SA"/>
        </w:rPr>
      </w:pPr>
      <w:r>
        <w:rPr>
          <w:rFonts w:ascii="arial" w:eastAsia="arial" w:hAnsi="arial" w:cs="arial"/>
          <w:b/>
          <w:color w:val="000000"/>
          <w:sz w:val="20"/>
          <w:lang w:val="en-US" w:eastAsia="en-US" w:bidi="ar-SA"/>
        </w:rPr>
        <w:t>In order to convict the defendant, the State must show that the defense of property does not apply in this case by proving, beyond a reasonable doubt, that at least one of the three factors previously stated was absent</w:t>
      </w:r>
      <w:r>
        <w:rPr>
          <w:rFonts w:ascii="arial" w:eastAsia="arial" w:hAnsi="arial" w:cs="arial"/>
          <w:color w:val="000000"/>
          <w:sz w:val="20"/>
          <w:lang w:val="en-US" w:eastAsia="en-US" w:bidi="ar-SA"/>
        </w:rPr>
        <w:t>.</w:t>
      </w:r>
    </w:p>
    <w:p>
      <w:pPr>
        <w:rPr>
          <w:lang w:val="en-US" w:eastAsia="en-US" w:bidi="ar-SA"/>
        </w:rPr>
      </w:pPr>
    </w:p>
    <w:tbl>
      <w:tblPr>
        <w:tblStyle w:val="TableNormal"/>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
      <w:tblGrid>
        <w:gridCol w:w="10240"/>
      </w:tblGrid>
      <w:tr>
        <w:tblPrEx>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Ex>
        <w:tc>
          <w:tcPr>
            <w:tcW w:w="10240" w:type="dxa"/>
            <w:vAlign w:val="center"/>
          </w:tcPr>
          <w:p>
            <w:pPr>
              <w:spacing w:before="240" w:line="260" w:lineRule="atLeast"/>
              <w:ind w:left="60" w:right="360"/>
              <w:rPr>
                <w:lang w:val="en-US" w:eastAsia="en-US" w:bidi="ar-SA"/>
              </w:rPr>
            </w:pPr>
            <w:r>
              <w:rPr>
                <w:rFonts w:ascii="arial" w:eastAsia="arial" w:hAnsi="arial" w:cs="arial"/>
                <w:b/>
                <w:color w:val="000000"/>
                <w:sz w:val="20"/>
                <w:lang w:val="en-US" w:eastAsia="en-US" w:bidi="ar-SA"/>
              </w:rPr>
              <w:t> </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COMMENT</w:t>
            </w:r>
          </w:p>
          <w:p>
            <w:pPr>
              <w:spacing w:before="200" w:line="260" w:lineRule="atLeast"/>
              <w:ind w:left="60" w:right="360"/>
              <w:jc w:val="both"/>
              <w:rPr>
                <w:lang w:val="en-US" w:eastAsia="en-US" w:bidi="ar-SA"/>
              </w:rPr>
            </w:pPr>
            <w:r>
              <w:rPr>
                <w:rFonts w:ascii="arial" w:eastAsia="arial" w:hAnsi="arial" w:cs="arial"/>
                <w:i/>
                <w:color w:val="000000"/>
                <w:sz w:val="20"/>
                <w:lang w:val="en-US" w:eastAsia="en-US" w:bidi="ar-SA"/>
              </w:rPr>
              <w:t>See</w:t>
            </w:r>
            <w:r>
              <w:rPr>
                <w:rFonts w:ascii="arial" w:eastAsia="arial" w:hAnsi="arial" w:cs="arial"/>
                <w:color w:val="000000"/>
                <w:sz w:val="20"/>
                <w:lang w:val="en-US" w:eastAsia="en-US" w:bidi="ar-SA"/>
              </w:rPr>
              <w:t xml:space="preserve"> Comment to MPJI-Cr 5:02 (Defense of Habitation--Deadly Force).</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Nondeadly force may be used to prevent or terminate an unlawful interference with, or intrusion upon, a possessory interest in real or personal property. </w:t>
            </w:r>
            <w:r>
              <w:rPr>
                <w:rFonts w:ascii="arial" w:eastAsia="arial" w:hAnsi="arial" w:cs="arial"/>
                <w:i/>
                <w:color w:val="000000"/>
                <w:sz w:val="20"/>
                <w:lang w:val="en-US" w:eastAsia="en-US" w:bidi="ar-SA"/>
              </w:rPr>
              <w:t>See generally</w:t>
            </w:r>
            <w:r>
              <w:rPr>
                <w:rFonts w:ascii="arial" w:eastAsia="arial" w:hAnsi="arial" w:cs="arial"/>
                <w:color w:val="000000"/>
                <w:sz w:val="20"/>
                <w:lang w:val="en-US" w:eastAsia="en-US" w:bidi="ar-SA"/>
              </w:rPr>
              <w:t xml:space="preserve"> ROLLIN M. PERKINS &amp; RONALD N. BOYCE, CRIMINAL LAW 1148-60 (3d ed. 1982). </w:t>
            </w:r>
            <w:r>
              <w:rPr>
                <w:rFonts w:ascii="arial" w:eastAsia="arial" w:hAnsi="arial" w:cs="arial"/>
                <w:i/>
                <w:color w:val="000000"/>
                <w:sz w:val="20"/>
                <w:lang w:val="en-US" w:eastAsia="en-US" w:bidi="ar-SA"/>
              </w:rPr>
              <w:t xml:space="preserve">Cf. </w:t>
            </w:r>
            <w:hyperlink r:id="rId78" w:history="1">
              <w:r>
                <w:rPr>
                  <w:rFonts w:ascii="arial" w:eastAsia="arial" w:hAnsi="arial" w:cs="arial"/>
                  <w:i/>
                  <w:color w:val="0077CC"/>
                  <w:sz w:val="20"/>
                  <w:u w:val="single"/>
                  <w:lang w:val="en-US" w:eastAsia="en-US" w:bidi="ar-SA"/>
                </w:rPr>
                <w:t>Maddran v. Mullendore, 206 Md. 291, 111 A.2d 608 (1955)</w:t>
              </w:r>
            </w:hyperlink>
            <w:r>
              <w:rPr>
                <w:rFonts w:ascii="arial" w:eastAsia="arial" w:hAnsi="arial" w:cs="arial"/>
                <w:color w:val="000000"/>
                <w:sz w:val="20"/>
                <w:lang w:val="en-US" w:eastAsia="en-US" w:bidi="ar-SA"/>
              </w:rPr>
              <w:t xml:space="preserve"> (affirming a directed verdict for the defendant in a civil suit for assault and battery because of the use of no more force than reasonable to prevent interference with a right-of-way easement). However, because the defender may use no more force than is reasonably necessary, even nondeadly force is unreasonable if a request or command could prevent or terminate the interference with property. PERKINS &amp; BOYCE,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1156; WAYNE R. LAFAVE, CRIMINAL LAW § 10.6(a), at 585-86 (5th ed. 2010). Deadly force may be used during a robbery consistent with the rules of self-defense and may not be used to regain property. </w:t>
            </w:r>
            <w:hyperlink r:id="rId79" w:history="1">
              <w:r>
                <w:rPr>
                  <w:rFonts w:ascii="arial" w:eastAsia="arial" w:hAnsi="arial" w:cs="arial"/>
                  <w:i/>
                  <w:color w:val="0077CC"/>
                  <w:sz w:val="20"/>
                  <w:u w:val="single"/>
                  <w:lang w:val="en-US" w:eastAsia="en-US" w:bidi="ar-SA"/>
                </w:rPr>
                <w:t>Sydnor v. State, 365 Md. 205, 217, 776 A.2d 669, 675-76 (2001)</w:t>
              </w:r>
            </w:hyperlink>
            <w:r>
              <w:rPr>
                <w:rFonts w:ascii="arial" w:eastAsia="arial" w:hAnsi="arial" w:cs="arial"/>
                <w:color w:val="000000"/>
                <w:sz w:val="20"/>
                <w:lang w:val="en-US" w:eastAsia="en-US" w:bidi="ar-SA"/>
              </w:rPr>
              <w:t xml:space="preserve"> (it is "established Maryland law" that "the right to use deadly force to resist a robbery, or other attempted or ongoing assault or felony, exists only during the time that the victim of the attack reasonably believes that such force is necessary to repel an imminent danger of death or serious bodily harm--during the time that 'the exigency demanded' the use of such force," and thus defendant had no legal right to shoot a fleeing robber in defense of his property).</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Defense of property at the nondeadly force level includes defense of habitation "in regard to an unlawful entry attempted for the purpose of a personal attack of a </w:t>
            </w:r>
            <w:r>
              <w:rPr>
                <w:rFonts w:ascii="arial" w:eastAsia="arial" w:hAnsi="arial" w:cs="arial"/>
                <w:i/>
                <w:color w:val="000000"/>
                <w:sz w:val="20"/>
                <w:lang w:val="en-US" w:eastAsia="en-US" w:bidi="ar-SA"/>
              </w:rPr>
              <w:t>nonfelonious</w:t>
            </w:r>
            <w:r>
              <w:rPr>
                <w:rFonts w:ascii="arial" w:eastAsia="arial" w:hAnsi="arial" w:cs="arial"/>
                <w:color w:val="000000"/>
                <w:sz w:val="20"/>
                <w:lang w:val="en-US" w:eastAsia="en-US" w:bidi="ar-SA"/>
              </w:rPr>
              <w:t xml:space="preserve"> nature upon the dweller or some member of his household." PERKINS &amp; BOYCE,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1150-51 (emphasis in original).</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The law of other states appears to require only that there be an honest and reasonable belief of the unlawfulness of the interference with the property. 18 PA. CONS. STAT. ANN. § 507(a)(1) (PURDON 1983); COLORADO CRIMINAL JURY INSTRUCTIONS H:24; DISTRICT OF COLUMBIA CRIMINAL JURY INSTRUCTIONS 5:2; MISSOURI CRIMINAL JURY INSTRUCTIONS 2.43; NEW YORK JURY CHARGES IN CRIMINAL CASES 5:33 (West 2010); WISCONSIN JURY INSTRUCTIONS CRIMINAL 855. </w:t>
            </w:r>
            <w:r>
              <w:rPr>
                <w:rFonts w:ascii="arial" w:eastAsia="arial" w:hAnsi="arial" w:cs="arial"/>
                <w:i/>
                <w:color w:val="000000"/>
                <w:sz w:val="20"/>
                <w:lang w:val="en-US" w:eastAsia="en-US" w:bidi="ar-SA"/>
              </w:rPr>
              <w:t>But see</w:t>
            </w:r>
            <w:r>
              <w:rPr>
                <w:rFonts w:ascii="arial" w:eastAsia="arial" w:hAnsi="arial" w:cs="arial"/>
                <w:color w:val="000000"/>
                <w:sz w:val="20"/>
                <w:lang w:val="en-US" w:eastAsia="en-US" w:bidi="ar-SA"/>
              </w:rPr>
              <w:t xml:space="preserve"> FLA. STAT. ANN. § 776.031 (West 2010); LA. REV. STAT. ANN. § 14:19 (West 2007).</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There is an open question of whether the defense of property extends to defense of another's property, meaning that at the time of the prevention of the criminal interference, the defendant had no title, possession, or custody interest in the property. With regard to defending others in the context of crimes against persons, Maryland follows the modern trend of an "expansive" defense of others. </w:t>
            </w:r>
            <w:hyperlink r:id="rId51" w:history="1">
              <w:r>
                <w:rPr>
                  <w:rFonts w:ascii="arial" w:eastAsia="arial" w:hAnsi="arial" w:cs="arial"/>
                  <w:i/>
                  <w:color w:val="0077CC"/>
                  <w:sz w:val="20"/>
                  <w:u w:val="single"/>
                  <w:lang w:val="en-US" w:eastAsia="en-US" w:bidi="ar-SA"/>
                </w:rPr>
                <w:t>Alexander v. State, 52 Md. App. 171, 176-78, 447 A.2d 880, 883-84</w:t>
              </w:r>
            </w:hyperlink>
            <w:r>
              <w:rPr>
                <w:rFonts w:ascii="arial" w:eastAsia="arial" w:hAnsi="arial" w:cs="arial"/>
                <w:color w:val="000000"/>
                <w:sz w:val="20"/>
                <w:lang w:val="en-US" w:eastAsia="en-US" w:bidi="ar-SA"/>
              </w:rPr>
              <w:t xml:space="preserve"> (interpreting predecessor statute to MD. CODE ANN., CRIMINAL LAW I § 3-209 (2000)), </w:t>
            </w:r>
            <w:r>
              <w:rPr>
                <w:rFonts w:ascii="arial" w:eastAsia="arial" w:hAnsi="arial" w:cs="arial"/>
                <w:i/>
                <w:color w:val="000000"/>
                <w:sz w:val="20"/>
                <w:lang w:val="en-US" w:eastAsia="en-US" w:bidi="ar-SA"/>
              </w:rPr>
              <w:t>aff'd per curiam</w:t>
            </w:r>
            <w:r>
              <w:rPr>
                <w:rFonts w:ascii="arial" w:eastAsia="arial" w:hAnsi="arial" w:cs="arial"/>
                <w:color w:val="000000"/>
                <w:sz w:val="20"/>
                <w:lang w:val="en-US" w:eastAsia="en-US" w:bidi="ar-SA"/>
              </w:rPr>
              <w:t xml:space="preserve">, </w:t>
            </w:r>
            <w:hyperlink r:id="rId52" w:history="1">
              <w:r>
                <w:rPr>
                  <w:rFonts w:ascii="arial" w:eastAsia="arial" w:hAnsi="arial" w:cs="arial"/>
                  <w:i/>
                  <w:color w:val="0077CC"/>
                  <w:sz w:val="20"/>
                  <w:u w:val="single"/>
                  <w:lang w:val="en-US" w:eastAsia="en-US" w:bidi="ar-SA"/>
                </w:rPr>
                <w:t>294 Md. 600, 451 A.2d 664 (1982);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cf. </w:t>
            </w:r>
            <w:hyperlink r:id="rId50" w:history="1">
              <w:r>
                <w:rPr>
                  <w:rFonts w:ascii="arial" w:eastAsia="arial" w:hAnsi="arial" w:cs="arial"/>
                  <w:i/>
                  <w:color w:val="0077CC"/>
                  <w:sz w:val="20"/>
                  <w:u w:val="single"/>
                  <w:lang w:val="en-US" w:eastAsia="en-US" w:bidi="ar-SA"/>
                </w:rPr>
                <w:t>Lee v. State, 193 Md. App. 45, 996 A.2d 42</w:t>
              </w:r>
            </w:hyperlink>
            <w:r>
              <w:rPr>
                <w:rFonts w:ascii="arial" w:eastAsia="arial" w:hAnsi="arial" w:cs="arial"/>
                <w:color w:val="000000"/>
                <w:sz w:val="20"/>
                <w:lang w:val="en-US" w:eastAsia="en-US" w:bidi="ar-SA"/>
              </w:rPr>
              <w:t xml:space="preserve"> (affirming refusal to give defense of others instruction where evidence could not support a reasonable inference that defendant security guard believed harm to others was imminent when he shot a belligerent bar patron six times in the parking lot, killing him),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415 Md. 339, 1 A.3d 468 (2010).</w:t>
            </w:r>
            <w:r>
              <w:rPr>
                <w:rFonts w:ascii="arial" w:eastAsia="arial" w:hAnsi="arial" w:cs="arial"/>
                <w:color w:val="000000"/>
                <w:sz w:val="20"/>
                <w:lang w:val="en-US" w:eastAsia="en-US" w:bidi="ar-SA"/>
              </w:rPr>
              <w:t xml:space="preserve"> In the area of defense of property of another, there is no clear trend, and Maryland has neither a statute nor a case on point. Some jurisdictions permit defense of property belonging to any person. </w:t>
            </w:r>
            <w:r>
              <w:rPr>
                <w:rFonts w:ascii="arial" w:eastAsia="arial" w:hAnsi="arial" w:cs="arial"/>
                <w:i/>
                <w:color w:val="000000"/>
                <w:sz w:val="20"/>
                <w:lang w:val="en-US" w:eastAsia="en-US" w:bidi="ar-SA"/>
              </w:rPr>
              <w:t>See, e.g.</w:t>
            </w:r>
            <w:r>
              <w:rPr>
                <w:rFonts w:ascii="arial" w:eastAsia="arial" w:hAnsi="arial" w:cs="arial"/>
                <w:color w:val="000000"/>
                <w:sz w:val="20"/>
                <w:lang w:val="en-US" w:eastAsia="en-US" w:bidi="ar-SA"/>
              </w:rPr>
              <w:t xml:space="preserve">, 18 PA. CONS. STAT. ANN. § 507(a)(1) (PURDON 1983). Some jurisdictions require possession before defending the property. </w:t>
            </w:r>
            <w:r>
              <w:rPr>
                <w:rFonts w:ascii="arial" w:eastAsia="arial" w:hAnsi="arial" w:cs="arial"/>
                <w:i/>
                <w:color w:val="000000"/>
                <w:sz w:val="20"/>
                <w:lang w:val="en-US" w:eastAsia="en-US" w:bidi="ar-SA"/>
              </w:rPr>
              <w:t>See, e.g.</w:t>
            </w:r>
            <w:r>
              <w:rPr>
                <w:rFonts w:ascii="arial" w:eastAsia="arial" w:hAnsi="arial" w:cs="arial"/>
                <w:color w:val="000000"/>
                <w:sz w:val="20"/>
                <w:lang w:val="en-US" w:eastAsia="en-US" w:bidi="ar-SA"/>
              </w:rPr>
              <w:t xml:space="preserve">, ARIZ. REV. STAT. ANN. § 13-408 (1989); KAN. CRIM. CODE ANN. § 21-3213 (Vernon 1970); LA. REV. STAT. § 14:19; </w:t>
            </w:r>
            <w:hyperlink r:id="rId80" w:history="1">
              <w:r>
                <w:rPr>
                  <w:rFonts w:ascii="arial" w:eastAsia="arial" w:hAnsi="arial" w:cs="arial"/>
                  <w:i/>
                  <w:color w:val="0077CC"/>
                  <w:sz w:val="20"/>
                  <w:u w:val="single"/>
                  <w:lang w:val="en-US" w:eastAsia="en-US" w:bidi="ar-SA"/>
                </w:rPr>
                <w:t>Stacey v. Commonwealth, 225 S.W. 37 (Ky. 1920).</w:t>
              </w:r>
            </w:hyperlink>
            <w:r>
              <w:rPr>
                <w:rFonts w:ascii="arial" w:eastAsia="arial" w:hAnsi="arial" w:cs="arial"/>
                <w:color w:val="000000"/>
                <w:sz w:val="20"/>
                <w:lang w:val="en-US" w:eastAsia="en-US" w:bidi="ar-SA"/>
              </w:rPr>
              <w:t xml:space="preserve"> Some jurisdictions permit defense of property only if it is in the possession of certain third parties (e.g., one owed a legal duty by the defender). FLA. STAT. ANN. § 776.031 (West 1976). </w:t>
            </w:r>
            <w:r>
              <w:rPr>
                <w:rFonts w:ascii="arial" w:eastAsia="arial" w:hAnsi="arial" w:cs="arial"/>
                <w:i/>
                <w:color w:val="000000"/>
                <w:sz w:val="20"/>
                <w:lang w:val="en-US" w:eastAsia="en-US" w:bidi="ar-SA"/>
              </w:rPr>
              <w:t>See generally</w:t>
            </w:r>
            <w:r>
              <w:rPr>
                <w:rFonts w:ascii="arial" w:eastAsia="arial" w:hAnsi="arial" w:cs="arial"/>
                <w:color w:val="000000"/>
                <w:sz w:val="20"/>
                <w:lang w:val="en-US" w:eastAsia="en-US" w:bidi="ar-SA"/>
              </w:rPr>
              <w:t xml:space="preserve"> LAFAVE,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 10.6(e), at 589-90.</w:t>
            </w:r>
          </w:p>
          <w:p>
            <w:pPr>
              <w:spacing w:after="120"/>
              <w:rPr>
                <w:lang w:val="en-US" w:eastAsia="en-US" w:bidi="ar-SA"/>
              </w:rPr>
            </w:pPr>
          </w:p>
        </w:tc>
      </w:tr>
    </w:tbl>
    <w:p>
      <w:pPr>
        <w:spacing w:before="60" w:line="260" w:lineRule="atLeast"/>
        <w:ind w:left="720"/>
        <w:jc w:val="both"/>
        <w:rPr>
          <w:lang w:val="en-US" w:eastAsia="en-US" w:bidi="ar-SA"/>
        </w:rPr>
      </w:pPr>
      <w:r>
        <w:rPr>
          <w:rFonts w:ascii="arial" w:eastAsia="arial" w:hAnsi="arial" w:cs="arial"/>
          <w:color w:val="000000"/>
          <w:sz w:val="20"/>
          <w:lang w:val="en-US" w:eastAsia="en-US" w:bidi="ar-SA"/>
        </w:rPr>
        <w:t>#MICPEL#</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Reference</w:t>
      </w:r>
    </w:p>
    <w:p>
      <w:pPr>
        <w:spacing w:line="60" w:lineRule="exact"/>
        <w:rPr>
          <w:lang w:val="en-US" w:eastAsia="en-US" w:bidi="ar-SA"/>
        </w:rPr>
      </w:pPr>
      <w:r>
        <w:pict>
          <v:line id="_x0000_s1039" style="position:absolute;z-index:251673600" from="0,2pt" to="512pt,2pt" strokecolor="#009ddb" strokeweight="2pt">
            <v:stroke linestyle="single"/>
            <w10:wrap type="topAndBottom"/>
          </v:line>
        </w:pict>
      </w:r>
    </w:p>
    <w:p>
      <w:pPr>
        <w:spacing w:line="120" w:lineRule="exact"/>
        <w:rPr>
          <w:lang w:val="en-US" w:eastAsia="en-US" w:bidi="ar-SA"/>
        </w:rPr>
      </w:pPr>
    </w:p>
    <w:p>
      <w:pPr>
        <w:spacing w:before="120" w:line="260" w:lineRule="atLeast"/>
        <w:rPr>
          <w:lang w:val="en-US" w:eastAsia="en-US" w:bidi="ar-SA"/>
        </w:rPr>
      </w:pPr>
      <w:r>
        <w:rPr>
          <w:rFonts w:ascii="arial" w:eastAsia="arial" w:hAnsi="arial" w:cs="arial"/>
          <w:color w:val="000000"/>
          <w:sz w:val="20"/>
          <w:lang w:val="en-US" w:eastAsia="en-US" w:bidi="ar-SA"/>
        </w:rPr>
        <w:t>MPJI-Cr 5:01, MPJI-Cr 5:02, MPJI-Cr 5:07.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Source:</w:t>
      </w:r>
      <w:r>
        <w:rPr>
          <w:rFonts w:ascii="arial" w:eastAsia="arial" w:hAnsi="arial" w:cs="arial"/>
          <w:color w:val="000000"/>
          <w:sz w:val="20"/>
          <w:lang w:val="en-US" w:eastAsia="en-US" w:bidi="ar-SA"/>
        </w:rPr>
        <w:t> MICPEL</w:t>
      </w:r>
    </w:p>
    <w:p>
      <w:pPr>
        <w:spacing w:before="240" w:line="220" w:lineRule="atLeast"/>
        <w:rPr>
          <w:lang w:val="en-US" w:eastAsia="en-US" w:bidi="ar-SA"/>
        </w:rPr>
      </w:pPr>
      <w:r>
        <w:rPr>
          <w:rFonts w:ascii="arial" w:eastAsia="arial" w:hAnsi="arial" w:cs="arial"/>
          <w:color w:val="000000"/>
          <w:sz w:val="16"/>
          <w:lang w:val="en-US" w:eastAsia="en-US" w:bidi="ar-SA"/>
        </w:rPr>
        <w:t>Maryland Criminal Pattern Jury Instructions</w:t>
      </w:r>
    </w:p>
    <w:p>
      <w:pPr>
        <w:spacing w:line="220" w:lineRule="atLeast"/>
        <w:rPr>
          <w:lang w:val="en-US" w:eastAsia="en-US" w:bidi="ar-SA"/>
        </w:rPr>
      </w:pPr>
      <w:r>
        <w:rPr>
          <w:rFonts w:ascii="arial" w:eastAsia="arial" w:hAnsi="arial" w:cs="arial"/>
          <w:color w:val="000000"/>
          <w:sz w:val="16"/>
          <w:lang w:val="en-US" w:eastAsia="en-US" w:bidi="ar-SA"/>
        </w:rPr>
        <w:t>Copyright 2018 by The Maryland State Bar Association, Inc.</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6848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1"/>
          <w:headerReference w:type="default" r:id="rId82"/>
          <w:footerReference w:type="even" r:id="rId83"/>
          <w:footerReference w:type="default" r:id="rId84"/>
          <w:headerReference w:type="first" r:id="rId85"/>
          <w:footerReference w:type="first" r:id="rId86"/>
          <w:type w:val="nextPage"/>
          <w:pgSz w:w="12240" w:h="15840"/>
          <w:pgMar w:top="840" w:right="1000" w:bottom="840" w:left="1000" w:header="400" w:footer="400"/>
          <w:pgNumType w:fmt="decimal"/>
          <w:cols w:space="720"/>
          <w:titlePg/>
        </w:sectPr>
      </w:pPr>
    </w:p>
    <w:p>
      <w:pPr>
        <w:rPr>
          <w:lang w:val="en-US" w:eastAsia="en-US" w:bidi="ar-SA"/>
        </w:rPr>
      </w:pPr>
      <w:bookmarkStart w:id="4" w:name="Bookmark_5"/>
      <w:bookmarkEnd w:id="4"/>
    </w:p>
    <w:p>
      <w:pPr>
        <w:rPr>
          <w:lang w:val="en-US" w:eastAsia="en-US" w:bidi="ar-SA"/>
        </w:rPr>
      </w:pPr>
      <w:r>
        <w:pict>
          <v:shape id="_x0000_i1041" type="#_x0000_t75" alt="LexisNexis®" style="width:147.77pt;height:30pt">
            <v:imagedata r:id="rId4" o:title=""/>
          </v:shape>
        </w:pict>
      </w:r>
      <w:r>
        <w:rPr>
          <w:lang w:val="en-US" w:eastAsia="en-US" w:bidi="ar-SA"/>
        </w:rPr>
        <w:cr/>
      </w:r>
    </w:p>
    <w:p>
      <w:pPr>
        <w:spacing w:before="240" w:after="200" w:line="340" w:lineRule="atLeast"/>
        <w:jc w:val="center"/>
        <w:outlineLvl w:val="0"/>
        <w:rPr>
          <w:rFonts w:ascii="Arial" w:hAnsi="Arial" w:cs="Arial"/>
          <w:b/>
          <w:bCs/>
          <w:kern w:val="32"/>
          <w:sz w:val="32"/>
          <w:szCs w:val="32"/>
          <w:lang w:val="en-US" w:eastAsia="en-US" w:bidi="ar-SA"/>
        </w:rPr>
      </w:pPr>
      <w:hyperlink r:id="rId87" w:history="1">
        <w:r>
          <w:rPr>
            <w:rFonts w:ascii="arial" w:eastAsia="arial" w:hAnsi="arial" w:cs="arial"/>
            <w:b/>
            <w:bCs/>
            <w:i/>
            <w:color w:val="0077CC"/>
            <w:kern w:val="32"/>
            <w:sz w:val="28"/>
            <w:szCs w:val="32"/>
            <w:u w:val="single"/>
            <w:lang w:val="en-US" w:eastAsia="en-US" w:bidi="ar-SA"/>
          </w:rPr>
          <w:t>MPJI-Cr 5:03</w:t>
        </w:r>
      </w:hyperlink>
    </w:p>
    <w:p>
      <w:pPr>
        <w:spacing w:line="240" w:lineRule="atLeast"/>
        <w:jc w:val="both"/>
        <w:rPr>
          <w:lang w:val="en-US" w:eastAsia="en-US" w:bidi="ar-SA"/>
        </w:rPr>
      </w:pPr>
    </w:p>
    <w:p>
      <w:pPr>
        <w:spacing w:before="200" w:line="280" w:lineRule="atLeast"/>
        <w:rPr>
          <w:lang w:val="en-US" w:eastAsia="en-US" w:bidi="ar-SA"/>
        </w:rPr>
      </w:pPr>
      <w:r>
        <w:rPr>
          <w:rFonts w:ascii="arial" w:eastAsia="arial" w:hAnsi="arial" w:cs="arial"/>
          <w:b/>
          <w:i/>
          <w:color w:val="000000"/>
          <w:sz w:val="22"/>
          <w:lang w:val="en-US" w:eastAsia="en-US" w:bidi="ar-SA"/>
        </w:rPr>
        <w:t>Maryland Criminal Pattern Jury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CHAPTER 5 DEFENSES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DURESS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5:03Duress</w:t>
      </w:r>
    </w:p>
    <w:p>
      <w:pPr>
        <w:spacing w:line="60" w:lineRule="exact"/>
        <w:rPr>
          <w:lang w:val="en-US" w:eastAsia="en-US" w:bidi="ar-SA"/>
        </w:rPr>
      </w:pPr>
      <w:r>
        <w:pict>
          <v:line id="_x0000_s1042"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color w:val="000000"/>
          <w:sz w:val="20"/>
          <w:lang w:val="en-US" w:eastAsia="en-US" w:bidi="ar-SA"/>
        </w:rPr>
        <w:t>You have heard evidence that the defendant acted under the influence of an overpowering force. This is called duress. You are required to find the defendant not guilty if all of the following four factors are present</w:t>
      </w:r>
      <w:r>
        <w:rPr>
          <w:rFonts w:ascii="arial" w:eastAsia="arial" w:hAnsi="arial" w:cs="arial"/>
          <w:color w:val="000000"/>
          <w:sz w:val="20"/>
          <w:lang w:val="en-US" w:eastAsia="en-US" w:bidi="ar-SA"/>
        </w:rPr>
        <w:t>:</w:t>
      </w:r>
    </w:p>
    <w:p>
      <w:pPr>
        <w:spacing w:before="200" w:line="260" w:lineRule="atLeast"/>
        <w:ind w:left="400"/>
        <w:jc w:val="both"/>
        <w:rPr>
          <w:lang w:val="en-US" w:eastAsia="en-US" w:bidi="ar-SA"/>
        </w:rPr>
      </w:pPr>
      <w:r>
        <w:rPr>
          <w:rFonts w:ascii="arial" w:eastAsia="arial" w:hAnsi="arial" w:cs="arial"/>
          <w:b/>
          <w:color w:val="000000"/>
          <w:sz w:val="20"/>
          <w:lang w:val="en-US" w:eastAsia="en-US" w:bidi="ar-SA"/>
        </w:rPr>
        <w:t>(1) the defendant actually believed that the duress placed [him] [her] in immediate or impending danger of death or serious bodily harm</w:t>
      </w:r>
      <w:r>
        <w:rPr>
          <w:rFonts w:ascii="arial" w:eastAsia="arial" w:hAnsi="arial" w:cs="arial"/>
          <w:color w:val="000000"/>
          <w:sz w:val="20"/>
          <w:lang w:val="en-US" w:eastAsia="en-US" w:bidi="ar-SA"/>
        </w:rPr>
        <w:t>;</w:t>
      </w:r>
    </w:p>
    <w:p>
      <w:pPr>
        <w:spacing w:before="200" w:line="260" w:lineRule="atLeast"/>
        <w:ind w:left="400"/>
        <w:jc w:val="both"/>
        <w:rPr>
          <w:lang w:val="en-US" w:eastAsia="en-US" w:bidi="ar-SA"/>
        </w:rPr>
      </w:pPr>
      <w:r>
        <w:rPr>
          <w:rFonts w:ascii="arial" w:eastAsia="arial" w:hAnsi="arial" w:cs="arial"/>
          <w:b/>
          <w:color w:val="000000"/>
          <w:sz w:val="20"/>
          <w:lang w:val="en-US" w:eastAsia="en-US" w:bidi="ar-SA"/>
        </w:rPr>
        <w:t>(2) the defendant's belief was reasonable</w:t>
      </w:r>
      <w:r>
        <w:rPr>
          <w:rFonts w:ascii="arial" w:eastAsia="arial" w:hAnsi="arial" w:cs="arial"/>
          <w:color w:val="000000"/>
          <w:sz w:val="20"/>
          <w:lang w:val="en-US" w:eastAsia="en-US" w:bidi="ar-SA"/>
        </w:rPr>
        <w:t>;</w:t>
      </w:r>
    </w:p>
    <w:p>
      <w:pPr>
        <w:spacing w:before="200" w:line="260" w:lineRule="atLeast"/>
        <w:ind w:left="400"/>
        <w:jc w:val="both"/>
        <w:rPr>
          <w:lang w:val="en-US" w:eastAsia="en-US" w:bidi="ar-SA"/>
        </w:rPr>
      </w:pPr>
      <w:r>
        <w:rPr>
          <w:rFonts w:ascii="arial" w:eastAsia="arial" w:hAnsi="arial" w:cs="arial"/>
          <w:b/>
          <w:color w:val="000000"/>
          <w:sz w:val="20"/>
          <w:lang w:val="en-US" w:eastAsia="en-US" w:bidi="ar-SA"/>
        </w:rPr>
        <w:t>(3) the defendant had no reasonable opportunity for escape; and</w:t>
      </w:r>
    </w:p>
    <w:p>
      <w:pPr>
        <w:spacing w:before="200" w:line="260" w:lineRule="atLeast"/>
        <w:ind w:left="400"/>
        <w:jc w:val="both"/>
        <w:rPr>
          <w:lang w:val="en-US" w:eastAsia="en-US" w:bidi="ar-SA"/>
        </w:rPr>
      </w:pPr>
      <w:r>
        <w:rPr>
          <w:rFonts w:ascii="arial" w:eastAsia="arial" w:hAnsi="arial" w:cs="arial"/>
          <w:b/>
          <w:color w:val="000000"/>
          <w:sz w:val="20"/>
          <w:lang w:val="en-US" w:eastAsia="en-US" w:bidi="ar-SA"/>
        </w:rPr>
        <w:t>(4) the defendant committed the crime because of the duress</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color w:val="000000"/>
          <w:sz w:val="20"/>
          <w:lang w:val="en-US" w:eastAsia="en-US" w:bidi="ar-SA"/>
        </w:rPr>
        <w:t>The defense of duress is not established by proof that the defendant had been threatened with violence at an earlier time. [He] [she] must have been under a present threat at the time of the commission of the crime charged</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color w:val="000000"/>
          <w:sz w:val="20"/>
          <w:lang w:val="en-US" w:eastAsia="en-US" w:bidi="ar-SA"/>
        </w:rPr>
        <w:t>In order to convict the defendant, the State must prove that the defendant did not act under duress. This means that you are required to find the defendant not guilty unless the State has persuaded you, beyond a reasonable doubt, that at least one of the four factors of duress was absent</w:t>
      </w:r>
      <w:r>
        <w:rPr>
          <w:rFonts w:ascii="arial" w:eastAsia="arial" w:hAnsi="arial" w:cs="arial"/>
          <w:color w:val="000000"/>
          <w:sz w:val="20"/>
          <w:lang w:val="en-US" w:eastAsia="en-US" w:bidi="ar-SA"/>
        </w:rPr>
        <w:t>.</w:t>
      </w:r>
    </w:p>
    <w:p>
      <w:pPr>
        <w:rPr>
          <w:lang w:val="en-US" w:eastAsia="en-US" w:bidi="ar-SA"/>
        </w:rPr>
      </w:pPr>
    </w:p>
    <w:tbl>
      <w:tblPr>
        <w:tblStyle w:val="TableNormal"/>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
      <w:tblGrid>
        <w:gridCol w:w="10240"/>
      </w:tblGrid>
      <w:tr>
        <w:tblPrEx>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Ex>
        <w:tc>
          <w:tcPr>
            <w:tcW w:w="10240" w:type="dxa"/>
            <w:vAlign w:val="center"/>
          </w:tcPr>
          <w:p>
            <w:pPr>
              <w:spacing w:before="240" w:line="260" w:lineRule="atLeast"/>
              <w:ind w:left="60" w:right="360"/>
              <w:rPr>
                <w:lang w:val="en-US" w:eastAsia="en-US" w:bidi="ar-SA"/>
              </w:rPr>
            </w:pPr>
            <w:r>
              <w:rPr>
                <w:rFonts w:ascii="arial" w:eastAsia="arial" w:hAnsi="arial" w:cs="arial"/>
                <w:b/>
                <w:color w:val="000000"/>
                <w:sz w:val="20"/>
                <w:lang w:val="en-US" w:eastAsia="en-US" w:bidi="ar-SA"/>
              </w:rPr>
              <w:t> </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COMMENT</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The defense of duress is a complete defense to all crimes, except specific intent murder and attempted murder. </w:t>
            </w:r>
            <w:r>
              <w:rPr>
                <w:rFonts w:ascii="arial" w:eastAsia="arial" w:hAnsi="arial" w:cs="arial"/>
                <w:i/>
                <w:color w:val="000000"/>
                <w:sz w:val="20"/>
                <w:lang w:val="en-US" w:eastAsia="en-US" w:bidi="ar-SA"/>
              </w:rPr>
              <w:t>See generally</w:t>
            </w:r>
            <w:r>
              <w:rPr>
                <w:rFonts w:ascii="arial" w:eastAsia="arial" w:hAnsi="arial" w:cs="arial"/>
                <w:color w:val="000000"/>
                <w:sz w:val="20"/>
                <w:lang w:val="en-US" w:eastAsia="en-US" w:bidi="ar-SA"/>
              </w:rPr>
              <w:t xml:space="preserve"> WAYNE R. LAFAVE, CRIMINAL LAW § 9.7, at 526-29 (5th ed. 2010); ROLLIN M. PERKINS &amp; RONALD N. BOYCE, CRIMINAL LAW at 1059-65 (3d ed. 1982). Once the issue of duress is generated, the question remains whether the State has the ultimate burden of persuasion under Maryland's interpretation of </w:t>
            </w:r>
            <w:hyperlink r:id="rId88" w:history="1">
              <w:r>
                <w:rPr>
                  <w:rFonts w:ascii="arial" w:eastAsia="arial" w:hAnsi="arial" w:cs="arial"/>
                  <w:i/>
                  <w:color w:val="0077CC"/>
                  <w:sz w:val="20"/>
                  <w:u w:val="single"/>
                  <w:lang w:val="en-US" w:eastAsia="en-US" w:bidi="ar-SA"/>
                </w:rPr>
                <w:t>Mullaney v. Wilbur, 421 U.S. 684 (1975),</w:t>
              </w:r>
            </w:hyperlink>
            <w:r>
              <w:rPr>
                <w:rFonts w:ascii="arial" w:eastAsia="arial" w:hAnsi="arial" w:cs="arial"/>
                <w:color w:val="000000"/>
                <w:sz w:val="20"/>
                <w:lang w:val="en-US" w:eastAsia="en-US" w:bidi="ar-SA"/>
              </w:rPr>
              <w:t xml:space="preserve"> which held that due process requires the State to prove every element of a case beyond a reasonable doubt. </w:t>
            </w:r>
            <w:hyperlink r:id="rId89" w:history="1">
              <w:r>
                <w:rPr>
                  <w:rFonts w:ascii="arial" w:eastAsia="arial" w:hAnsi="arial" w:cs="arial"/>
                  <w:i/>
                  <w:color w:val="0077CC"/>
                  <w:sz w:val="20"/>
                  <w:u w:val="single"/>
                  <w:lang w:val="en-US" w:eastAsia="en-US" w:bidi="ar-SA"/>
                </w:rPr>
                <w:t>Evans v. State, 28 Md. App. 640, 645-46, 706-15, 349 A.2d 300, 307, 341-46 (1975),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aff'd</w:t>
            </w:r>
            <w:r>
              <w:rPr>
                <w:rFonts w:ascii="arial" w:eastAsia="arial" w:hAnsi="arial" w:cs="arial"/>
                <w:color w:val="000000"/>
                <w:sz w:val="20"/>
                <w:lang w:val="en-US" w:eastAsia="en-US" w:bidi="ar-SA"/>
              </w:rPr>
              <w:t xml:space="preserve">, </w:t>
            </w:r>
            <w:hyperlink r:id="rId90" w:history="1">
              <w:r>
                <w:rPr>
                  <w:rFonts w:ascii="arial" w:eastAsia="arial" w:hAnsi="arial" w:cs="arial"/>
                  <w:i/>
                  <w:color w:val="0077CC"/>
                  <w:sz w:val="20"/>
                  <w:u w:val="single"/>
                  <w:lang w:val="en-US" w:eastAsia="en-US" w:bidi="ar-SA"/>
                </w:rPr>
                <w:t>278 Md. 197, 362 A.2d 629 (1976);</w:t>
              </w:r>
            </w:hyperlink>
            <w:r>
              <w:rPr>
                <w:rFonts w:ascii="arial" w:eastAsia="arial" w:hAnsi="arial" w:cs="arial"/>
                <w:color w:val="000000"/>
                <w:sz w:val="20"/>
                <w:lang w:val="en-US" w:eastAsia="en-US" w:bidi="ar-SA"/>
              </w:rPr>
              <w:t xml:space="preserve"> </w:t>
            </w:r>
            <w:hyperlink r:id="rId91" w:history="1">
              <w:r>
                <w:rPr>
                  <w:rFonts w:ascii="arial" w:eastAsia="arial" w:hAnsi="arial" w:cs="arial"/>
                  <w:i/>
                  <w:color w:val="0077CC"/>
                  <w:sz w:val="20"/>
                  <w:u w:val="single"/>
                  <w:lang w:val="en-US" w:eastAsia="en-US" w:bidi="ar-SA"/>
                </w:rPr>
                <w:t>Wentworth v. State, 29 Md. App. 110, 349 A.2d 421 (1975),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278 Md. 735, 738 (1976).</w:t>
            </w:r>
            <w:r>
              <w:rPr>
                <w:rFonts w:ascii="arial" w:eastAsia="arial" w:hAnsi="arial" w:cs="arial"/>
                <w:color w:val="000000"/>
                <w:sz w:val="20"/>
                <w:lang w:val="en-US" w:eastAsia="en-US" w:bidi="ar-SA"/>
              </w:rPr>
              <w:t xml:space="preserve"> However, both </w:t>
            </w:r>
            <w:r>
              <w:rPr>
                <w:rFonts w:ascii="arial" w:eastAsia="arial" w:hAnsi="arial" w:cs="arial"/>
                <w:i/>
                <w:color w:val="000000"/>
                <w:sz w:val="20"/>
                <w:lang w:val="en-US" w:eastAsia="en-US" w:bidi="ar-SA"/>
              </w:rPr>
              <w:t>Evans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Wentworth</w:t>
            </w:r>
            <w:r>
              <w:rPr>
                <w:rFonts w:ascii="arial" w:eastAsia="arial" w:hAnsi="arial" w:cs="arial"/>
                <w:color w:val="000000"/>
                <w:sz w:val="20"/>
                <w:lang w:val="en-US" w:eastAsia="en-US" w:bidi="ar-SA"/>
              </w:rPr>
              <w:t xml:space="preserve"> were decided before </w:t>
            </w:r>
            <w:hyperlink r:id="rId92" w:history="1">
              <w:r>
                <w:rPr>
                  <w:rFonts w:ascii="arial" w:eastAsia="arial" w:hAnsi="arial" w:cs="arial"/>
                  <w:i/>
                  <w:color w:val="0077CC"/>
                  <w:sz w:val="20"/>
                  <w:u w:val="single"/>
                  <w:lang w:val="en-US" w:eastAsia="en-US" w:bidi="ar-SA"/>
                </w:rPr>
                <w:t>Patterson v. New York, 432 U.S. 197 (1977),</w:t>
              </w:r>
            </w:hyperlink>
            <w:r>
              <w:rPr>
                <w:rFonts w:ascii="arial" w:eastAsia="arial" w:hAnsi="arial" w:cs="arial"/>
                <w:color w:val="000000"/>
                <w:sz w:val="20"/>
                <w:lang w:val="en-US" w:eastAsia="en-US" w:bidi="ar-SA"/>
              </w:rPr>
              <w:t xml:space="preserve"> which held that the burden of persuasion may be placed on the defendant for all affirmative defenses. Nonetheless, in an abundance of caution, the instruction was drafted to place the burden of persuasion on the State.</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The Committee did not include a separate instruction on the defense of necessity because of the interrelationship between duress and necessity. </w:t>
            </w:r>
            <w:r>
              <w:rPr>
                <w:rFonts w:ascii="arial" w:eastAsia="arial" w:hAnsi="arial" w:cs="arial"/>
                <w:i/>
                <w:color w:val="000000"/>
                <w:sz w:val="20"/>
                <w:lang w:val="en-US" w:eastAsia="en-US" w:bidi="ar-SA"/>
              </w:rPr>
              <w:t xml:space="preserve">See </w:t>
            </w:r>
            <w:hyperlink r:id="rId93" w:history="1">
              <w:r>
                <w:rPr>
                  <w:rFonts w:ascii="arial" w:eastAsia="arial" w:hAnsi="arial" w:cs="arial"/>
                  <w:i/>
                  <w:color w:val="0077CC"/>
                  <w:sz w:val="20"/>
                  <w:u w:val="single"/>
                  <w:lang w:val="en-US" w:eastAsia="en-US" w:bidi="ar-SA"/>
                </w:rPr>
                <w:t>United States v. Bailey, 444 U.S. 394, 411 (1980);</w:t>
              </w:r>
            </w:hyperlink>
            <w:r>
              <w:rPr>
                <w:rFonts w:ascii="arial" w:eastAsia="arial" w:hAnsi="arial" w:cs="arial"/>
                <w:color w:val="000000"/>
                <w:sz w:val="20"/>
                <w:lang w:val="en-US" w:eastAsia="en-US" w:bidi="ar-SA"/>
              </w:rPr>
              <w:t xml:space="preserve"> </w:t>
            </w:r>
            <w:hyperlink r:id="rId94" w:history="1">
              <w:r>
                <w:rPr>
                  <w:rFonts w:ascii="arial" w:eastAsia="arial" w:hAnsi="arial" w:cs="arial"/>
                  <w:i/>
                  <w:color w:val="0077CC"/>
                  <w:sz w:val="20"/>
                  <w:u w:val="single"/>
                  <w:lang w:val="en-US" w:eastAsia="en-US" w:bidi="ar-SA"/>
                </w:rPr>
                <w:t>State v. Crawford, 308 Md. 683, 691</w:t>
              </w:r>
            </w:hyperlink>
            <w:r>
              <w:rPr>
                <w:rFonts w:ascii="arial" w:eastAsia="arial" w:hAnsi="arial" w:cs="arial"/>
                <w:color w:val="000000"/>
                <w:sz w:val="20"/>
                <w:lang w:val="en-US" w:eastAsia="en-US" w:bidi="ar-SA"/>
              </w:rPr>
              <w:t xml:space="preserve"> &amp; n.l, </w:t>
            </w:r>
            <w:hyperlink r:id="rId94" w:history="1">
              <w:r>
                <w:rPr>
                  <w:rFonts w:ascii="arial" w:eastAsia="arial" w:hAnsi="arial" w:cs="arial"/>
                  <w:i/>
                  <w:color w:val="0077CC"/>
                  <w:sz w:val="20"/>
                  <w:u w:val="single"/>
                  <w:lang w:val="en-US" w:eastAsia="en-US" w:bidi="ar-SA"/>
                </w:rPr>
                <w:t>521 A.2d 1193, 1197 &amp; n.1 (1987);</w:t>
              </w:r>
            </w:hyperlink>
            <w:r>
              <w:rPr>
                <w:rFonts w:ascii="arial" w:eastAsia="arial" w:hAnsi="arial" w:cs="arial"/>
                <w:color w:val="000000"/>
                <w:sz w:val="20"/>
                <w:lang w:val="en-US" w:eastAsia="en-US" w:bidi="ar-SA"/>
              </w:rPr>
              <w:t xml:space="preserve"> </w:t>
            </w:r>
            <w:hyperlink r:id="rId95" w:history="1">
              <w:r>
                <w:rPr>
                  <w:rFonts w:ascii="arial" w:eastAsia="arial" w:hAnsi="arial" w:cs="arial"/>
                  <w:i/>
                  <w:color w:val="0077CC"/>
                  <w:sz w:val="20"/>
                  <w:u w:val="single"/>
                  <w:lang w:val="en-US" w:eastAsia="en-US" w:bidi="ar-SA"/>
                </w:rPr>
                <w:t>Sigma Reprod. Health Ctr. v. State, 297 Md. 660, 675-90, 467 A.2d 483, 490-98 (1983);</w:t>
              </w:r>
            </w:hyperlink>
            <w:r>
              <w:rPr>
                <w:rFonts w:ascii="arial" w:eastAsia="arial" w:hAnsi="arial" w:cs="arial"/>
                <w:color w:val="000000"/>
                <w:sz w:val="20"/>
                <w:lang w:val="en-US" w:eastAsia="en-US" w:bidi="ar-SA"/>
              </w:rPr>
              <w:t xml:space="preserve"> </w:t>
            </w:r>
            <w:hyperlink r:id="rId96" w:history="1">
              <w:r>
                <w:rPr>
                  <w:rFonts w:ascii="arial" w:eastAsia="arial" w:hAnsi="arial" w:cs="arial"/>
                  <w:i/>
                  <w:color w:val="0077CC"/>
                  <w:sz w:val="20"/>
                  <w:u w:val="single"/>
                  <w:lang w:val="en-US" w:eastAsia="en-US" w:bidi="ar-SA"/>
                </w:rPr>
                <w:t>Frasher v. State, 8 Md. App. 439, 448-51, 260 A.2d 656, 661-63,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400 U.S. 959 (1970).</w:t>
            </w:r>
            <w:r>
              <w:rPr>
                <w:rFonts w:ascii="arial" w:eastAsia="arial" w:hAnsi="arial" w:cs="arial"/>
                <w:color w:val="000000"/>
                <w:sz w:val="20"/>
                <w:lang w:val="en-US" w:eastAsia="en-US" w:bidi="ar-SA"/>
              </w:rPr>
              <w:t xml:space="preserve"> In duress, the "choice of evils" is caused by another person. In necessity, the choice of evils is usually the result of a physical force or circumstance. </w:t>
            </w:r>
            <w:r>
              <w:rPr>
                <w:rFonts w:ascii="arial" w:eastAsia="arial" w:hAnsi="arial" w:cs="arial"/>
                <w:i/>
                <w:color w:val="000000"/>
                <w:sz w:val="20"/>
                <w:lang w:val="en-US" w:eastAsia="en-US" w:bidi="ar-SA"/>
              </w:rPr>
              <w:t xml:space="preserve">See </w:t>
            </w:r>
            <w:hyperlink r:id="rId97" w:history="1">
              <w:r>
                <w:rPr>
                  <w:rFonts w:ascii="arial" w:eastAsia="arial" w:hAnsi="arial" w:cs="arial"/>
                  <w:i/>
                  <w:color w:val="0077CC"/>
                  <w:sz w:val="20"/>
                  <w:u w:val="single"/>
                  <w:lang w:val="en-US" w:eastAsia="en-US" w:bidi="ar-SA"/>
                </w:rPr>
                <w:t>Graham v. State, 151 Md. App. 466, 474, 827 A.2d 874, 879 (2003)</w:t>
              </w:r>
            </w:hyperlink>
            <w:r>
              <w:rPr>
                <w:rFonts w:ascii="arial" w:eastAsia="arial" w:hAnsi="arial" w:cs="arial"/>
                <w:color w:val="000000"/>
                <w:sz w:val="20"/>
                <w:lang w:val="en-US" w:eastAsia="en-US" w:bidi="ar-SA"/>
              </w:rPr>
              <w:t xml:space="preserve"> (citing this comment as authority that "duress is the result of pressure by a person, and necessity is the result of pressure from circumstances," and affirming a refusal to give instructions for a necessity defense when the appropriate duress defense instruction was given); PERKINS &amp; BOYCE,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1065-67 (referring to necessity as duress of circumstances); LAFAVE,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 10.1, at 552-64. In </w:t>
            </w:r>
            <w:r>
              <w:rPr>
                <w:rFonts w:ascii="arial" w:eastAsia="arial" w:hAnsi="arial" w:cs="arial"/>
                <w:i/>
                <w:color w:val="000000"/>
                <w:sz w:val="20"/>
                <w:lang w:val="en-US" w:eastAsia="en-US" w:bidi="ar-SA"/>
              </w:rPr>
              <w:t>Crawford</w:t>
            </w:r>
            <w:r>
              <w:rPr>
                <w:rFonts w:ascii="arial" w:eastAsia="arial" w:hAnsi="arial" w:cs="arial"/>
                <w:color w:val="000000"/>
                <w:sz w:val="20"/>
                <w:lang w:val="en-US" w:eastAsia="en-US" w:bidi="ar-SA"/>
              </w:rPr>
              <w:t xml:space="preserve">, the Court of Appeals held that the General Assembly did not eliminate the necessity defense for the crime of unlawful handgun possession. </w:t>
            </w:r>
            <w:hyperlink r:id="rId94" w:history="1">
              <w:r>
                <w:rPr>
                  <w:rFonts w:ascii="arial" w:eastAsia="arial" w:hAnsi="arial" w:cs="arial"/>
                  <w:i/>
                  <w:color w:val="0077CC"/>
                  <w:sz w:val="20"/>
                  <w:u w:val="single"/>
                  <w:lang w:val="en-US" w:eastAsia="en-US" w:bidi="ar-SA"/>
                </w:rPr>
                <w:t>Crawford, 308 Md. at 691-99, 521 A.2d at 1197-1201.</w:t>
              </w:r>
            </w:hyperlink>
            <w:r>
              <w:rPr>
                <w:rFonts w:ascii="arial" w:eastAsia="arial" w:hAnsi="arial" w:cs="arial"/>
                <w:color w:val="000000"/>
                <w:sz w:val="20"/>
                <w:lang w:val="en-US" w:eastAsia="en-US" w:bidi="ar-SA"/>
              </w:rPr>
              <w:t xml:space="preserve"> The Court stated:</w:t>
            </w:r>
          </w:p>
          <w:p>
            <w:pPr>
              <w:spacing w:before="60" w:line="260" w:lineRule="atLeast"/>
              <w:ind w:left="460" w:right="360"/>
              <w:jc w:val="both"/>
              <w:rPr>
                <w:lang w:val="en-US" w:eastAsia="en-US" w:bidi="ar-SA"/>
              </w:rPr>
            </w:pPr>
            <w:r>
              <w:rPr>
                <w:rFonts w:ascii="arial" w:eastAsia="arial" w:hAnsi="arial" w:cs="arial"/>
                <w:color w:val="000000"/>
                <w:sz w:val="20"/>
                <w:lang w:val="en-US" w:eastAsia="en-US" w:bidi="ar-SA"/>
              </w:rPr>
              <w:t>[N]ecessity is a valid defense to the crime of unlawful possession of a handgun when five elements are present: (1) the defendant must be in present imminent, and impending peril of death or serious bodily injury, or reasonably believe himself or others to be in such danger; (2) the defendant must not have intentionally or recklessly placed himself in a situation in which it was probable that he would be forced to choose the criminal conduct; (3) the defendant must not have any reasonable, legal alternative to possessing the handgun; (4) the handgun must be made available to the defendant without preconceived design; and (5) the defendant must give up possession of the handgun as soon as the necessity or apparent necessity ends. We emphasize that if the threatened harm is property damage or future personal injury, the defense of necessity will not be viable; nor can the defense be asserted if the compulsion to possess the handgun arose directly from the defendant's own misconduct.</w:t>
            </w:r>
          </w:p>
          <w:p>
            <w:pPr>
              <w:spacing w:before="240" w:line="260" w:lineRule="atLeast"/>
              <w:ind w:left="60" w:right="360"/>
              <w:jc w:val="both"/>
              <w:rPr>
                <w:lang w:val="en-US" w:eastAsia="en-US" w:bidi="ar-SA"/>
              </w:rPr>
            </w:pPr>
            <w:hyperlink r:id="rId94" w:history="1">
              <w:r>
                <w:rPr>
                  <w:rFonts w:ascii="arial" w:eastAsia="arial" w:hAnsi="arial" w:cs="arial"/>
                  <w:i/>
                  <w:color w:val="0077CC"/>
                  <w:sz w:val="20"/>
                  <w:u w:val="single"/>
                  <w:lang w:val="en-US" w:eastAsia="en-US" w:bidi="ar-SA"/>
                </w:rPr>
                <w:t>Id. at 698-99, 521 A.2d at 1200-01.</w:t>
              </w:r>
            </w:hyperlink>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This instruction was updated slightly in June 2018 to change the phrase "immediate and impending" in element (1) to "immediate or impending." This change is consistent with the logic of the Court of Appeals in the analogous self-defense context. </w:t>
            </w:r>
            <w:r>
              <w:rPr>
                <w:rFonts w:ascii="arial" w:eastAsia="arial" w:hAnsi="arial" w:cs="arial"/>
                <w:i/>
                <w:color w:val="000000"/>
                <w:sz w:val="20"/>
                <w:lang w:val="en-US" w:eastAsia="en-US" w:bidi="ar-SA"/>
              </w:rPr>
              <w:t xml:space="preserve">See </w:t>
            </w:r>
            <w:hyperlink r:id="rId55" w:history="1">
              <w:r>
                <w:rPr>
                  <w:rFonts w:ascii="arial" w:eastAsia="arial" w:hAnsi="arial" w:cs="arial"/>
                  <w:i/>
                  <w:color w:val="0077CC"/>
                  <w:sz w:val="20"/>
                  <w:u w:val="single"/>
                  <w:lang w:val="en-US" w:eastAsia="en-US" w:bidi="ar-SA"/>
                </w:rPr>
                <w:t>Porter v. State, 455 Md. 220, 245 n.6, 166 A.3d 1044, 1059 n.6 (2017)</w:t>
              </w:r>
            </w:hyperlink>
            <w:r>
              <w:rPr>
                <w:rFonts w:ascii="arial" w:eastAsia="arial" w:hAnsi="arial" w:cs="arial"/>
                <w:color w:val="000000"/>
                <w:sz w:val="20"/>
                <w:lang w:val="en-US" w:eastAsia="en-US" w:bidi="ar-SA"/>
              </w:rPr>
              <w:t xml:space="preserve"> (noting MPJI-Cr should use the phrase "imminent or immediate" instead of "imminent and immediate" in self-defense instructions based on "the temporal distinction between imminent and immediate"); </w:t>
            </w:r>
            <w:r>
              <w:rPr>
                <w:rFonts w:ascii="arial" w:eastAsia="arial" w:hAnsi="arial" w:cs="arial"/>
                <w:i/>
                <w:color w:val="000000"/>
                <w:sz w:val="20"/>
                <w:lang w:val="en-US" w:eastAsia="en-US" w:bidi="ar-SA"/>
              </w:rPr>
              <w:t xml:space="preserve">see also </w:t>
            </w:r>
            <w:hyperlink r:id="rId98" w:history="1">
              <w:r>
                <w:rPr>
                  <w:rFonts w:ascii="arial" w:eastAsia="arial" w:hAnsi="arial" w:cs="arial"/>
                  <w:i/>
                  <w:color w:val="0077CC"/>
                  <w:sz w:val="20"/>
                  <w:u w:val="single"/>
                  <w:lang w:val="en-US" w:eastAsia="en-US" w:bidi="ar-SA"/>
                </w:rPr>
                <w:t>McMillen v. State, 428 Md. 333, 356-57, 51 A.3d 623, 637 (2012)</w:t>
              </w:r>
            </w:hyperlink>
            <w:r>
              <w:rPr>
                <w:rFonts w:ascii="arial" w:eastAsia="arial" w:hAnsi="arial" w:cs="arial"/>
                <w:color w:val="000000"/>
                <w:sz w:val="20"/>
                <w:lang w:val="en-US" w:eastAsia="en-US" w:bidi="ar-SA"/>
              </w:rPr>
              <w:t xml:space="preserve"> (in duress case, holding petitioner had met his burden to show "some evidence" of "imminent or immediate harm" to justify giving duress instruction).</w:t>
            </w:r>
          </w:p>
          <w:p>
            <w:pPr>
              <w:spacing w:after="120"/>
              <w:rPr>
                <w:lang w:val="en-US" w:eastAsia="en-US" w:bidi="ar-SA"/>
              </w:rPr>
            </w:pPr>
          </w:p>
        </w:tc>
      </w:tr>
    </w:tbl>
    <w:p>
      <w:pPr>
        <w:spacing w:before="60" w:line="260" w:lineRule="atLeast"/>
        <w:ind w:left="720"/>
        <w:jc w:val="both"/>
        <w:rPr>
          <w:lang w:val="en-US" w:eastAsia="en-US" w:bidi="ar-SA"/>
        </w:rPr>
      </w:pPr>
      <w:r>
        <w:rPr>
          <w:rFonts w:ascii="arial" w:eastAsia="arial" w:hAnsi="arial" w:cs="arial"/>
          <w:color w:val="000000"/>
          <w:sz w:val="20"/>
          <w:lang w:val="en-US" w:eastAsia="en-US" w:bidi="ar-SA"/>
        </w:rPr>
        <w:t>#MICPEL#</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Reference</w:t>
      </w:r>
    </w:p>
    <w:p>
      <w:pPr>
        <w:spacing w:line="60" w:lineRule="exact"/>
        <w:rPr>
          <w:lang w:val="en-US" w:eastAsia="en-US" w:bidi="ar-SA"/>
        </w:rPr>
      </w:pPr>
      <w:r>
        <w:pict>
          <v:line id="_x0000_s1043" style="position:absolute;z-index:251674624" from="0,2pt" to="512pt,2pt" strokecolor="#009ddb" strokeweight="2pt">
            <v:stroke linestyle="single"/>
            <w10:wrap type="topAndBottom"/>
          </v:line>
        </w:pict>
      </w:r>
    </w:p>
    <w:p>
      <w:pPr>
        <w:spacing w:line="120" w:lineRule="exact"/>
        <w:rPr>
          <w:lang w:val="en-US" w:eastAsia="en-US" w:bidi="ar-SA"/>
        </w:rPr>
      </w:pPr>
    </w:p>
    <w:p>
      <w:pPr>
        <w:spacing w:before="120" w:line="260" w:lineRule="atLeast"/>
        <w:rPr>
          <w:lang w:val="en-US" w:eastAsia="en-US" w:bidi="ar-SA"/>
        </w:rPr>
      </w:pPr>
      <w:r>
        <w:rPr>
          <w:rFonts w:ascii="arial" w:eastAsia="arial" w:hAnsi="arial" w:cs="arial"/>
          <w:color w:val="000000"/>
          <w:sz w:val="20"/>
          <w:lang w:val="en-US" w:eastAsia="en-US" w:bidi="ar-SA"/>
        </w:rPr>
        <w:t>MPJI-Cr 4:11.1, MPJI-Cr 4:17.5.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Source:</w:t>
      </w:r>
      <w:r>
        <w:rPr>
          <w:rFonts w:ascii="arial" w:eastAsia="arial" w:hAnsi="arial" w:cs="arial"/>
          <w:color w:val="000000"/>
          <w:sz w:val="20"/>
          <w:lang w:val="en-US" w:eastAsia="en-US" w:bidi="ar-SA"/>
        </w:rPr>
        <w:t> MICPEL</w:t>
      </w:r>
    </w:p>
    <w:p>
      <w:pPr>
        <w:spacing w:before="240" w:line="220" w:lineRule="atLeast"/>
        <w:rPr>
          <w:lang w:val="en-US" w:eastAsia="en-US" w:bidi="ar-SA"/>
        </w:rPr>
      </w:pPr>
      <w:r>
        <w:rPr>
          <w:rFonts w:ascii="arial" w:eastAsia="arial" w:hAnsi="arial" w:cs="arial"/>
          <w:color w:val="000000"/>
          <w:sz w:val="16"/>
          <w:lang w:val="en-US" w:eastAsia="en-US" w:bidi="ar-SA"/>
        </w:rPr>
        <w:t>Maryland Criminal Pattern Jury Instructions</w:t>
      </w:r>
    </w:p>
    <w:p>
      <w:pPr>
        <w:spacing w:line="220" w:lineRule="atLeast"/>
        <w:rPr>
          <w:lang w:val="en-US" w:eastAsia="en-US" w:bidi="ar-SA"/>
        </w:rPr>
      </w:pPr>
      <w:r>
        <w:rPr>
          <w:rFonts w:ascii="arial" w:eastAsia="arial" w:hAnsi="arial" w:cs="arial"/>
          <w:color w:val="000000"/>
          <w:sz w:val="16"/>
          <w:lang w:val="en-US" w:eastAsia="en-US" w:bidi="ar-SA"/>
        </w:rPr>
        <w:t>Copyright 2018 by The Maryland State Bar Association, Inc.</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4" style="position:absolute;z-index:2516858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9"/>
          <w:headerReference w:type="default" r:id="rId100"/>
          <w:footerReference w:type="even" r:id="rId101"/>
          <w:footerReference w:type="default" r:id="rId102"/>
          <w:headerReference w:type="first" r:id="rId103"/>
          <w:footerReference w:type="first" r:id="rId104"/>
          <w:type w:val="nextPage"/>
          <w:pgSz w:w="12240" w:h="15840"/>
          <w:pgMar w:top="840" w:right="1000" w:bottom="840" w:left="1000" w:header="400" w:footer="400"/>
          <w:pgNumType w:fmt="decimal"/>
          <w:cols w:space="720"/>
          <w:titlePg/>
        </w:sectPr>
      </w:pPr>
    </w:p>
    <w:p>
      <w:pPr>
        <w:rPr>
          <w:lang w:val="en-US" w:eastAsia="en-US" w:bidi="ar-SA"/>
        </w:rPr>
      </w:pPr>
      <w:bookmarkStart w:id="5" w:name="Bookmark_6"/>
      <w:bookmarkEnd w:id="5"/>
    </w:p>
    <w:p>
      <w:pPr>
        <w:rPr>
          <w:lang w:val="en-US" w:eastAsia="en-US" w:bidi="ar-SA"/>
        </w:rPr>
      </w:pPr>
      <w:r>
        <w:pict>
          <v:shape id="_x0000_i1045" type="#_x0000_t75" alt="LexisNexis®" style="width:147.77pt;height:30pt">
            <v:imagedata r:id="rId4" o:title=""/>
          </v:shape>
        </w:pict>
      </w:r>
      <w:r>
        <w:rPr>
          <w:lang w:val="en-US" w:eastAsia="en-US" w:bidi="ar-SA"/>
        </w:rPr>
        <w:cr/>
      </w:r>
    </w:p>
    <w:p>
      <w:pPr>
        <w:spacing w:before="240" w:after="200" w:line="340" w:lineRule="atLeast"/>
        <w:jc w:val="center"/>
        <w:outlineLvl w:val="0"/>
        <w:rPr>
          <w:rFonts w:ascii="Arial" w:hAnsi="Arial" w:cs="Arial"/>
          <w:b/>
          <w:bCs/>
          <w:kern w:val="32"/>
          <w:sz w:val="32"/>
          <w:szCs w:val="32"/>
          <w:lang w:val="en-US" w:eastAsia="en-US" w:bidi="ar-SA"/>
        </w:rPr>
      </w:pPr>
      <w:hyperlink r:id="rId105" w:history="1">
        <w:r>
          <w:rPr>
            <w:rFonts w:ascii="arial" w:eastAsia="arial" w:hAnsi="arial" w:cs="arial"/>
            <w:b/>
            <w:bCs/>
            <w:i/>
            <w:color w:val="0077CC"/>
            <w:kern w:val="32"/>
            <w:sz w:val="28"/>
            <w:szCs w:val="32"/>
            <w:u w:val="single"/>
            <w:lang w:val="en-US" w:eastAsia="en-US" w:bidi="ar-SA"/>
          </w:rPr>
          <w:t>MPJI-Cr 5:04</w:t>
        </w:r>
      </w:hyperlink>
    </w:p>
    <w:p>
      <w:pPr>
        <w:spacing w:line="240" w:lineRule="atLeast"/>
        <w:jc w:val="both"/>
        <w:rPr>
          <w:lang w:val="en-US" w:eastAsia="en-US" w:bidi="ar-SA"/>
        </w:rPr>
      </w:pPr>
    </w:p>
    <w:p>
      <w:pPr>
        <w:spacing w:before="200" w:line="280" w:lineRule="atLeast"/>
        <w:rPr>
          <w:lang w:val="en-US" w:eastAsia="en-US" w:bidi="ar-SA"/>
        </w:rPr>
      </w:pPr>
      <w:r>
        <w:rPr>
          <w:rFonts w:ascii="arial" w:eastAsia="arial" w:hAnsi="arial" w:cs="arial"/>
          <w:b/>
          <w:i/>
          <w:color w:val="000000"/>
          <w:sz w:val="22"/>
          <w:lang w:val="en-US" w:eastAsia="en-US" w:bidi="ar-SA"/>
        </w:rPr>
        <w:t>Maryland Criminal Pattern Jury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CHAPTER 5 DEFENSES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ENTRAPMENT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5:04Entrapment</w:t>
      </w:r>
    </w:p>
    <w:p>
      <w:pPr>
        <w:spacing w:line="60" w:lineRule="exact"/>
        <w:rPr>
          <w:lang w:val="en-US" w:eastAsia="en-US" w:bidi="ar-SA"/>
        </w:rPr>
      </w:pPr>
      <w:r>
        <w:pict>
          <v:line id="_x0000_s1046" style="position:absolute;z-index:2516633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color w:val="000000"/>
          <w:sz w:val="20"/>
          <w:lang w:val="en-US" w:eastAsia="en-US" w:bidi="ar-SA"/>
        </w:rPr>
        <w:t>The defendant asserts that [he] [she] was entrapped by [law enforcement] [someone acting on behalf of law enforcement] to commit (crime). A defendant may not be convicted of a crime if [he] [she] was entrapped by the government to commit that crime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color w:val="000000"/>
          <w:sz w:val="20"/>
          <w:lang w:val="en-US" w:eastAsia="en-US" w:bidi="ar-SA"/>
        </w:rPr>
        <w:t>Entrapment occurs if</w:t>
      </w:r>
      <w:r>
        <w:rPr>
          <w:rFonts w:ascii="arial" w:eastAsia="arial" w:hAnsi="arial" w:cs="arial"/>
          <w:color w:val="000000"/>
          <w:sz w:val="20"/>
          <w:lang w:val="en-US" w:eastAsia="en-US" w:bidi="ar-SA"/>
        </w:rPr>
        <w:t>:</w:t>
      </w:r>
    </w:p>
    <w:p>
      <w:pPr>
        <w:spacing w:before="200" w:line="260" w:lineRule="atLeast"/>
        <w:ind w:left="400"/>
        <w:jc w:val="both"/>
        <w:rPr>
          <w:lang w:val="en-US" w:eastAsia="en-US" w:bidi="ar-SA"/>
        </w:rPr>
      </w:pPr>
      <w:r>
        <w:rPr>
          <w:rFonts w:ascii="arial" w:eastAsia="arial" w:hAnsi="arial" w:cs="arial"/>
          <w:b/>
          <w:color w:val="000000"/>
          <w:sz w:val="20"/>
          <w:lang w:val="en-US" w:eastAsia="en-US" w:bidi="ar-SA"/>
        </w:rPr>
        <w:t>(1) the defendant was not predisposed to commit (</w:t>
      </w:r>
      <w:r>
        <w:rPr>
          <w:rFonts w:ascii="arial" w:eastAsia="arial" w:hAnsi="arial" w:cs="arial"/>
          <w:b/>
          <w:color w:val="000000"/>
          <w:sz w:val="20"/>
          <w:u w:val="single"/>
          <w:lang w:val="en-US" w:eastAsia="en-US" w:bidi="ar-SA"/>
        </w:rPr>
        <w:t>crime</w:t>
      </w:r>
      <w:r>
        <w:rPr>
          <w:rFonts w:ascii="arial" w:eastAsia="arial" w:hAnsi="arial" w:cs="arial"/>
          <w:b/>
          <w:color w:val="000000"/>
          <w:sz w:val="20"/>
          <w:lang w:val="en-US" w:eastAsia="en-US" w:bidi="ar-SA"/>
        </w:rPr>
        <w:t>) prior to the time [law enforcement] [someone acting on behalf of law enforcement] made contact with [him] [her]; and</w:t>
      </w:r>
    </w:p>
    <w:p>
      <w:pPr>
        <w:spacing w:before="200" w:line="260" w:lineRule="atLeast"/>
        <w:ind w:left="400"/>
        <w:jc w:val="both"/>
        <w:rPr>
          <w:lang w:val="en-US" w:eastAsia="en-US" w:bidi="ar-SA"/>
        </w:rPr>
      </w:pPr>
      <w:r>
        <w:rPr>
          <w:rFonts w:ascii="arial" w:eastAsia="arial" w:hAnsi="arial" w:cs="arial"/>
          <w:b/>
          <w:color w:val="000000"/>
          <w:sz w:val="20"/>
          <w:lang w:val="en-US" w:eastAsia="en-US" w:bidi="ar-SA"/>
        </w:rPr>
        <w:t>(2) the defendant was induced or persuaded by [law enforcement] [someone acting on behalf of law enforcement] to commit (</w:t>
      </w:r>
      <w:r>
        <w:rPr>
          <w:rFonts w:ascii="arial" w:eastAsia="arial" w:hAnsi="arial" w:cs="arial"/>
          <w:b/>
          <w:color w:val="000000"/>
          <w:sz w:val="20"/>
          <w:u w:val="single"/>
          <w:lang w:val="en-US" w:eastAsia="en-US" w:bidi="ar-SA"/>
        </w:rPr>
        <w:t>crime</w:t>
      </w:r>
      <w:r>
        <w:rPr>
          <w:rFonts w:ascii="arial" w:eastAsia="arial" w:hAnsi="arial" w:cs="arial"/>
          <w:b/>
          <w:color w:val="000000"/>
          <w:sz w:val="20"/>
          <w:lang w:val="en-US" w:eastAsia="en-US" w:bidi="ar-SA"/>
        </w:rPr>
        <w:t>)</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color w:val="000000"/>
          <w:sz w:val="20"/>
          <w:lang w:val="en-US" w:eastAsia="en-US" w:bidi="ar-SA"/>
        </w:rPr>
        <w:t>In order to convict the defendant, the State must show that law enforcement did not entrap the defendant. In other words, you are required to find the defendant not guilty unless the State has persuaded you, beyond a reasonable doubt, that at least one of the factors required to prove entrapment was absent</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color w:val="000000"/>
          <w:sz w:val="20"/>
          <w:lang w:val="en-US" w:eastAsia="en-US" w:bidi="ar-SA"/>
        </w:rPr>
        <w:t>Entrapment does not exist if the defendant was predisposed to commit (</w:t>
      </w:r>
      <w:r>
        <w:rPr>
          <w:rFonts w:ascii="arial" w:eastAsia="arial" w:hAnsi="arial" w:cs="arial"/>
          <w:b/>
          <w:color w:val="000000"/>
          <w:sz w:val="20"/>
          <w:u w:val="single"/>
          <w:lang w:val="en-US" w:eastAsia="en-US" w:bidi="ar-SA"/>
        </w:rPr>
        <w:t>crime</w:t>
      </w:r>
      <w:r>
        <w:rPr>
          <w:rFonts w:ascii="arial" w:eastAsia="arial" w:hAnsi="arial" w:cs="arial"/>
          <w:b/>
          <w:color w:val="000000"/>
          <w:sz w:val="20"/>
          <w:lang w:val="en-US" w:eastAsia="en-US" w:bidi="ar-SA"/>
        </w:rPr>
        <w:t>). Predisposition is the willingness to commit a crime. Predisposition may be shown by evidence that the defendant was ready and willing to commit (</w:t>
      </w:r>
      <w:r>
        <w:rPr>
          <w:rFonts w:ascii="arial" w:eastAsia="arial" w:hAnsi="arial" w:cs="arial"/>
          <w:b/>
          <w:color w:val="000000"/>
          <w:sz w:val="20"/>
          <w:u w:val="single"/>
          <w:lang w:val="en-US" w:eastAsia="en-US" w:bidi="ar-SA"/>
        </w:rPr>
        <w:t>crime</w:t>
      </w:r>
      <w:r>
        <w:rPr>
          <w:rFonts w:ascii="arial" w:eastAsia="arial" w:hAnsi="arial" w:cs="arial"/>
          <w:b/>
          <w:color w:val="000000"/>
          <w:sz w:val="20"/>
          <w:lang w:val="en-US" w:eastAsia="en-US" w:bidi="ar-SA"/>
        </w:rPr>
        <w:t>) prior to [his] [her] contact with [law enforcement] [someone acting on behalf of law enforcement]. [It is not necessary for the State to prove that the defendant was involved in prior similar criminal conduct.] [Prior similar criminal conduct by the defendant does not, by itself, require you to find that the defendant was predisposed to commit the (</w:t>
      </w:r>
      <w:r>
        <w:rPr>
          <w:rFonts w:ascii="arial" w:eastAsia="arial" w:hAnsi="arial" w:cs="arial"/>
          <w:b/>
          <w:color w:val="000000"/>
          <w:sz w:val="20"/>
          <w:u w:val="single"/>
          <w:lang w:val="en-US" w:eastAsia="en-US" w:bidi="ar-SA"/>
        </w:rPr>
        <w:t>crime</w:t>
      </w:r>
      <w:r>
        <w:rPr>
          <w:rFonts w:ascii="arial" w:eastAsia="arial" w:hAnsi="arial" w:cs="arial"/>
          <w:b/>
          <w:color w:val="000000"/>
          <w:sz w:val="20"/>
          <w:lang w:val="en-US" w:eastAsia="en-US" w:bidi="ar-SA"/>
        </w:rPr>
        <w:t>). In determining whether the defendant was predisposed to commit (</w:t>
      </w:r>
      <w:r>
        <w:rPr>
          <w:rFonts w:ascii="arial" w:eastAsia="arial" w:hAnsi="arial" w:cs="arial"/>
          <w:b/>
          <w:color w:val="000000"/>
          <w:sz w:val="20"/>
          <w:u w:val="single"/>
          <w:lang w:val="en-US" w:eastAsia="en-US" w:bidi="ar-SA"/>
        </w:rPr>
        <w:t>crime</w:t>
      </w:r>
      <w:r>
        <w:rPr>
          <w:rFonts w:ascii="arial" w:eastAsia="arial" w:hAnsi="arial" w:cs="arial"/>
          <w:b/>
          <w:color w:val="000000"/>
          <w:sz w:val="20"/>
          <w:lang w:val="en-US" w:eastAsia="en-US" w:bidi="ar-SA"/>
        </w:rPr>
        <w:t>), you should consider evidence of prior criminal conduct along with all of the other evidence in the case.]</w:t>
      </w:r>
    </w:p>
    <w:p>
      <w:pPr>
        <w:spacing w:before="200" w:line="260" w:lineRule="atLeast"/>
        <w:jc w:val="both"/>
        <w:rPr>
          <w:lang w:val="en-US" w:eastAsia="en-US" w:bidi="ar-SA"/>
        </w:rPr>
      </w:pPr>
      <w:r>
        <w:rPr>
          <w:rFonts w:ascii="arial" w:eastAsia="arial" w:hAnsi="arial" w:cs="arial"/>
          <w:b/>
          <w:color w:val="000000"/>
          <w:sz w:val="20"/>
          <w:lang w:val="en-US" w:eastAsia="en-US" w:bidi="ar-SA"/>
        </w:rPr>
        <w:t>Entrapment cannot occur before [law enforcement] [someone acting on behalf of law enforcement] has contact with the defendant. Likewise, there is no entrapment merely because [law enforcement] [someone acting on behalf of law enforcement] provides a favorable opportunity to commit (</w:t>
      </w:r>
      <w:r>
        <w:rPr>
          <w:rFonts w:ascii="arial" w:eastAsia="arial" w:hAnsi="arial" w:cs="arial"/>
          <w:b/>
          <w:color w:val="000000"/>
          <w:sz w:val="20"/>
          <w:u w:val="single"/>
          <w:lang w:val="en-US" w:eastAsia="en-US" w:bidi="ar-SA"/>
        </w:rPr>
        <w:t>crime</w:t>
      </w:r>
      <w:r>
        <w:rPr>
          <w:rFonts w:ascii="arial" w:eastAsia="arial" w:hAnsi="arial" w:cs="arial"/>
          <w:b/>
          <w:color w:val="000000"/>
          <w:sz w:val="20"/>
          <w:lang w:val="en-US" w:eastAsia="en-US" w:bidi="ar-SA"/>
        </w:rPr>
        <w:t>) if the defendant was predisposed to commit (</w:t>
      </w:r>
      <w:r>
        <w:rPr>
          <w:rFonts w:ascii="arial" w:eastAsia="arial" w:hAnsi="arial" w:cs="arial"/>
          <w:b/>
          <w:color w:val="000000"/>
          <w:sz w:val="20"/>
          <w:u w:val="single"/>
          <w:lang w:val="en-US" w:eastAsia="en-US" w:bidi="ar-SA"/>
        </w:rPr>
        <w:t>crime</w:t>
      </w:r>
      <w:r>
        <w:rPr>
          <w:rFonts w:ascii="arial" w:eastAsia="arial" w:hAnsi="arial" w:cs="arial"/>
          <w:b/>
          <w:color w:val="000000"/>
          <w:sz w:val="20"/>
          <w:lang w:val="en-US" w:eastAsia="en-US" w:bidi="ar-SA"/>
        </w:rPr>
        <w:t>)</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color w:val="000000"/>
          <w:sz w:val="20"/>
          <w:lang w:val="en-US" w:eastAsia="en-US" w:bidi="ar-SA"/>
        </w:rPr>
        <w:t>In determining whether entrapment occurred, you should consider all of the evidence concerning the intentions and disposition of the defendant before encountering [law enforcement] [someone acting on behalf of law enforcement], along with the nature of the inducement or persuasion by [law enforcement] [someone acting on behalf of law enforcement] to cause the defendant to commit (</w:t>
      </w:r>
      <w:r>
        <w:rPr>
          <w:rFonts w:ascii="arial" w:eastAsia="arial" w:hAnsi="arial" w:cs="arial"/>
          <w:b/>
          <w:color w:val="000000"/>
          <w:sz w:val="20"/>
          <w:u w:val="single"/>
          <w:lang w:val="en-US" w:eastAsia="en-US" w:bidi="ar-SA"/>
        </w:rPr>
        <w:t>crime</w:t>
      </w:r>
      <w:r>
        <w:rPr>
          <w:rFonts w:ascii="arial" w:eastAsia="arial" w:hAnsi="arial" w:cs="arial"/>
          <w:b/>
          <w:color w:val="000000"/>
          <w:sz w:val="20"/>
          <w:lang w:val="en-US" w:eastAsia="en-US" w:bidi="ar-SA"/>
        </w:rPr>
        <w:t>)</w:t>
      </w:r>
      <w:r>
        <w:rPr>
          <w:rFonts w:ascii="arial" w:eastAsia="arial" w:hAnsi="arial" w:cs="arial"/>
          <w:color w:val="000000"/>
          <w:sz w:val="20"/>
          <w:lang w:val="en-US" w:eastAsia="en-US" w:bidi="ar-SA"/>
        </w:rPr>
        <w:t>.</w:t>
      </w:r>
    </w:p>
    <w:p>
      <w:pPr>
        <w:rPr>
          <w:lang w:val="en-US" w:eastAsia="en-US" w:bidi="ar-SA"/>
        </w:rPr>
      </w:pPr>
    </w:p>
    <w:tbl>
      <w:tblPr>
        <w:tblStyle w:val="TableNormal"/>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
      <w:tblGrid>
        <w:gridCol w:w="10240"/>
      </w:tblGrid>
      <w:tr>
        <w:tblPrEx>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Ex>
        <w:tc>
          <w:tcPr>
            <w:tcW w:w="10240" w:type="dxa"/>
            <w:vAlign w:val="center"/>
          </w:tcPr>
          <w:p>
            <w:pPr>
              <w:spacing w:before="240" w:line="260" w:lineRule="atLeast"/>
              <w:ind w:left="60" w:right="360"/>
              <w:rPr>
                <w:lang w:val="en-US" w:eastAsia="en-US" w:bidi="ar-SA"/>
              </w:rPr>
            </w:pPr>
            <w:r>
              <w:rPr>
                <w:rFonts w:ascii="arial" w:eastAsia="arial" w:hAnsi="arial" w:cs="arial"/>
                <w:b/>
                <w:color w:val="000000"/>
                <w:sz w:val="20"/>
                <w:lang w:val="en-US" w:eastAsia="en-US" w:bidi="ar-SA"/>
              </w:rPr>
              <w:t> </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COMMENT</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The defense of entrapment arises when a law enforcement official, or an agent acting in cooperation with such an official, originates the idea of a crime and induces another person to commit the crime when that person is not otherwise disposed to do so. </w:t>
            </w:r>
            <w:r>
              <w:rPr>
                <w:rFonts w:ascii="arial" w:eastAsia="arial" w:hAnsi="arial" w:cs="arial"/>
                <w:i/>
                <w:color w:val="000000"/>
                <w:sz w:val="20"/>
                <w:lang w:val="en-US" w:eastAsia="en-US" w:bidi="ar-SA"/>
              </w:rPr>
              <w:t xml:space="preserve">See </w:t>
            </w:r>
            <w:hyperlink r:id="rId106" w:history="1">
              <w:r>
                <w:rPr>
                  <w:rFonts w:ascii="arial" w:eastAsia="arial" w:hAnsi="arial" w:cs="arial"/>
                  <w:i/>
                  <w:color w:val="0077CC"/>
                  <w:sz w:val="20"/>
                  <w:u w:val="single"/>
                  <w:lang w:val="en-US" w:eastAsia="en-US" w:bidi="ar-SA"/>
                </w:rPr>
                <w:t>Bowser v. State, 50 Md. App. 363, 368, 439 A.2d 1, 4 (1981).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See generally </w:t>
            </w:r>
            <w:hyperlink r:id="rId107" w:history="1">
              <w:r>
                <w:rPr>
                  <w:rFonts w:ascii="arial" w:eastAsia="arial" w:hAnsi="arial" w:cs="arial"/>
                  <w:i/>
                  <w:color w:val="0077CC"/>
                  <w:sz w:val="20"/>
                  <w:u w:val="single"/>
                  <w:lang w:val="en-US" w:eastAsia="en-US" w:bidi="ar-SA"/>
                </w:rPr>
                <w:t>Kamara v. State, 184 Md. App. 59, 964 A.2d 244 (2009);</w:t>
              </w:r>
            </w:hyperlink>
            <w:r>
              <w:rPr>
                <w:rFonts w:ascii="arial" w:eastAsia="arial" w:hAnsi="arial" w:cs="arial"/>
                <w:color w:val="000000"/>
                <w:sz w:val="20"/>
                <w:lang w:val="en-US" w:eastAsia="en-US" w:bidi="ar-SA"/>
              </w:rPr>
              <w:t xml:space="preserve"> </w:t>
            </w:r>
            <w:hyperlink r:id="rId108" w:history="1">
              <w:r>
                <w:rPr>
                  <w:rFonts w:ascii="arial" w:eastAsia="arial" w:hAnsi="arial" w:cs="arial"/>
                  <w:i/>
                  <w:color w:val="0077CC"/>
                  <w:sz w:val="20"/>
                  <w:u w:val="single"/>
                  <w:lang w:val="en-US" w:eastAsia="en-US" w:bidi="ar-SA"/>
                </w:rPr>
                <w:t>Sparks v. State, 91 Md. App. 35, 603 A.2d 1258 (1992);</w:t>
              </w:r>
            </w:hyperlink>
            <w:r>
              <w:rPr>
                <w:rFonts w:ascii="arial" w:eastAsia="arial" w:hAnsi="arial" w:cs="arial"/>
                <w:color w:val="000000"/>
                <w:sz w:val="20"/>
                <w:lang w:val="en-US" w:eastAsia="en-US" w:bidi="ar-SA"/>
              </w:rPr>
              <w:t xml:space="preserve"> WAYNE R. LAFAVE, CRIMINAL LAW § 9.8, at 529-50 (5th ed. 2010).</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Although there is no constitutional right to the defense of entrapment, the Supreme Court articulated the defense's rationale in </w:t>
            </w:r>
            <w:hyperlink r:id="rId109" w:history="1">
              <w:r>
                <w:rPr>
                  <w:rFonts w:ascii="arial" w:eastAsia="arial" w:hAnsi="arial" w:cs="arial"/>
                  <w:i/>
                  <w:color w:val="0077CC"/>
                  <w:sz w:val="20"/>
                  <w:u w:val="single"/>
                  <w:lang w:val="en-US" w:eastAsia="en-US" w:bidi="ar-SA"/>
                </w:rPr>
                <w:t>Jacobson v. United States, 503 U.S. 540, 548-49 (1992)</w:t>
              </w:r>
            </w:hyperlink>
            <w:r>
              <w:rPr>
                <w:rFonts w:ascii="arial" w:eastAsia="arial" w:hAnsi="arial" w:cs="arial"/>
                <w:color w:val="000000"/>
                <w:sz w:val="20"/>
                <w:lang w:val="en-US" w:eastAsia="en-US" w:bidi="ar-SA"/>
              </w:rPr>
              <w:t xml:space="preserve"> (citing </w:t>
            </w:r>
            <w:hyperlink r:id="rId110" w:history="1">
              <w:r>
                <w:rPr>
                  <w:rFonts w:ascii="arial" w:eastAsia="arial" w:hAnsi="arial" w:cs="arial"/>
                  <w:i/>
                  <w:color w:val="0077CC"/>
                  <w:sz w:val="20"/>
                  <w:u w:val="single"/>
                  <w:lang w:val="en-US" w:eastAsia="en-US" w:bidi="ar-SA"/>
                </w:rPr>
                <w:t>Sorrells v. United States, 287 U.S. 435 (1932)).</w:t>
              </w:r>
            </w:hyperlink>
            <w:r>
              <w:rPr>
                <w:rFonts w:ascii="arial" w:eastAsia="arial" w:hAnsi="arial" w:cs="arial"/>
                <w:color w:val="000000"/>
                <w:sz w:val="20"/>
                <w:lang w:val="en-US" w:eastAsia="en-US" w:bidi="ar-SA"/>
              </w:rPr>
              <w:t xml:space="preserve"> Maryland follows the subjective "origin of interest" test espoused by the majority in </w:t>
            </w:r>
            <w:hyperlink r:id="rId111" w:history="1">
              <w:r>
                <w:rPr>
                  <w:rFonts w:ascii="arial" w:eastAsia="arial" w:hAnsi="arial" w:cs="arial"/>
                  <w:i/>
                  <w:color w:val="0077CC"/>
                  <w:sz w:val="20"/>
                  <w:u w:val="single"/>
                  <w:lang w:val="en-US" w:eastAsia="en-US" w:bidi="ar-SA"/>
                </w:rPr>
                <w:t>Sorrells. Simmons v. State, 8 Md. App. 355, 360, 259 A.2d 814, 817 (1969);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see also </w:t>
            </w:r>
            <w:hyperlink r:id="rId112" w:history="1">
              <w:r>
                <w:rPr>
                  <w:rFonts w:ascii="arial" w:eastAsia="arial" w:hAnsi="arial" w:cs="arial"/>
                  <w:i/>
                  <w:color w:val="0077CC"/>
                  <w:sz w:val="20"/>
                  <w:u w:val="single"/>
                  <w:lang w:val="en-US" w:eastAsia="en-US" w:bidi="ar-SA"/>
                </w:rPr>
                <w:t>Ferraro v. State, 200 Md. 274, 281, 89 A.2d 628, 631 (1952).</w:t>
              </w:r>
            </w:hyperlink>
            <w:r>
              <w:rPr>
                <w:rFonts w:ascii="arial" w:eastAsia="arial" w:hAnsi="arial" w:cs="arial"/>
                <w:color w:val="000000"/>
                <w:sz w:val="20"/>
                <w:lang w:val="en-US" w:eastAsia="en-US" w:bidi="ar-SA"/>
              </w:rPr>
              <w:t xml:space="preserve"> Under this test, merely affording an opportunity to commit an offense does not constitute entrapment. </w:t>
            </w:r>
            <w:hyperlink r:id="rId106" w:history="1">
              <w:r>
                <w:rPr>
                  <w:rFonts w:ascii="arial" w:eastAsia="arial" w:hAnsi="arial" w:cs="arial"/>
                  <w:i/>
                  <w:color w:val="0077CC"/>
                  <w:sz w:val="20"/>
                  <w:u w:val="single"/>
                  <w:lang w:val="en-US" w:eastAsia="en-US" w:bidi="ar-SA"/>
                </w:rPr>
                <w:t>Bowser, 50 Md. App. at 368, 439 A.2d at 4.</w:t>
              </w:r>
            </w:hyperlink>
            <w:r>
              <w:rPr>
                <w:rFonts w:ascii="arial" w:eastAsia="arial" w:hAnsi="arial" w:cs="arial"/>
                <w:color w:val="000000"/>
                <w:sz w:val="20"/>
                <w:lang w:val="en-US" w:eastAsia="en-US" w:bidi="ar-SA"/>
              </w:rPr>
              <w:t xml:space="preserve"> The subjective entrapment test requires two inquiries: "(1) whether there was an inducement on the part of the government officials or their agents, and if so, then (2) whether the defendant showed any predisposition to commit the offense." </w:t>
            </w:r>
            <w:hyperlink r:id="rId106" w:history="1">
              <w:r>
                <w:rPr>
                  <w:rFonts w:ascii="arial" w:eastAsia="arial" w:hAnsi="arial" w:cs="arial"/>
                  <w:i/>
                  <w:color w:val="0077CC"/>
                  <w:sz w:val="20"/>
                  <w:u w:val="single"/>
                  <w:lang w:val="en-US" w:eastAsia="en-US" w:bidi="ar-SA"/>
                </w:rPr>
                <w:t>Id. at 369, 439 A.2d at 4</w:t>
              </w:r>
            </w:hyperlink>
            <w:r>
              <w:rPr>
                <w:rFonts w:ascii="arial" w:eastAsia="arial" w:hAnsi="arial" w:cs="arial"/>
                <w:color w:val="000000"/>
                <w:sz w:val="20"/>
                <w:lang w:val="en-US" w:eastAsia="en-US" w:bidi="ar-SA"/>
              </w:rPr>
              <w:t xml:space="preserve"> (quoting </w:t>
            </w:r>
            <w:hyperlink r:id="rId113" w:history="1">
              <w:r>
                <w:rPr>
                  <w:rFonts w:ascii="arial" w:eastAsia="arial" w:hAnsi="arial" w:cs="arial"/>
                  <w:i/>
                  <w:color w:val="0077CC"/>
                  <w:sz w:val="20"/>
                  <w:u w:val="single"/>
                  <w:lang w:val="en-US" w:eastAsia="en-US" w:bidi="ar-SA"/>
                </w:rPr>
                <w:t>Grohman v. State, 258 Md. 552, 557, 267 A.2d 193, 196 (1970),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401 U.S. 982 (1971));</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see </w:t>
            </w:r>
            <w:hyperlink r:id="rId114" w:history="1">
              <w:r>
                <w:rPr>
                  <w:rFonts w:ascii="arial" w:eastAsia="arial" w:hAnsi="arial" w:cs="arial"/>
                  <w:i/>
                  <w:color w:val="0077CC"/>
                  <w:sz w:val="20"/>
                  <w:u w:val="single"/>
                  <w:lang w:val="en-US" w:eastAsia="en-US" w:bidi="ar-SA"/>
                </w:rPr>
                <w:t>United States v. Sherman, 200 F.2d 880, 882 (2d Cir. 1952),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rev'd on other grounds</w:t>
            </w:r>
            <w:r>
              <w:rPr>
                <w:rFonts w:ascii="arial" w:eastAsia="arial" w:hAnsi="arial" w:cs="arial"/>
                <w:color w:val="000000"/>
                <w:sz w:val="20"/>
                <w:lang w:val="en-US" w:eastAsia="en-US" w:bidi="ar-SA"/>
              </w:rPr>
              <w:t xml:space="preserve">, </w:t>
            </w:r>
            <w:hyperlink r:id="rId115" w:history="1">
              <w:r>
                <w:rPr>
                  <w:rFonts w:ascii="arial" w:eastAsia="arial" w:hAnsi="arial" w:cs="arial"/>
                  <w:i/>
                  <w:color w:val="0077CC"/>
                  <w:sz w:val="20"/>
                  <w:u w:val="single"/>
                  <w:lang w:val="en-US" w:eastAsia="en-US" w:bidi="ar-SA"/>
                </w:rPr>
                <w:t>356 U.S. 369 (1958).</w:t>
              </w:r>
            </w:hyperlink>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The defendant has the burden of generating the defense of entrapment. To produce a prima facie case of entrapment, there must be evidence "as to both (1) improper inducing behavior on the part of the government and (2) the actual succumbing to that inducement on the part of the defendant." </w:t>
            </w:r>
            <w:hyperlink r:id="rId116" w:history="1">
              <w:r>
                <w:rPr>
                  <w:rFonts w:ascii="arial" w:eastAsia="arial" w:hAnsi="arial" w:cs="arial"/>
                  <w:i/>
                  <w:color w:val="0077CC"/>
                  <w:sz w:val="20"/>
                  <w:u w:val="single"/>
                  <w:lang w:val="en-US" w:eastAsia="en-US" w:bidi="ar-SA"/>
                </w:rPr>
                <w:t>Adcock v. State, 66 Md. App. 454, 456, 504 A.2d 1160, 1161 (1986)</w:t>
              </w:r>
            </w:hyperlink>
            <w:r>
              <w:rPr>
                <w:rFonts w:ascii="arial" w:eastAsia="arial" w:hAnsi="arial" w:cs="arial"/>
                <w:color w:val="000000"/>
                <w:sz w:val="20"/>
                <w:lang w:val="en-US" w:eastAsia="en-US" w:bidi="ar-SA"/>
              </w:rPr>
              <w:t xml:space="preserve"> (the defendant's assertion that she did not commit the acts constituting the offense precluded the defense of entrapment as a matter of law); </w:t>
            </w:r>
            <w:r>
              <w:rPr>
                <w:rFonts w:ascii="arial" w:eastAsia="arial" w:hAnsi="arial" w:cs="arial"/>
                <w:i/>
                <w:color w:val="000000"/>
                <w:sz w:val="20"/>
                <w:lang w:val="en-US" w:eastAsia="en-US" w:bidi="ar-SA"/>
              </w:rPr>
              <w:t>see</w:t>
            </w:r>
            <w:r>
              <w:rPr>
                <w:rFonts w:ascii="arial" w:eastAsia="arial" w:hAnsi="arial" w:cs="arial"/>
                <w:color w:val="000000"/>
                <w:sz w:val="20"/>
                <w:lang w:val="en-US" w:eastAsia="en-US" w:bidi="ar-SA"/>
              </w:rPr>
              <w:t xml:space="preserve"> CHARLES H. WHITEBREAD &amp; CHRISTOPHER SLOBOGIN, CRIMINAL PROCEDURE 467-84 (3d ed. 1993); </w:t>
            </w:r>
            <w:r>
              <w:rPr>
                <w:rFonts w:ascii="arial" w:eastAsia="arial" w:hAnsi="arial" w:cs="arial"/>
                <w:i/>
                <w:color w:val="000000"/>
                <w:sz w:val="20"/>
                <w:lang w:val="en-US" w:eastAsia="en-US" w:bidi="ar-SA"/>
              </w:rPr>
              <w:t xml:space="preserve">see also </w:t>
            </w:r>
            <w:hyperlink r:id="rId117" w:history="1">
              <w:r>
                <w:rPr>
                  <w:rFonts w:ascii="arial" w:eastAsia="arial" w:hAnsi="arial" w:cs="arial"/>
                  <w:i/>
                  <w:color w:val="0077CC"/>
                  <w:sz w:val="20"/>
                  <w:u w:val="single"/>
                  <w:lang w:val="en-US" w:eastAsia="en-US" w:bidi="ar-SA"/>
                </w:rPr>
                <w:t>Fisher v. State, 28 Md. App. 243, 249-50, 345 A.2d 110, 114-15 (1975),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276 Md. 743 (1976).</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If the defendant satisfies the burden of production, the defendant is entitled to an entrapment instruction, and the State has the burden of proving beyond a reasonable doubt that the defendant's conduct was due to the defendant's independent predisposition to commit the offense at the time the government first approached the defendant. </w:t>
            </w:r>
            <w:hyperlink r:id="rId109" w:history="1">
              <w:r>
                <w:rPr>
                  <w:rFonts w:ascii="arial" w:eastAsia="arial" w:hAnsi="arial" w:cs="arial"/>
                  <w:i/>
                  <w:color w:val="0077CC"/>
                  <w:sz w:val="20"/>
                  <w:u w:val="single"/>
                  <w:lang w:val="en-US" w:eastAsia="en-US" w:bidi="ar-SA"/>
                </w:rPr>
                <w:t>Jacobson, 503 U.S. at 549</w:t>
              </w:r>
            </w:hyperlink>
            <w:r>
              <w:rPr>
                <w:rFonts w:ascii="arial" w:eastAsia="arial" w:hAnsi="arial" w:cs="arial"/>
                <w:color w:val="000000"/>
                <w:sz w:val="20"/>
                <w:lang w:val="en-US" w:eastAsia="en-US" w:bidi="ar-SA"/>
              </w:rPr>
              <w:t xml:space="preserve"> (citing </w:t>
            </w:r>
            <w:hyperlink r:id="rId118" w:history="1">
              <w:r>
                <w:rPr>
                  <w:rFonts w:ascii="arial" w:eastAsia="arial" w:hAnsi="arial" w:cs="arial"/>
                  <w:i/>
                  <w:color w:val="0077CC"/>
                  <w:sz w:val="20"/>
                  <w:u w:val="single"/>
                  <w:lang w:val="en-US" w:eastAsia="en-US" w:bidi="ar-SA"/>
                </w:rPr>
                <w:t>United States v. Whoie, 925 F.2d 1481 (D.C. Cir. 1991));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see also </w:t>
            </w:r>
            <w:hyperlink r:id="rId119" w:history="1">
              <w:r>
                <w:rPr>
                  <w:rFonts w:ascii="arial" w:eastAsia="arial" w:hAnsi="arial" w:cs="arial"/>
                  <w:i/>
                  <w:color w:val="0077CC"/>
                  <w:sz w:val="20"/>
                  <w:u w:val="single"/>
                  <w:lang w:val="en-US" w:eastAsia="en-US" w:bidi="ar-SA"/>
                </w:rPr>
                <w:t>Kenney v. State, 62 Md. App. 555, 567-68, 490 A.2d 738, 744-45 (1985).</w:t>
              </w:r>
            </w:hyperlink>
            <w:r>
              <w:rPr>
                <w:rFonts w:ascii="arial" w:eastAsia="arial" w:hAnsi="arial" w:cs="arial"/>
                <w:color w:val="000000"/>
                <w:sz w:val="20"/>
                <w:lang w:val="en-US" w:eastAsia="en-US" w:bidi="ar-SA"/>
              </w:rPr>
              <w:t xml:space="preserve"> Because the defendant's predisposition to commit the crime is at issue, prior convictions for similar offenses, prior similar criminal acts and other probative evidence of the defendant's state of mind are admissible. </w:t>
            </w:r>
            <w:hyperlink r:id="rId106" w:history="1">
              <w:r>
                <w:rPr>
                  <w:rFonts w:ascii="arial" w:eastAsia="arial" w:hAnsi="arial" w:cs="arial"/>
                  <w:i/>
                  <w:color w:val="0077CC"/>
                  <w:sz w:val="20"/>
                  <w:u w:val="single"/>
                  <w:lang w:val="en-US" w:eastAsia="en-US" w:bidi="ar-SA"/>
                </w:rPr>
                <w:t>Bowser, 50 Md. App. at 375, 439 A.2d at 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see </w:t>
            </w:r>
            <w:hyperlink r:id="rId110" w:history="1">
              <w:r>
                <w:rPr>
                  <w:rFonts w:ascii="arial" w:eastAsia="arial" w:hAnsi="arial" w:cs="arial"/>
                  <w:i/>
                  <w:color w:val="0077CC"/>
                  <w:sz w:val="20"/>
                  <w:u w:val="single"/>
                  <w:lang w:val="en-US" w:eastAsia="en-US" w:bidi="ar-SA"/>
                </w:rPr>
                <w:t>Sorrells, 287 U.S. at 435.</w:t>
              </w:r>
            </w:hyperlink>
          </w:p>
          <w:p>
            <w:pPr>
              <w:spacing w:after="120"/>
              <w:rPr>
                <w:lang w:val="en-US" w:eastAsia="en-US" w:bidi="ar-SA"/>
              </w:rPr>
            </w:pPr>
          </w:p>
        </w:tc>
      </w:tr>
    </w:tbl>
    <w:p>
      <w:pPr>
        <w:spacing w:before="60" w:line="260" w:lineRule="atLeast"/>
        <w:ind w:left="720"/>
        <w:jc w:val="both"/>
        <w:rPr>
          <w:lang w:val="en-US" w:eastAsia="en-US" w:bidi="ar-SA"/>
        </w:rPr>
      </w:pPr>
      <w:r>
        <w:rPr>
          <w:rFonts w:ascii="arial" w:eastAsia="arial" w:hAnsi="arial" w:cs="arial"/>
          <w:color w:val="000000"/>
          <w:sz w:val="20"/>
          <w:lang w:val="en-US" w:eastAsia="en-US" w:bidi="ar-SA"/>
        </w:rPr>
        <w:t>#MICPEL#</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Source:</w:t>
      </w:r>
      <w:r>
        <w:rPr>
          <w:rFonts w:ascii="arial" w:eastAsia="arial" w:hAnsi="arial" w:cs="arial"/>
          <w:color w:val="000000"/>
          <w:sz w:val="20"/>
          <w:lang w:val="en-US" w:eastAsia="en-US" w:bidi="ar-SA"/>
        </w:rPr>
        <w:t> MICPEL</w:t>
      </w:r>
    </w:p>
    <w:p>
      <w:pPr>
        <w:spacing w:before="240" w:line="220" w:lineRule="atLeast"/>
        <w:rPr>
          <w:lang w:val="en-US" w:eastAsia="en-US" w:bidi="ar-SA"/>
        </w:rPr>
      </w:pPr>
      <w:r>
        <w:rPr>
          <w:rFonts w:ascii="arial" w:eastAsia="arial" w:hAnsi="arial" w:cs="arial"/>
          <w:color w:val="000000"/>
          <w:sz w:val="16"/>
          <w:lang w:val="en-US" w:eastAsia="en-US" w:bidi="ar-SA"/>
        </w:rPr>
        <w:t>Maryland Criminal Pattern Jury Instructions</w:t>
      </w:r>
    </w:p>
    <w:p>
      <w:pPr>
        <w:spacing w:line="220" w:lineRule="atLeast"/>
        <w:rPr>
          <w:lang w:val="en-US" w:eastAsia="en-US" w:bidi="ar-SA"/>
        </w:rPr>
      </w:pPr>
      <w:r>
        <w:rPr>
          <w:rFonts w:ascii="arial" w:eastAsia="arial" w:hAnsi="arial" w:cs="arial"/>
          <w:color w:val="000000"/>
          <w:sz w:val="16"/>
          <w:lang w:val="en-US" w:eastAsia="en-US" w:bidi="ar-SA"/>
        </w:rPr>
        <w:t>Copyright 2018 by The Maryland State Bar Association, Inc.</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7" style="position:absolute;z-index:2516756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0"/>
          <w:headerReference w:type="default" r:id="rId121"/>
          <w:footerReference w:type="even" r:id="rId122"/>
          <w:footerReference w:type="default" r:id="rId123"/>
          <w:headerReference w:type="first" r:id="rId124"/>
          <w:footerReference w:type="first" r:id="rId125"/>
          <w:type w:val="nextPage"/>
          <w:pgSz w:w="12240" w:h="15840"/>
          <w:pgMar w:top="840" w:right="1000" w:bottom="840" w:left="1000" w:header="400" w:footer="400"/>
          <w:pgNumType w:fmt="decimal"/>
          <w:cols w:space="720"/>
          <w:titlePg/>
        </w:sectPr>
      </w:pPr>
    </w:p>
    <w:p>
      <w:pPr>
        <w:rPr>
          <w:lang w:val="en-US" w:eastAsia="en-US" w:bidi="ar-SA"/>
        </w:rPr>
      </w:pPr>
      <w:bookmarkStart w:id="6" w:name="Bookmark_7"/>
      <w:bookmarkEnd w:id="6"/>
    </w:p>
    <w:p>
      <w:pPr>
        <w:rPr>
          <w:lang w:val="en-US" w:eastAsia="en-US" w:bidi="ar-SA"/>
        </w:rPr>
      </w:pPr>
      <w:r>
        <w:pict>
          <v:shape id="_x0000_i1048" type="#_x0000_t75" alt="LexisNexis®" style="width:147.77pt;height:30pt">
            <v:imagedata r:id="rId4" o:title=""/>
          </v:shape>
        </w:pict>
      </w:r>
      <w:r>
        <w:rPr>
          <w:lang w:val="en-US" w:eastAsia="en-US" w:bidi="ar-SA"/>
        </w:rPr>
        <w:cr/>
      </w:r>
    </w:p>
    <w:p>
      <w:pPr>
        <w:spacing w:before="240" w:after="200" w:line="340" w:lineRule="atLeast"/>
        <w:jc w:val="center"/>
        <w:outlineLvl w:val="0"/>
        <w:rPr>
          <w:rFonts w:ascii="Arial" w:hAnsi="Arial" w:cs="Arial"/>
          <w:b/>
          <w:bCs/>
          <w:kern w:val="32"/>
          <w:sz w:val="32"/>
          <w:szCs w:val="32"/>
          <w:lang w:val="en-US" w:eastAsia="en-US" w:bidi="ar-SA"/>
        </w:rPr>
      </w:pPr>
      <w:hyperlink r:id="rId126" w:history="1">
        <w:r>
          <w:rPr>
            <w:rFonts w:ascii="arial" w:eastAsia="arial" w:hAnsi="arial" w:cs="arial"/>
            <w:b/>
            <w:bCs/>
            <w:i/>
            <w:color w:val="0077CC"/>
            <w:kern w:val="32"/>
            <w:sz w:val="28"/>
            <w:szCs w:val="32"/>
            <w:u w:val="single"/>
            <w:lang w:val="en-US" w:eastAsia="en-US" w:bidi="ar-SA"/>
          </w:rPr>
          <w:t>MPJI-Cr 5:05</w:t>
        </w:r>
      </w:hyperlink>
    </w:p>
    <w:p>
      <w:pPr>
        <w:spacing w:line="240" w:lineRule="atLeast"/>
        <w:jc w:val="both"/>
        <w:rPr>
          <w:lang w:val="en-US" w:eastAsia="en-US" w:bidi="ar-SA"/>
        </w:rPr>
      </w:pPr>
    </w:p>
    <w:p>
      <w:pPr>
        <w:spacing w:before="200" w:line="280" w:lineRule="atLeast"/>
        <w:rPr>
          <w:lang w:val="en-US" w:eastAsia="en-US" w:bidi="ar-SA"/>
        </w:rPr>
      </w:pPr>
      <w:r>
        <w:rPr>
          <w:rFonts w:ascii="arial" w:eastAsia="arial" w:hAnsi="arial" w:cs="arial"/>
          <w:b/>
          <w:i/>
          <w:color w:val="000000"/>
          <w:sz w:val="22"/>
          <w:lang w:val="en-US" w:eastAsia="en-US" w:bidi="ar-SA"/>
        </w:rPr>
        <w:t>Maryland Criminal Pattern Jury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CHAPTER 5 DEFENSES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INSANITY--NONBIFURCATED PROCEEDING</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5:05Insanity--Nonbifurcated Proceeding</w:t>
      </w:r>
    </w:p>
    <w:p>
      <w:pPr>
        <w:spacing w:line="60" w:lineRule="exact"/>
        <w:rPr>
          <w:lang w:val="en-US" w:eastAsia="en-US" w:bidi="ar-SA"/>
        </w:rPr>
      </w:pPr>
      <w:r>
        <w:pict>
          <v:line id="_x0000_s1049" style="position:absolute;z-index:2516643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color w:val="000000"/>
          <w:sz w:val="20"/>
          <w:lang w:val="en-US" w:eastAsia="en-US" w:bidi="ar-SA"/>
        </w:rPr>
        <w:t>The defendant has raised the defense that [he] [she] is not criminally responsible for [his] [her] conduct by reason of insanity. Before considering the defendant's criminal responsibility, you must first determine whether the State has proven, beyond a reasonable doubt, that the defendant committed the crime charged. If you are not convinced, beyond a reasonable doubt, that the defendant committed the crime, then you should go no further and should return a verdict of not guilty. If, on the other hand, you are convinced, beyond a reasonable doubt, that the defendant committed the crime, then you should determine whether the defendant was criminally responsible at the time of the commission of the crime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color w:val="000000"/>
          <w:sz w:val="20"/>
          <w:lang w:val="en-US" w:eastAsia="en-US" w:bidi="ar-SA"/>
        </w:rPr>
        <w:t>A defendant is not criminally responsible by reason of insanity, if, at the time of the criminal act, because of a mental disorder [or mental retardation], the defendant lacked the substantial capacity either</w:t>
      </w:r>
      <w:r>
        <w:rPr>
          <w:rFonts w:ascii="arial" w:eastAsia="arial" w:hAnsi="arial" w:cs="arial"/>
          <w:color w:val="000000"/>
          <w:sz w:val="20"/>
          <w:lang w:val="en-US" w:eastAsia="en-US" w:bidi="ar-SA"/>
        </w:rPr>
        <w:t>:</w:t>
      </w:r>
    </w:p>
    <w:p>
      <w:pPr>
        <w:spacing w:before="200" w:line="260" w:lineRule="atLeast"/>
        <w:ind w:left="400"/>
        <w:jc w:val="both"/>
        <w:rPr>
          <w:lang w:val="en-US" w:eastAsia="en-US" w:bidi="ar-SA"/>
        </w:rPr>
      </w:pPr>
      <w:r>
        <w:rPr>
          <w:rFonts w:ascii="arial" w:eastAsia="arial" w:hAnsi="arial" w:cs="arial"/>
          <w:b/>
          <w:color w:val="000000"/>
          <w:sz w:val="20"/>
          <w:lang w:val="en-US" w:eastAsia="en-US" w:bidi="ar-SA"/>
        </w:rPr>
        <w:t>(1) to appreciate the criminality of the conduct; or</w:t>
      </w:r>
    </w:p>
    <w:p>
      <w:pPr>
        <w:spacing w:before="200" w:line="260" w:lineRule="atLeast"/>
        <w:ind w:left="400"/>
        <w:jc w:val="both"/>
        <w:rPr>
          <w:lang w:val="en-US" w:eastAsia="en-US" w:bidi="ar-SA"/>
        </w:rPr>
      </w:pPr>
      <w:r>
        <w:rPr>
          <w:rFonts w:ascii="arial" w:eastAsia="arial" w:hAnsi="arial" w:cs="arial"/>
          <w:b/>
          <w:color w:val="000000"/>
          <w:sz w:val="20"/>
          <w:lang w:val="en-US" w:eastAsia="en-US" w:bidi="ar-SA"/>
        </w:rPr>
        <w:t>(2) to conform that conduct to the requirements of law</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color w:val="000000"/>
          <w:sz w:val="20"/>
          <w:lang w:val="en-US" w:eastAsia="en-US" w:bidi="ar-SA"/>
        </w:rPr>
        <w:t>Mental disorder means mental illness or other forms of behavioral or emotional illness resulting from psychiatric or neurological disorders. Mental disorder does not include an abnormality that is manifested only by repeated criminal or antisocial conduct. [Mental disorder does not include mere intoxication by drugs or alcohol.] Mental disorder includes a mental illness that so substantially impairs a person's mental or emotional functioning as to make it necessary or advisable for that person's welfare, or for the safety of other persons or their property, that the mentally ill person receive care or treatment. [Mental retardation means a developmental disability that is evidenced by significantly subaverage intellectual functioning and impairment in the adaptive behavior of an individual.]</w:t>
      </w:r>
    </w:p>
    <w:p>
      <w:pPr>
        <w:spacing w:before="200" w:line="260" w:lineRule="atLeast"/>
        <w:jc w:val="both"/>
        <w:rPr>
          <w:lang w:val="en-US" w:eastAsia="en-US" w:bidi="ar-SA"/>
        </w:rPr>
      </w:pPr>
      <w:r>
        <w:rPr>
          <w:rFonts w:ascii="arial" w:eastAsia="arial" w:hAnsi="arial" w:cs="arial"/>
          <w:b/>
          <w:color w:val="000000"/>
          <w:sz w:val="20"/>
          <w:lang w:val="en-US" w:eastAsia="en-US" w:bidi="ar-SA"/>
        </w:rPr>
        <w:t>The presence of a mental disorder [or mental retardation] does not, by itself, mean that a person lacks criminal responsibility. A person is not criminally responsible only if, as a result of the mental disorder [or mental retardation], [he] [she] lacks the substantial capacity to appreciate the criminality of the conduct or to conform the conduct to the requirements of law. To lack substantial capacity means to lack the power or ability to a significant degree. The expression to appreciate the criminality of the conduct means the ability to realize or understand that the conduct is criminally wrong. The expression to conform the conduct to the requirements of law means the ability to act as the law requires a person to act. The law recognizes that willpower, like reason, may be so seriously impaired or destroyed by a mental disorder that the person affected lacks the substantial capacity or ability to exercise control over [himself] [herself].</w:t>
      </w:r>
    </w:p>
    <w:p>
      <w:pPr>
        <w:spacing w:before="200" w:line="260" w:lineRule="atLeast"/>
        <w:jc w:val="both"/>
        <w:rPr>
          <w:lang w:val="en-US" w:eastAsia="en-US" w:bidi="ar-SA"/>
        </w:rPr>
      </w:pPr>
      <w:r>
        <w:rPr>
          <w:rFonts w:ascii="arial" w:eastAsia="arial" w:hAnsi="arial" w:cs="arial"/>
          <w:b/>
          <w:color w:val="000000"/>
          <w:sz w:val="20"/>
          <w:lang w:val="en-US" w:eastAsia="en-US" w:bidi="ar-SA"/>
        </w:rPr>
        <w:t>The burden of proof is on the defendant to establish this defense by a preponderance of the evidence. This means that the defendant must persuade you, by a preponderance of the evidence, that at the time of the criminal act, as a result of a mental disorder [or mental retardation], [he] [she] either lacked the substantial capacity to appreciate the criminality of [his] [her] conduct or lacked the substantial capacity to conform [his] [her] conduct to the requirements of the law. To prove by a preponderance of the evidence means to prove that something is more likely so than not so. In other words, a preponderance of the evidence means such evidence as, when considered and compared with that opposed to it, has more convincing force and produces in your mind a belief that is more likely true than not true. If the defendant has met that burden, you must find the defendant not criminally responsible by reason of insanity. If the defendant has not met that burden, you should find the defendant guilty of the offenses that the State has proven beyond a reasonable doubt</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color w:val="000000"/>
          <w:sz w:val="20"/>
          <w:lang w:val="en-US" w:eastAsia="en-US" w:bidi="ar-SA"/>
        </w:rPr>
        <w:t>[You are being informed generally about the consequences of a verdict of not criminally responsible by reason of insanity. If the defendant is found guilty of the criminal act, but not criminally responsible by reason of insanity, the defendant shall be committed to the Department of Health and Mental Hygiene for in-patient treatment, and shall remain in custody unless and until a court or a jury finds that [he] [she] will not be a danger to [himself] [herself] or the person or property of another. What happens to the defendant, however, is not to be considered by you in determining whether the defendant was criminally responsible at the time of the criminal act.]</w:t>
      </w:r>
    </w:p>
    <w:p>
      <w:pPr>
        <w:rPr>
          <w:lang w:val="en-US" w:eastAsia="en-US" w:bidi="ar-SA"/>
        </w:rPr>
      </w:pPr>
    </w:p>
    <w:tbl>
      <w:tblPr>
        <w:tblStyle w:val="TableNormal"/>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
      <w:tblGrid>
        <w:gridCol w:w="10240"/>
      </w:tblGrid>
      <w:tr>
        <w:tblPrEx>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Ex>
        <w:tc>
          <w:tcPr>
            <w:tcW w:w="10240" w:type="dxa"/>
            <w:vAlign w:val="center"/>
          </w:tcPr>
          <w:p>
            <w:pPr>
              <w:spacing w:before="240" w:line="260" w:lineRule="atLeast"/>
              <w:ind w:left="60" w:right="360"/>
              <w:rPr>
                <w:lang w:val="en-US" w:eastAsia="en-US" w:bidi="ar-SA"/>
              </w:rPr>
            </w:pPr>
            <w:r>
              <w:rPr>
                <w:rFonts w:ascii="arial" w:eastAsia="arial" w:hAnsi="arial" w:cs="arial"/>
                <w:b/>
                <w:color w:val="000000"/>
                <w:sz w:val="20"/>
                <w:lang w:val="en-US" w:eastAsia="en-US" w:bidi="ar-SA"/>
              </w:rPr>
              <w:t> </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COMMENT</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The procedural and substantive law governing the use of the defense of insanity is codified in MD. CODE ANN., CRIMINAL PROCEDURE §§ 3-101 and 3-109 to 3-123 (2008 &amp; Supp. 2018) (hereinafter CRIM. PROC. § </w:t>
            </w:r>
            <w:r>
              <w:rPr>
                <w:rFonts w:ascii="arial" w:eastAsia="arial" w:hAnsi="arial" w:cs="arial"/>
                <w:color w:val="000000"/>
                <w:sz w:val="20"/>
                <w:u w:val="single"/>
                <w:lang w:val="en-US" w:eastAsia="en-US" w:bidi="ar-SA"/>
              </w:rPr>
              <w:t>   </w:t>
            </w:r>
            <w:r>
              <w:rPr>
                <w:rFonts w:ascii="arial" w:eastAsia="arial" w:hAnsi="arial" w:cs="arial"/>
                <w:color w:val="000000"/>
                <w:sz w:val="20"/>
                <w:lang w:val="en-US" w:eastAsia="en-US" w:bidi="ar-SA"/>
              </w:rPr>
              <w:t xml:space="preserve"> ) and MD. RULE 4-314. "The purpose of the insanity defense is to ensure that the criminal sanction is imposed only on those who had the cognitive and volitional capacity to comply with the law." </w:t>
            </w:r>
            <w:hyperlink r:id="rId127" w:history="1">
              <w:r>
                <w:rPr>
                  <w:rFonts w:ascii="arial" w:eastAsia="arial" w:hAnsi="arial" w:cs="arial"/>
                  <w:i/>
                  <w:color w:val="0077CC"/>
                  <w:sz w:val="20"/>
                  <w:u w:val="single"/>
                  <w:lang w:val="en-US" w:eastAsia="en-US" w:bidi="ar-SA"/>
                </w:rPr>
                <w:t>Robey v. State, 54 Md. App. 60, 73, 456 A.2d 953, 960 (1983).</w:t>
              </w:r>
            </w:hyperlink>
            <w:r>
              <w:rPr>
                <w:rFonts w:ascii="arial" w:eastAsia="arial" w:hAnsi="arial" w:cs="arial"/>
                <w:color w:val="000000"/>
                <w:sz w:val="20"/>
                <w:lang w:val="en-US" w:eastAsia="en-US" w:bidi="ar-SA"/>
              </w:rPr>
              <w:t xml:space="preserve"> Maryland follows an approach under which a successful plea of insanity results in a verdict of guilty but not criminally responsible. </w:t>
            </w:r>
            <w:hyperlink r:id="rId128" w:history="1">
              <w:r>
                <w:rPr>
                  <w:rFonts w:ascii="arial" w:eastAsia="arial" w:hAnsi="arial" w:cs="arial"/>
                  <w:i/>
                  <w:color w:val="0077CC"/>
                  <w:sz w:val="20"/>
                  <w:u w:val="single"/>
                  <w:lang w:val="en-US" w:eastAsia="en-US" w:bidi="ar-SA"/>
                </w:rPr>
                <w:t>Langworthy v. State, 284 Md. 588, 598, 399 A.2d 578, 584 (1979),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450 U.S. 960 (1981).</w:t>
            </w:r>
            <w:r>
              <w:rPr>
                <w:rFonts w:ascii="arial" w:eastAsia="arial" w:hAnsi="arial" w:cs="arial"/>
                <w:color w:val="000000"/>
                <w:sz w:val="20"/>
                <w:lang w:val="en-US" w:eastAsia="en-US" w:bidi="ar-SA"/>
              </w:rPr>
              <w:t xml:space="preserve"> "[A] finding of insanity is not tantamount to an absence of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or inconsistent with a general intent to commit a crime." </w:t>
            </w:r>
            <w:hyperlink r:id="rId129" w:history="1">
              <w:r>
                <w:rPr>
                  <w:rFonts w:ascii="arial" w:eastAsia="arial" w:hAnsi="arial" w:cs="arial"/>
                  <w:i/>
                  <w:color w:val="0077CC"/>
                  <w:sz w:val="20"/>
                  <w:u w:val="single"/>
                  <w:lang w:val="en-US" w:eastAsia="en-US" w:bidi="ar-SA"/>
                </w:rPr>
                <w:t>Pouncey v. State, 297 Md. 264, 269, 465 A.2d 475, 478 (1983).</w:t>
              </w:r>
            </w:hyperlink>
            <w:r>
              <w:rPr>
                <w:rFonts w:ascii="arial" w:eastAsia="arial" w:hAnsi="arial" w:cs="arial"/>
                <w:color w:val="000000"/>
                <w:sz w:val="20"/>
                <w:lang w:val="en-US" w:eastAsia="en-US" w:bidi="ar-SA"/>
              </w:rPr>
              <w:t xml:space="preserve"> The legislature did not intend "that an accused… be found not guilty of the criminal act it was proved he committed but that he… not be punished therefore." </w:t>
            </w:r>
            <w:hyperlink r:id="rId128" w:history="1">
              <w:r>
                <w:rPr>
                  <w:rFonts w:ascii="arial" w:eastAsia="arial" w:hAnsi="arial" w:cs="arial"/>
                  <w:i/>
                  <w:color w:val="0077CC"/>
                  <w:sz w:val="20"/>
                  <w:u w:val="single"/>
                  <w:lang w:val="en-US" w:eastAsia="en-US" w:bidi="ar-SA"/>
                </w:rPr>
                <w:t>Langworthy, 284 Md. at 598, 399 A.2d at 584.</w:t>
              </w:r>
            </w:hyperlink>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Maryland's test for insanity is derived from § 4.01 of the Model Penal Code. </w:t>
            </w:r>
            <w:r>
              <w:rPr>
                <w:rFonts w:ascii="arial" w:eastAsia="arial" w:hAnsi="arial" w:cs="arial"/>
                <w:i/>
                <w:color w:val="000000"/>
                <w:sz w:val="20"/>
                <w:lang w:val="en-US" w:eastAsia="en-US" w:bidi="ar-SA"/>
              </w:rPr>
              <w:t xml:space="preserve">See </w:t>
            </w:r>
            <w:hyperlink r:id="rId130" w:history="1">
              <w:r>
                <w:rPr>
                  <w:rFonts w:ascii="arial" w:eastAsia="arial" w:hAnsi="arial" w:cs="arial"/>
                  <w:i/>
                  <w:color w:val="0077CC"/>
                  <w:sz w:val="20"/>
                  <w:u w:val="single"/>
                  <w:lang w:val="en-US" w:eastAsia="en-US" w:bidi="ar-SA"/>
                </w:rPr>
                <w:t>State v. Conn, 286 Md. 406, 417, 408 A.2d 700, 705 (1979).</w:t>
              </w:r>
            </w:hyperlink>
            <w:r>
              <w:rPr>
                <w:rFonts w:ascii="arial" w:eastAsia="arial" w:hAnsi="arial" w:cs="arial"/>
                <w:color w:val="000000"/>
                <w:sz w:val="20"/>
                <w:lang w:val="en-US" w:eastAsia="en-US" w:bidi="ar-SA"/>
              </w:rPr>
              <w:t xml:space="preserve"> A defendant is deemed not criminally responsible if, at the time of the criminal conduct, because of a mental disorder or mental retardation, the defendant lacked the substantial capacity (1) to appreciate the criminality of his conduct, or (2) to conform that conduct to the requirements of law. CRIM. PROC. § 3-109. For the evolution of Maryland's defense of insanity, including rejection of the defense of diminished capacity, see </w:t>
            </w:r>
            <w:hyperlink r:id="rId131" w:history="1">
              <w:r>
                <w:rPr>
                  <w:rFonts w:ascii="arial" w:eastAsia="arial" w:hAnsi="arial" w:cs="arial"/>
                  <w:i/>
                  <w:color w:val="0077CC"/>
                  <w:sz w:val="20"/>
                  <w:u w:val="single"/>
                  <w:lang w:val="en-US" w:eastAsia="en-US" w:bidi="ar-SA"/>
                </w:rPr>
                <w:t>Johnson v. State, 292 Md. 405, 417-29, 439 A.2d 542, 549-56 (1982).</w:t>
              </w:r>
            </w:hyperlink>
            <w:r>
              <w:rPr>
                <w:rFonts w:ascii="arial" w:eastAsia="arial" w:hAnsi="arial" w:cs="arial"/>
                <w:color w:val="000000"/>
                <w:sz w:val="20"/>
                <w:lang w:val="en-US" w:eastAsia="en-US" w:bidi="ar-SA"/>
              </w:rPr>
              <w:t xml:space="preserve"> Evidence of mental impairment is admissible, however, if it tends to negate mens rea. </w:t>
            </w:r>
            <w:hyperlink r:id="rId132" w:history="1">
              <w:r>
                <w:rPr>
                  <w:rFonts w:ascii="arial" w:eastAsia="arial" w:hAnsi="arial" w:cs="arial"/>
                  <w:i/>
                  <w:color w:val="0077CC"/>
                  <w:sz w:val="20"/>
                  <w:u w:val="single"/>
                  <w:lang w:val="en-US" w:eastAsia="en-US" w:bidi="ar-SA"/>
                </w:rPr>
                <w:t>Bryant v. State, 393 Md. 196, 219, 900 A.2d 227, 240 (2006);</w:t>
              </w:r>
            </w:hyperlink>
            <w:r>
              <w:rPr>
                <w:rFonts w:ascii="arial" w:eastAsia="arial" w:hAnsi="arial" w:cs="arial"/>
                <w:color w:val="000000"/>
                <w:sz w:val="20"/>
                <w:lang w:val="en-US" w:eastAsia="en-US" w:bidi="ar-SA"/>
              </w:rPr>
              <w:t xml:space="preserve"> </w:t>
            </w:r>
            <w:hyperlink r:id="rId133" w:history="1">
              <w:r>
                <w:rPr>
                  <w:rFonts w:ascii="arial" w:eastAsia="arial" w:hAnsi="arial" w:cs="arial"/>
                  <w:i/>
                  <w:color w:val="0077CC"/>
                  <w:sz w:val="20"/>
                  <w:u w:val="single"/>
                  <w:lang w:val="en-US" w:eastAsia="en-US" w:bidi="ar-SA"/>
                </w:rPr>
                <w:t>Hoey v. State, 311 Md. 473, 495, 536 A.2d 622, 633 (1988)</w:t>
              </w:r>
            </w:hyperlink>
            <w:r>
              <w:rPr>
                <w:rFonts w:ascii="arial" w:eastAsia="arial" w:hAnsi="arial" w:cs="arial"/>
                <w:color w:val="000000"/>
                <w:sz w:val="20"/>
                <w:lang w:val="en-US" w:eastAsia="en-US" w:bidi="ar-SA"/>
              </w:rPr>
              <w:t xml:space="preserve"> (any evidence of a lack of mens rea is admissible, even if it results from a mental impairment); </w:t>
            </w:r>
            <w:r>
              <w:rPr>
                <w:rFonts w:ascii="arial" w:eastAsia="arial" w:hAnsi="arial" w:cs="arial"/>
                <w:i/>
                <w:color w:val="000000"/>
                <w:sz w:val="20"/>
                <w:lang w:val="en-US" w:eastAsia="en-US" w:bidi="ar-SA"/>
              </w:rPr>
              <w:t xml:space="preserve">see also </w:t>
            </w:r>
            <w:hyperlink r:id="rId134" w:history="1">
              <w:r>
                <w:rPr>
                  <w:rFonts w:ascii="arial" w:eastAsia="arial" w:hAnsi="arial" w:cs="arial"/>
                  <w:i/>
                  <w:color w:val="0077CC"/>
                  <w:sz w:val="20"/>
                  <w:u w:val="single"/>
                  <w:lang w:val="en-US" w:eastAsia="en-US" w:bidi="ar-SA"/>
                </w:rPr>
                <w:t>Anderson v. Dep't of Health &amp; Mental Hygiene, 310 Md. 217, 528 A.2d 904 (1987)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ex post facto</w:t>
            </w:r>
            <w:r>
              <w:rPr>
                <w:rFonts w:ascii="arial" w:eastAsia="arial" w:hAnsi="arial" w:cs="arial"/>
                <w:color w:val="000000"/>
                <w:sz w:val="20"/>
                <w:lang w:val="en-US" w:eastAsia="en-US" w:bidi="ar-SA"/>
              </w:rPr>
              <w:t xml:space="preserve"> violation to place the burden on the defendant to prove sanity in an administrative release hearing when institutionalized for conduct that occurred prior to the 1984 legislative shift of the burden to the defendant),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485 U.S. 913 (1988).</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There is a requirement of temporal unity between the insanity and the criminal act. In </w:t>
            </w:r>
            <w:hyperlink r:id="rId127" w:history="1">
              <w:r>
                <w:rPr>
                  <w:rFonts w:ascii="arial" w:eastAsia="arial" w:hAnsi="arial" w:cs="arial"/>
                  <w:i/>
                  <w:color w:val="0077CC"/>
                  <w:sz w:val="20"/>
                  <w:u w:val="single"/>
                  <w:lang w:val="en-US" w:eastAsia="en-US" w:bidi="ar-SA"/>
                </w:rPr>
                <w:t>Robey v. State, 54 Md. App. at 73-76, 456 A.2d at 960-61,</w:t>
              </w:r>
            </w:hyperlink>
            <w:r>
              <w:rPr>
                <w:rFonts w:ascii="arial" w:eastAsia="arial" w:hAnsi="arial" w:cs="arial"/>
                <w:color w:val="000000"/>
                <w:sz w:val="20"/>
                <w:lang w:val="en-US" w:eastAsia="en-US" w:bidi="ar-SA"/>
              </w:rPr>
              <w:t xml:space="preserve"> the Court of Special Appeals affirmed the trial court's refusal to allow an insanity defense in a case in which the defendant was charged with involuntary manslaughter and child abuse for failing to obtain medical treatment for a child she had beaten on several occasions. Although defendant was insane, brought on by the baby's crying, when she beat the child, she was not thereafter when the child's crying ceased. </w:t>
            </w:r>
            <w:r>
              <w:rPr>
                <w:rFonts w:ascii="arial" w:eastAsia="arial" w:hAnsi="arial" w:cs="arial"/>
                <w:i/>
                <w:color w:val="000000"/>
                <w:sz w:val="20"/>
                <w:lang w:val="en-US" w:eastAsia="en-US" w:bidi="ar-SA"/>
              </w:rPr>
              <w:t xml:space="preserve">Accord </w:t>
            </w:r>
            <w:hyperlink r:id="rId135" w:history="1">
              <w:r>
                <w:rPr>
                  <w:rFonts w:ascii="arial" w:eastAsia="arial" w:hAnsi="arial" w:cs="arial"/>
                  <w:i/>
                  <w:color w:val="0077CC"/>
                  <w:sz w:val="20"/>
                  <w:u w:val="single"/>
                  <w:lang w:val="en-US" w:eastAsia="en-US" w:bidi="ar-SA"/>
                </w:rPr>
                <w:t>Buck v. State, 181 Md. App. 585, 956 A.2d 884 (2008).</w:t>
              </w:r>
            </w:hyperlink>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Mental disorder is a behavioral or emotional illness that results from a psychiatric or neurological disorder. CRIM. PROC. § 3-101(g)(1). It includes a mental illness that so substantially impairs the mental or emotional functioning of an individual as to make care or treatment necessary or advisable for the welfare of the individual or for the safety of the person or property of another. CRIM. PROC. § 3-101(g)(2); </w:t>
            </w:r>
            <w:r>
              <w:rPr>
                <w:rFonts w:ascii="arial" w:eastAsia="arial" w:hAnsi="arial" w:cs="arial"/>
                <w:i/>
                <w:color w:val="000000"/>
                <w:sz w:val="20"/>
                <w:lang w:val="en-US" w:eastAsia="en-US" w:bidi="ar-SA"/>
              </w:rPr>
              <w:t xml:space="preserve">see </w:t>
            </w:r>
            <w:hyperlink r:id="rId136" w:history="1">
              <w:r>
                <w:rPr>
                  <w:rFonts w:ascii="arial" w:eastAsia="arial" w:hAnsi="arial" w:cs="arial"/>
                  <w:i/>
                  <w:color w:val="0077CC"/>
                  <w:sz w:val="20"/>
                  <w:u w:val="single"/>
                  <w:lang w:val="en-US" w:eastAsia="en-US" w:bidi="ar-SA"/>
                </w:rPr>
                <w:t>Evans v. State, 322 Md. 24, 585 A.2d 204 (1991)</w:t>
              </w:r>
            </w:hyperlink>
            <w:r>
              <w:rPr>
                <w:rFonts w:ascii="arial" w:eastAsia="arial" w:hAnsi="arial" w:cs="arial"/>
                <w:color w:val="000000"/>
                <w:sz w:val="20"/>
                <w:lang w:val="en-US" w:eastAsia="en-US" w:bidi="ar-SA"/>
              </w:rPr>
              <w:t xml:space="preserve"> (amnesia, automatism, and unconsciousness are not mental illnesses). Mental disorder does not include an abnormality that is manifested only by repeated criminal or otherwise antisocial conduct. CRIM. PROC. § 3-109(b); </w:t>
            </w:r>
            <w:r>
              <w:rPr>
                <w:rFonts w:ascii="arial" w:eastAsia="arial" w:hAnsi="arial" w:cs="arial"/>
                <w:i/>
                <w:color w:val="000000"/>
                <w:sz w:val="20"/>
                <w:lang w:val="en-US" w:eastAsia="en-US" w:bidi="ar-SA"/>
              </w:rPr>
              <w:t xml:space="preserve">see </w:t>
            </w:r>
            <w:hyperlink r:id="rId137" w:history="1">
              <w:r>
                <w:rPr>
                  <w:rFonts w:ascii="arial" w:eastAsia="arial" w:hAnsi="arial" w:cs="arial"/>
                  <w:i/>
                  <w:color w:val="0077CC"/>
                  <w:sz w:val="20"/>
                  <w:u w:val="single"/>
                  <w:lang w:val="en-US" w:eastAsia="en-US" w:bidi="ar-SA"/>
                </w:rPr>
                <w:t>Parker v. State, 7 Md. App. 167, 254 A.2d 381 (1969),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256 Md. 747 (1970),</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402 U.S. 984 (1971).</w:t>
            </w:r>
            <w:r>
              <w:rPr>
                <w:rFonts w:ascii="arial" w:eastAsia="arial" w:hAnsi="arial" w:cs="arial"/>
                <w:color w:val="000000"/>
                <w:sz w:val="20"/>
                <w:lang w:val="en-US" w:eastAsia="en-US" w:bidi="ar-SA"/>
              </w:rPr>
              <w:t xml:space="preserve"> Such conduct would not preclude the term "mental disorder," when applied to the actor's mental condition, if "the condition is manifested by indicia other than repeated anti-social behavior." MODEL PENAL CODE § 4.01, Explanatory Note at 164 (Official Draft and Revised Comments 1985).</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Intellectual disability, which was previously called mental retardation, "means a developmental disability that is evidenced by significantly subaverage intellectual functioning and impairment in the adaptive behavior of an individual." MD. CODE ANN., HEALTH-GENERAL I § 7-101(k) (2015 &amp; Supp. 2018) and Note on Effect of 2009 Amendment. For a history of Maryland's inclusion and exclusion of mental retardation as a basis for the insanity defense, see </w:t>
            </w:r>
            <w:hyperlink r:id="rId131" w:history="1">
              <w:r>
                <w:rPr>
                  <w:rFonts w:ascii="arial" w:eastAsia="arial" w:hAnsi="arial" w:cs="arial"/>
                  <w:i/>
                  <w:color w:val="0077CC"/>
                  <w:sz w:val="20"/>
                  <w:u w:val="single"/>
                  <w:lang w:val="en-US" w:eastAsia="en-US" w:bidi="ar-SA"/>
                </w:rPr>
                <w:t>Johnson, 292 Md. at 405, 439 A.2d at 542.</w:t>
              </w:r>
            </w:hyperlink>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The test for insanity "does not require a total lack of capacity, only that capacity be insubstantial." MODEL PENAL CODE § 4.01, Explanatory Note at 164. Substantial capacity is "a capacity of some appreciable magnitude when measured by the standard of humanity in general, as opposed to the reduction of capacity to the vagrant and trivial dimensions characteristic of the most severe afflictions of the mind." </w:t>
            </w:r>
            <w:r>
              <w:rPr>
                <w:rFonts w:ascii="arial" w:eastAsia="arial" w:hAnsi="arial" w:cs="arial"/>
                <w:i/>
                <w:color w:val="000000"/>
                <w:sz w:val="20"/>
                <w:lang w:val="en-US" w:eastAsia="en-US" w:bidi="ar-SA"/>
              </w:rPr>
              <w:t>Id.</w:t>
            </w:r>
            <w:r>
              <w:rPr>
                <w:rFonts w:ascii="arial" w:eastAsia="arial" w:hAnsi="arial" w:cs="arial"/>
                <w:color w:val="000000"/>
                <w:sz w:val="20"/>
                <w:lang w:val="en-US" w:eastAsia="en-US" w:bidi="ar-SA"/>
              </w:rPr>
              <w:t xml:space="preserve"> at 172.</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The defendant's failure to appreciate the criminality of her or his conduct "may consist in a lack of awareness of what he is doing or a misapprehension of material circumstances, or a failure to apprehend the significance of his actions in some deeper sense." </w:t>
            </w:r>
            <w:r>
              <w:rPr>
                <w:rFonts w:ascii="arial" w:eastAsia="arial" w:hAnsi="arial" w:cs="arial"/>
                <w:i/>
                <w:color w:val="000000"/>
                <w:sz w:val="20"/>
                <w:lang w:val="en-US" w:eastAsia="en-US" w:bidi="ar-SA"/>
              </w:rPr>
              <w:t>Id.</w:t>
            </w:r>
            <w:r>
              <w:rPr>
                <w:rFonts w:ascii="arial" w:eastAsia="arial" w:hAnsi="arial" w:cs="arial"/>
                <w:color w:val="000000"/>
                <w:sz w:val="20"/>
                <w:lang w:val="en-US" w:eastAsia="en-US" w:bidi="ar-SA"/>
              </w:rPr>
              <w:t xml:space="preserve"> at 164. To "appreciate" rather than to "know" indicates a broader sense of understanding than simply cognition. </w:t>
            </w:r>
            <w:r>
              <w:rPr>
                <w:rFonts w:ascii="arial" w:eastAsia="arial" w:hAnsi="arial" w:cs="arial"/>
                <w:i/>
                <w:color w:val="000000"/>
                <w:sz w:val="20"/>
                <w:lang w:val="en-US" w:eastAsia="en-US" w:bidi="ar-SA"/>
              </w:rPr>
              <w:t>Id.</w:t>
            </w:r>
            <w:r>
              <w:rPr>
                <w:rFonts w:ascii="arial" w:eastAsia="arial" w:hAnsi="arial" w:cs="arial"/>
                <w:color w:val="000000"/>
                <w:sz w:val="20"/>
                <w:lang w:val="en-US" w:eastAsia="en-US" w:bidi="ar-SA"/>
              </w:rPr>
              <w:t xml:space="preserve"> at 169.</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The determination of whether to enter a plea of not criminally responsible by reason of insanity belongs to the defendant, assuming the defendant is competent to make such a decision. </w:t>
            </w:r>
            <w:hyperlink r:id="rId138" w:history="1">
              <w:r>
                <w:rPr>
                  <w:rFonts w:ascii="arial" w:eastAsia="arial" w:hAnsi="arial" w:cs="arial"/>
                  <w:i/>
                  <w:color w:val="0077CC"/>
                  <w:sz w:val="20"/>
                  <w:u w:val="single"/>
                  <w:lang w:val="en-US" w:eastAsia="en-US" w:bidi="ar-SA"/>
                </w:rPr>
                <w:t>Treece v. State, 313 Md. 665, 667-83, 547 A.2d 1054, 1055-63 (1988).</w:t>
              </w:r>
            </w:hyperlink>
            <w:r>
              <w:rPr>
                <w:rFonts w:ascii="arial" w:eastAsia="arial" w:hAnsi="arial" w:cs="arial"/>
                <w:color w:val="000000"/>
                <w:sz w:val="20"/>
                <w:lang w:val="en-US" w:eastAsia="en-US" w:bidi="ar-SA"/>
              </w:rPr>
              <w:t xml:space="preserve"> This determination belongs to the defendant because even a successful plea will result in the stigma of both a criminal conviction and being declared insane, plus the defendant will be institutionalized for treatment and will not be set free. </w:t>
            </w:r>
            <w:r>
              <w:rPr>
                <w:rFonts w:ascii="arial" w:eastAsia="arial" w:hAnsi="arial" w:cs="arial"/>
                <w:i/>
                <w:color w:val="000000"/>
                <w:sz w:val="20"/>
                <w:lang w:val="en-US" w:eastAsia="en-US" w:bidi="ar-SA"/>
              </w:rPr>
              <w:t>Id.</w:t>
            </w:r>
            <w:r>
              <w:rPr>
                <w:rFonts w:ascii="arial" w:eastAsia="arial" w:hAnsi="arial" w:cs="arial"/>
                <w:color w:val="000000"/>
                <w:sz w:val="20"/>
                <w:lang w:val="en-US" w:eastAsia="en-US" w:bidi="ar-SA"/>
              </w:rPr>
              <w:t xml:space="preserve"> However, the court is only required to make an on-the-record inquiry of whether the defendant voluntarily and intelligently abandoned the insanity issue if the court learns of a conflict between the defendant and the defense attorney about an insanity plea. </w:t>
            </w:r>
            <w:hyperlink r:id="rId139" w:history="1">
              <w:r>
                <w:rPr>
                  <w:rFonts w:ascii="arial" w:eastAsia="arial" w:hAnsi="arial" w:cs="arial"/>
                  <w:i/>
                  <w:color w:val="0077CC"/>
                  <w:sz w:val="20"/>
                  <w:u w:val="single"/>
                  <w:lang w:val="en-US" w:eastAsia="en-US" w:bidi="ar-SA"/>
                </w:rPr>
                <w:t>Gilliam v. State, 320 Md. 637, 664, 579 A.2d 744, 757 (1990)</w:t>
              </w:r>
            </w:hyperlink>
            <w:r>
              <w:rPr>
                <w:rFonts w:ascii="arial" w:eastAsia="arial" w:hAnsi="arial" w:cs="arial"/>
                <w:color w:val="000000"/>
                <w:sz w:val="20"/>
                <w:lang w:val="en-US" w:eastAsia="en-US" w:bidi="ar-SA"/>
              </w:rPr>
              <w:t xml:space="preserve"> (citing </w:t>
            </w:r>
            <w:hyperlink r:id="rId138" w:history="1">
              <w:r>
                <w:rPr>
                  <w:rFonts w:ascii="arial" w:eastAsia="arial" w:hAnsi="arial" w:cs="arial"/>
                  <w:i/>
                  <w:color w:val="0077CC"/>
                  <w:sz w:val="20"/>
                  <w:u w:val="single"/>
                  <w:lang w:val="en-US" w:eastAsia="en-US" w:bidi="ar-SA"/>
                </w:rPr>
                <w:t>Treece, 313 Md. at 683, 547 A.2d at 1063),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498 U.S. 1110 (1991).</w:t>
            </w:r>
            <w:r>
              <w:rPr>
                <w:rFonts w:ascii="arial" w:eastAsia="arial" w:hAnsi="arial" w:cs="arial"/>
                <w:color w:val="000000"/>
                <w:sz w:val="20"/>
                <w:lang w:val="en-US" w:eastAsia="en-US" w:bidi="ar-SA"/>
              </w:rPr>
              <w:t xml:space="preserve"> Furthermore, a trial court may accept the waiver of jury trial in a not criminally responsible case without giving any advice to the defendant relating specifically to that defense. </w:t>
            </w:r>
            <w:hyperlink r:id="rId140" w:history="1">
              <w:r>
                <w:rPr>
                  <w:rFonts w:ascii="arial" w:eastAsia="arial" w:hAnsi="arial" w:cs="arial"/>
                  <w:i/>
                  <w:color w:val="0077CC"/>
                  <w:sz w:val="20"/>
                  <w:u w:val="single"/>
                  <w:lang w:val="en-US" w:eastAsia="en-US" w:bidi="ar-SA"/>
                </w:rPr>
                <w:t>State v. Marsh, 337 Md. 528, 533, 654 A.2d 1318, 1320 (1995).</w:t>
              </w:r>
            </w:hyperlink>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For the defendant who elects to pursue the "criminal responsibility issue, the burdens of pleading, producing evidence, and persuading the fact-finder that criminal punishment should not be imposed are all borne by the defendant." </w:t>
            </w:r>
            <w:hyperlink r:id="rId138" w:history="1">
              <w:r>
                <w:rPr>
                  <w:rFonts w:ascii="arial" w:eastAsia="arial" w:hAnsi="arial" w:cs="arial"/>
                  <w:i/>
                  <w:color w:val="0077CC"/>
                  <w:sz w:val="20"/>
                  <w:u w:val="single"/>
                  <w:lang w:val="en-US" w:eastAsia="en-US" w:bidi="ar-SA"/>
                </w:rPr>
                <w:t>Treece, 313 Md. at 684-85, 547 A.2d at 1064</w:t>
              </w:r>
            </w:hyperlink>
            <w:r>
              <w:rPr>
                <w:rFonts w:ascii="arial" w:eastAsia="arial" w:hAnsi="arial" w:cs="arial"/>
                <w:color w:val="000000"/>
                <w:sz w:val="20"/>
                <w:lang w:val="en-US" w:eastAsia="en-US" w:bidi="ar-SA"/>
              </w:rPr>
              <w:t xml:space="preserve"> (citing LYNN MCLAIN, MARYLAND EVIDENCE § 300.1, at 132 (1987)). "A written plea of not criminally responsible by reason of insanity shall be filed at the time provided for initial pleading, unless, for good cause shown, the court allows the plea to be filed later." CRIM. PROC. § 3-110(a)(2); </w:t>
            </w:r>
            <w:r>
              <w:rPr>
                <w:rFonts w:ascii="arial" w:eastAsia="arial" w:hAnsi="arial" w:cs="arial"/>
                <w:i/>
                <w:color w:val="000000"/>
                <w:sz w:val="20"/>
                <w:lang w:val="en-US" w:eastAsia="en-US" w:bidi="ar-SA"/>
              </w:rPr>
              <w:t>see also</w:t>
            </w:r>
            <w:r>
              <w:rPr>
                <w:rFonts w:ascii="arial" w:eastAsia="arial" w:hAnsi="arial" w:cs="arial"/>
                <w:color w:val="000000"/>
                <w:sz w:val="20"/>
                <w:lang w:val="en-US" w:eastAsia="en-US" w:bidi="ar-SA"/>
              </w:rPr>
              <w:t xml:space="preserve"> MD. RULE 4-242(b); </w:t>
            </w:r>
            <w:hyperlink r:id="rId141" w:history="1">
              <w:r>
                <w:rPr>
                  <w:rFonts w:ascii="arial" w:eastAsia="arial" w:hAnsi="arial" w:cs="arial"/>
                  <w:i/>
                  <w:color w:val="0077CC"/>
                  <w:sz w:val="20"/>
                  <w:u w:val="single"/>
                  <w:lang w:val="en-US" w:eastAsia="en-US" w:bidi="ar-SA"/>
                </w:rPr>
                <w:t>Argabright v. State, 75 Md. App. 442, 461, 541 A.2d 1017, 1026 (1988)</w:t>
              </w:r>
            </w:hyperlink>
            <w:r>
              <w:rPr>
                <w:rFonts w:ascii="arial" w:eastAsia="arial" w:hAnsi="arial" w:cs="arial"/>
                <w:color w:val="000000"/>
                <w:sz w:val="20"/>
                <w:lang w:val="en-US" w:eastAsia="en-US" w:bidi="ar-SA"/>
              </w:rPr>
              <w:t xml:space="preserve"> (evidence relating to criminal responsibility was inadmissible because defendant did not plead not criminally responsible).</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The burden of production for the defense of insanity is on the defendant. </w:t>
            </w:r>
            <w:r>
              <w:rPr>
                <w:rFonts w:ascii="arial" w:eastAsia="arial" w:hAnsi="arial" w:cs="arial"/>
                <w:i/>
                <w:color w:val="000000"/>
                <w:sz w:val="20"/>
                <w:lang w:val="en-US" w:eastAsia="en-US" w:bidi="ar-SA"/>
              </w:rPr>
              <w:t xml:space="preserve">See </w:t>
            </w:r>
            <w:hyperlink r:id="rId142" w:history="1">
              <w:r>
                <w:rPr>
                  <w:rFonts w:ascii="arial" w:eastAsia="arial" w:hAnsi="arial" w:cs="arial"/>
                  <w:i/>
                  <w:color w:val="0077CC"/>
                  <w:sz w:val="20"/>
                  <w:u w:val="single"/>
                  <w:lang w:val="en-US" w:eastAsia="en-US" w:bidi="ar-SA"/>
                </w:rPr>
                <w:t>Van Meter v. State, 30 Md. App. 406, 412, 352 A.2d 850, 854 (1976);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see also </w:t>
            </w:r>
            <w:hyperlink r:id="rId143" w:history="1">
              <w:r>
                <w:rPr>
                  <w:rFonts w:ascii="arial" w:eastAsia="arial" w:hAnsi="arial" w:cs="arial"/>
                  <w:i/>
                  <w:color w:val="0077CC"/>
                  <w:sz w:val="20"/>
                  <w:u w:val="single"/>
                  <w:lang w:val="en-US" w:eastAsia="en-US" w:bidi="ar-SA"/>
                </w:rPr>
                <w:t>Porreca v. State, 49 Md. App. 522, 433 A.2d 1204 (1981)</w:t>
              </w:r>
            </w:hyperlink>
            <w:r>
              <w:rPr>
                <w:rFonts w:ascii="arial" w:eastAsia="arial" w:hAnsi="arial" w:cs="arial"/>
                <w:color w:val="000000"/>
                <w:sz w:val="20"/>
                <w:lang w:val="en-US" w:eastAsia="en-US" w:bidi="ar-SA"/>
              </w:rPr>
              <w:t xml:space="preserve"> (psychiatrist's testimony held sufficient to meet burden); </w:t>
            </w:r>
            <w:hyperlink r:id="rId144" w:history="1">
              <w:r>
                <w:rPr>
                  <w:rFonts w:ascii="arial" w:eastAsia="arial" w:hAnsi="arial" w:cs="arial"/>
                  <w:i/>
                  <w:color w:val="0077CC"/>
                  <w:sz w:val="20"/>
                  <w:u w:val="single"/>
                  <w:lang w:val="en-US" w:eastAsia="en-US" w:bidi="ar-SA"/>
                </w:rPr>
                <w:t>Millard v. State, 8 Md. App. 419, 261 A.2d 227 (1970)</w:t>
              </w:r>
            </w:hyperlink>
            <w:r>
              <w:rPr>
                <w:rFonts w:ascii="arial" w:eastAsia="arial" w:hAnsi="arial" w:cs="arial"/>
                <w:color w:val="000000"/>
                <w:sz w:val="20"/>
                <w:lang w:val="en-US" w:eastAsia="en-US" w:bidi="ar-SA"/>
              </w:rPr>
              <w:t xml:space="preserve"> (evidence of genetic defect held insufficient to meet burden). The burden of persuasion is on the defendant to establish, by a preponderance of the evidence, that he or she is not criminally responsible. CRIM. PROC. § 3-110(b); </w:t>
            </w:r>
            <w:r>
              <w:rPr>
                <w:rFonts w:ascii="arial" w:eastAsia="arial" w:hAnsi="arial" w:cs="arial"/>
                <w:i/>
                <w:color w:val="000000"/>
                <w:sz w:val="20"/>
                <w:lang w:val="en-US" w:eastAsia="en-US" w:bidi="ar-SA"/>
              </w:rPr>
              <w:t>see</w:t>
            </w:r>
            <w:r>
              <w:rPr>
                <w:rFonts w:ascii="arial" w:eastAsia="arial" w:hAnsi="arial" w:cs="arial"/>
                <w:color w:val="000000"/>
                <w:sz w:val="20"/>
                <w:lang w:val="en-US" w:eastAsia="en-US" w:bidi="ar-SA"/>
              </w:rPr>
              <w:t xml:space="preserve"> 67 Op. Md. Att'y Gen. 74 (1982) (placing the burden of persuasion on the defendant is constitutional). In </w:t>
            </w:r>
            <w:hyperlink r:id="rId133" w:history="1">
              <w:r>
                <w:rPr>
                  <w:rFonts w:ascii="arial" w:eastAsia="arial" w:hAnsi="arial" w:cs="arial"/>
                  <w:i/>
                  <w:color w:val="0077CC"/>
                  <w:sz w:val="20"/>
                  <w:u w:val="single"/>
                  <w:lang w:val="en-US" w:eastAsia="en-US" w:bidi="ar-SA"/>
                </w:rPr>
                <w:t>Hoey, 311 Md. at 490-95, 536 A.2d at 630-33,</w:t>
              </w:r>
            </w:hyperlink>
            <w:r>
              <w:rPr>
                <w:rFonts w:ascii="arial" w:eastAsia="arial" w:hAnsi="arial" w:cs="arial"/>
                <w:color w:val="000000"/>
                <w:sz w:val="20"/>
                <w:lang w:val="en-US" w:eastAsia="en-US" w:bidi="ar-SA"/>
              </w:rPr>
              <w:t xml:space="preserve"> the Court of Appeals upheld the constitutionality of placing the burden of persuasion on the defendant. The Court held that because the mens rea requirement is different from the requirement for a lack of criminal responsibility, it is not an element and the due process clause is not offended by placing the burden of persuasion on the defendant. </w:t>
            </w:r>
            <w:hyperlink r:id="rId133" w:history="1">
              <w:r>
                <w:rPr>
                  <w:rFonts w:ascii="arial" w:eastAsia="arial" w:hAnsi="arial" w:cs="arial"/>
                  <w:i/>
                  <w:color w:val="0077CC"/>
                  <w:sz w:val="20"/>
                  <w:u w:val="single"/>
                  <w:lang w:val="en-US" w:eastAsia="en-US" w:bidi="ar-SA"/>
                </w:rPr>
                <w:t>Id. at 492-94, 536 A.2d at 631-32</w:t>
              </w:r>
            </w:hyperlink>
            <w:r>
              <w:rPr>
                <w:rFonts w:ascii="arial" w:eastAsia="arial" w:hAnsi="arial" w:cs="arial"/>
                <w:color w:val="000000"/>
                <w:sz w:val="20"/>
                <w:lang w:val="en-US" w:eastAsia="en-US" w:bidi="ar-SA"/>
              </w:rPr>
              <w:t xml:space="preserve"> (mens rea goes to culpability and lack of criminal responsibility goes to punishment).</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If the trial is not bifurcated, the order of closing argument is as follows: (1) the State may argue both issues, (2) the defendant may argue both issues, (3) the State may rebut the defendant's argument, and (4) the defendant may surrebut, limited to criminal responsibility. MD. RULE 4-314(c). </w:t>
            </w:r>
            <w:r>
              <w:rPr>
                <w:rFonts w:ascii="arial" w:eastAsia="arial" w:hAnsi="arial" w:cs="arial"/>
                <w:i/>
                <w:color w:val="000000"/>
                <w:sz w:val="20"/>
                <w:lang w:val="en-US" w:eastAsia="en-US" w:bidi="ar-SA"/>
              </w:rPr>
              <w:t>See generally</w:t>
            </w:r>
            <w:r>
              <w:rPr>
                <w:rFonts w:ascii="arial" w:eastAsia="arial" w:hAnsi="arial" w:cs="arial"/>
                <w:color w:val="000000"/>
                <w:sz w:val="20"/>
                <w:lang w:val="en-US" w:eastAsia="en-US" w:bidi="ar-SA"/>
              </w:rPr>
              <w:t xml:space="preserve"> Kathryn S. Berthot, Comment, </w:t>
            </w:r>
            <w:r>
              <w:rPr>
                <w:rFonts w:ascii="arial" w:eastAsia="arial" w:hAnsi="arial" w:cs="arial"/>
                <w:i/>
                <w:color w:val="000000"/>
                <w:sz w:val="20"/>
                <w:lang w:val="en-US" w:eastAsia="en-US" w:bidi="ar-SA"/>
              </w:rPr>
              <w:t>Bifurcation in Insanity Trials: A Change in Maryland's Criminal Procedure</w:t>
            </w:r>
            <w:r>
              <w:rPr>
                <w:rFonts w:ascii="arial" w:eastAsia="arial" w:hAnsi="arial" w:cs="arial"/>
                <w:color w:val="000000"/>
                <w:sz w:val="20"/>
                <w:lang w:val="en-US" w:eastAsia="en-US" w:bidi="ar-SA"/>
              </w:rPr>
              <w:t xml:space="preserve">, </w:t>
            </w:r>
            <w:hyperlink r:id="rId145" w:history="1">
              <w:r>
                <w:rPr>
                  <w:rFonts w:ascii="arial" w:eastAsia="arial" w:hAnsi="arial" w:cs="arial"/>
                  <w:i/>
                  <w:color w:val="0077CC"/>
                  <w:sz w:val="20"/>
                  <w:u w:val="single"/>
                  <w:lang w:val="en-US" w:eastAsia="en-US" w:bidi="ar-SA"/>
                </w:rPr>
                <w:t>48 MD. L. REV. 1045 (1989);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cf. </w:t>
            </w:r>
            <w:hyperlink r:id="rId146" w:history="1">
              <w:r>
                <w:rPr>
                  <w:rFonts w:ascii="arial" w:eastAsia="arial" w:hAnsi="arial" w:cs="arial"/>
                  <w:i/>
                  <w:color w:val="0077CC"/>
                  <w:sz w:val="20"/>
                  <w:u w:val="single"/>
                  <w:lang w:val="en-US" w:eastAsia="en-US" w:bidi="ar-SA"/>
                </w:rPr>
                <w:t>McCloud v. State, 317 Md. 360, 365-68, 564 A.2d 72, 74-76 (1989)</w:t>
              </w:r>
            </w:hyperlink>
            <w:r>
              <w:rPr>
                <w:rFonts w:ascii="arial" w:eastAsia="arial" w:hAnsi="arial" w:cs="arial"/>
                <w:color w:val="000000"/>
                <w:sz w:val="20"/>
                <w:lang w:val="en-US" w:eastAsia="en-US" w:bidi="ar-SA"/>
              </w:rPr>
              <w:t xml:space="preserve"> (when criminal responsibility was the only contested issue, it was an abuse of discretion to deny the defendant the opportunity to address the jury last in a case that predated the rule).</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In </w:t>
            </w:r>
            <w:hyperlink r:id="rId147" w:history="1">
              <w:r>
                <w:rPr>
                  <w:rFonts w:ascii="arial" w:eastAsia="arial" w:hAnsi="arial" w:cs="arial"/>
                  <w:i/>
                  <w:color w:val="0077CC"/>
                  <w:sz w:val="20"/>
                  <w:u w:val="single"/>
                  <w:lang w:val="en-US" w:eastAsia="en-US" w:bidi="ar-SA"/>
                </w:rPr>
                <w:t>Erdman v. State, 315 Md. 46, 51-59, 553 A.2d 244, 246-50 (1989),</w:t>
              </w:r>
            </w:hyperlink>
            <w:r>
              <w:rPr>
                <w:rFonts w:ascii="arial" w:eastAsia="arial" w:hAnsi="arial" w:cs="arial"/>
                <w:color w:val="000000"/>
                <w:sz w:val="20"/>
                <w:lang w:val="en-US" w:eastAsia="en-US" w:bidi="ar-SA"/>
              </w:rPr>
              <w:t xml:space="preserve"> the Court of Appeals held that the defendant was entitled to an instruction as to the dispositional consequences of a jury verdict of not criminally responsible by reason of insanity. The Court adopted the position taken by the clear majority of those states that have, as Maryland does, a mandated commitment following a finding of not criminally responsible by reason of insanity. </w:t>
            </w:r>
            <w:hyperlink r:id="rId147" w:history="1">
              <w:r>
                <w:rPr>
                  <w:rFonts w:ascii="arial" w:eastAsia="arial" w:hAnsi="arial" w:cs="arial"/>
                  <w:i/>
                  <w:color w:val="0077CC"/>
                  <w:sz w:val="20"/>
                  <w:u w:val="single"/>
                  <w:lang w:val="en-US" w:eastAsia="en-US" w:bidi="ar-SA"/>
                </w:rPr>
                <w:t>Id. at 53-54, 553 A.2d at 247-48.</w:t>
              </w:r>
            </w:hyperlink>
            <w:r>
              <w:rPr>
                <w:rFonts w:ascii="arial" w:eastAsia="arial" w:hAnsi="arial" w:cs="arial"/>
                <w:color w:val="000000"/>
                <w:sz w:val="20"/>
                <w:lang w:val="en-US" w:eastAsia="en-US" w:bidi="ar-SA"/>
              </w:rPr>
              <w:t xml:space="preserve"> The Court agreed with an ABA opinion that jurors may convict persons who are not criminally responsible in order to protect society, believing that otherwise such persons will walk away unpunished and free of any restraint. </w:t>
            </w:r>
            <w:hyperlink r:id="rId147" w:history="1">
              <w:r>
                <w:rPr>
                  <w:rFonts w:ascii="arial" w:eastAsia="arial" w:hAnsi="arial" w:cs="arial"/>
                  <w:i/>
                  <w:color w:val="0077CC"/>
                  <w:sz w:val="20"/>
                  <w:u w:val="single"/>
                  <w:lang w:val="en-US" w:eastAsia="en-US" w:bidi="ar-SA"/>
                </w:rPr>
                <w:t>Id. at 57-58, 553 A.2d at 249-50.</w:t>
              </w:r>
            </w:hyperlink>
            <w:r>
              <w:rPr>
                <w:rFonts w:ascii="arial" w:eastAsia="arial" w:hAnsi="arial" w:cs="arial"/>
                <w:color w:val="000000"/>
                <w:sz w:val="20"/>
                <w:lang w:val="en-US" w:eastAsia="en-US" w:bidi="ar-SA"/>
              </w:rPr>
              <w:t xml:space="preserve"> Accordingly, "the interests of justice, fundamental fairness, common sense, and the weight of authority in those jurisdictions which mandate commitment, support that a dispositional instruction be permitted [but] be given only when duly requested by the defendant." </w:t>
            </w:r>
            <w:hyperlink r:id="rId147" w:history="1">
              <w:r>
                <w:rPr>
                  <w:rFonts w:ascii="arial" w:eastAsia="arial" w:hAnsi="arial" w:cs="arial"/>
                  <w:i/>
                  <w:color w:val="0077CC"/>
                  <w:sz w:val="20"/>
                  <w:u w:val="single"/>
                  <w:lang w:val="en-US" w:eastAsia="en-US" w:bidi="ar-SA"/>
                </w:rPr>
                <w:t>Id. at 58, 553 A.2d at 250.</w:t>
              </w:r>
            </w:hyperlink>
            <w:r>
              <w:rPr>
                <w:rFonts w:ascii="arial" w:eastAsia="arial" w:hAnsi="arial" w:cs="arial"/>
                <w:color w:val="000000"/>
                <w:sz w:val="20"/>
                <w:lang w:val="en-US" w:eastAsia="en-US" w:bidi="ar-SA"/>
              </w:rPr>
              <w:t xml:space="preserve"> However, the Court noted that reading the entire statutory provision could confuse the jury. </w:t>
            </w:r>
            <w:hyperlink r:id="rId147" w:history="1">
              <w:r>
                <w:rPr>
                  <w:rFonts w:ascii="arial" w:eastAsia="arial" w:hAnsi="arial" w:cs="arial"/>
                  <w:i/>
                  <w:color w:val="0077CC"/>
                  <w:sz w:val="20"/>
                  <w:u w:val="single"/>
                  <w:lang w:val="en-US" w:eastAsia="en-US" w:bidi="ar-SA"/>
                </w:rPr>
                <w:t>Id. at 59, 553 A.2d at 250</w:t>
              </w:r>
            </w:hyperlink>
            <w:r>
              <w:rPr>
                <w:rFonts w:ascii="arial" w:eastAsia="arial" w:hAnsi="arial" w:cs="arial"/>
                <w:color w:val="000000"/>
                <w:sz w:val="20"/>
                <w:lang w:val="en-US" w:eastAsia="en-US" w:bidi="ar-SA"/>
              </w:rPr>
              <w:t xml:space="preserve"> (quoting </w:t>
            </w:r>
            <w:hyperlink r:id="rId148" w:history="1">
              <w:r>
                <w:rPr>
                  <w:rFonts w:ascii="arial" w:eastAsia="arial" w:hAnsi="arial" w:cs="arial"/>
                  <w:i/>
                  <w:color w:val="0077CC"/>
                  <w:sz w:val="20"/>
                  <w:u w:val="single"/>
                  <w:lang w:val="en-US" w:eastAsia="en-US" w:bidi="ar-SA"/>
                </w:rPr>
                <w:t>Lyles v. United States, 254 F.2d 725, 728 (D.C. Cir. 1957),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356 U.S. 961 (1958)).</w:t>
            </w:r>
            <w:r>
              <w:rPr>
                <w:rFonts w:ascii="arial" w:eastAsia="arial" w:hAnsi="arial" w:cs="arial"/>
                <w:color w:val="000000"/>
                <w:sz w:val="20"/>
                <w:lang w:val="en-US" w:eastAsia="en-US" w:bidi="ar-SA"/>
              </w:rPr>
              <w:t xml:space="preserve"> In </w:t>
            </w:r>
            <w:hyperlink r:id="rId149" w:history="1">
              <w:r>
                <w:rPr>
                  <w:rFonts w:ascii="arial" w:eastAsia="arial" w:hAnsi="arial" w:cs="arial"/>
                  <w:i/>
                  <w:color w:val="0077CC"/>
                  <w:sz w:val="20"/>
                  <w:u w:val="single"/>
                  <w:lang w:val="en-US" w:eastAsia="en-US" w:bidi="ar-SA"/>
                </w:rPr>
                <w:t>Clark v. State, 80 Md. App. 405, 564 A.2d 90 (1989),</w:t>
              </w:r>
            </w:hyperlink>
            <w:r>
              <w:rPr>
                <w:rFonts w:ascii="arial" w:eastAsia="arial" w:hAnsi="arial" w:cs="arial"/>
                <w:color w:val="000000"/>
                <w:sz w:val="20"/>
                <w:lang w:val="en-US" w:eastAsia="en-US" w:bidi="ar-SA"/>
              </w:rPr>
              <w:t xml:space="preserve"> the Court held that "the court must instruct the jury on a matter which is a proper subject for instructions where a timely request has been made even though that request </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may contain some erroneous material." </w:t>
            </w:r>
            <w:hyperlink r:id="rId149" w:history="1">
              <w:r>
                <w:rPr>
                  <w:rFonts w:ascii="arial" w:eastAsia="arial" w:hAnsi="arial" w:cs="arial"/>
                  <w:i/>
                  <w:color w:val="0077CC"/>
                  <w:sz w:val="20"/>
                  <w:u w:val="single"/>
                  <w:lang w:val="en-US" w:eastAsia="en-US" w:bidi="ar-SA"/>
                </w:rPr>
                <w:t>Id. at 412, 415 n.6, 564 A.2d at 94, 95 n.6</w:t>
              </w:r>
            </w:hyperlink>
            <w:r>
              <w:rPr>
                <w:rFonts w:ascii="arial" w:eastAsia="arial" w:hAnsi="arial" w:cs="arial"/>
                <w:color w:val="000000"/>
                <w:sz w:val="20"/>
                <w:lang w:val="en-US" w:eastAsia="en-US" w:bidi="ar-SA"/>
              </w:rPr>
              <w:t xml:space="preserve"> (noting that because, unlike in </w:t>
            </w:r>
            <w:r>
              <w:rPr>
                <w:rFonts w:ascii="arial" w:eastAsia="arial" w:hAnsi="arial" w:cs="arial"/>
                <w:i/>
                <w:color w:val="000000"/>
                <w:sz w:val="20"/>
                <w:lang w:val="en-US" w:eastAsia="en-US" w:bidi="ar-SA"/>
              </w:rPr>
              <w:t>McCloud</w:t>
            </w:r>
            <w:r>
              <w:rPr>
                <w:rFonts w:ascii="arial" w:eastAsia="arial" w:hAnsi="arial" w:cs="arial"/>
                <w:color w:val="000000"/>
                <w:sz w:val="20"/>
                <w:lang w:val="en-US" w:eastAsia="en-US" w:bidi="ar-SA"/>
              </w:rPr>
              <w:t>, when both guilt and criminal responsibility were at issue, the defendant was entitled to a new trial as to both phases).</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The defense of not criminally responsible is established by medical experts who provide testimony as to mental illness and expert medical opinion as to the relationship between the disease and the criminal conduct. </w:t>
            </w:r>
            <w:hyperlink r:id="rId130" w:history="1">
              <w:r>
                <w:rPr>
                  <w:rFonts w:ascii="arial" w:eastAsia="arial" w:hAnsi="arial" w:cs="arial"/>
                  <w:i/>
                  <w:color w:val="0077CC"/>
                  <w:sz w:val="20"/>
                  <w:u w:val="single"/>
                  <w:lang w:val="en-US" w:eastAsia="en-US" w:bidi="ar-SA"/>
                </w:rPr>
                <w:t>Conn, 286 Md. at 421, 408 A.2d at 707.</w:t>
              </w:r>
            </w:hyperlink>
            <w:r>
              <w:rPr>
                <w:rFonts w:ascii="arial" w:eastAsia="arial" w:hAnsi="arial" w:cs="arial"/>
                <w:color w:val="000000"/>
                <w:sz w:val="20"/>
                <w:lang w:val="en-US" w:eastAsia="en-US" w:bidi="ar-SA"/>
              </w:rPr>
              <w:t xml:space="preserve"> A lay witness, based upon personal observation, may express a conclusion or impression that an individual seemed mentally normal or abnormal; but, a lay witness is not qualified to give an opinion as to whether the defendant is responsible for the criminal conduct. </w:t>
            </w:r>
            <w:hyperlink r:id="rId130" w:history="1">
              <w:r>
                <w:rPr>
                  <w:rFonts w:ascii="arial" w:eastAsia="arial" w:hAnsi="arial" w:cs="arial"/>
                  <w:i/>
                  <w:color w:val="0077CC"/>
                  <w:sz w:val="20"/>
                  <w:u w:val="single"/>
                  <w:lang w:val="en-US" w:eastAsia="en-US" w:bidi="ar-SA"/>
                </w:rPr>
                <w:t>Id. at 428, 408 A.2d at 710-11.</w:t>
              </w:r>
            </w:hyperlink>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Voluntary intoxication, which is usually only a defense to specific intent crimes, can produce insanity if long-term use of alcohol or drugs has produced a fixed or settled condition that satisfies the test for insanity. </w:t>
            </w:r>
            <w:hyperlink r:id="rId137" w:history="1">
              <w:r>
                <w:rPr>
                  <w:rFonts w:ascii="arial" w:eastAsia="arial" w:hAnsi="arial" w:cs="arial"/>
                  <w:i/>
                  <w:color w:val="0077CC"/>
                  <w:sz w:val="20"/>
                  <w:u w:val="single"/>
                  <w:lang w:val="en-US" w:eastAsia="en-US" w:bidi="ar-SA"/>
                </w:rPr>
                <w:t>Parker v. State, 7 Md. App. 167, 171-84, 254 A.2d 381, 384-91 (1969),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256 Md. 747 (1970),</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402 U.S. 984 (1971).</w:t>
            </w:r>
          </w:p>
          <w:p>
            <w:pPr>
              <w:spacing w:before="60" w:line="260" w:lineRule="atLeast"/>
              <w:ind w:left="460" w:right="360"/>
              <w:jc w:val="both"/>
              <w:rPr>
                <w:lang w:val="en-US" w:eastAsia="en-US" w:bidi="ar-SA"/>
              </w:rPr>
            </w:pPr>
            <w:r>
              <w:rPr>
                <w:rFonts w:ascii="arial" w:eastAsia="arial" w:hAnsi="arial" w:cs="arial"/>
                <w:color w:val="000000"/>
                <w:sz w:val="20"/>
                <w:lang w:val="en-US" w:eastAsia="en-US" w:bidi="ar-SA"/>
              </w:rPr>
              <w:t>[T]he majority distinguish between (1) the mental effect of voluntary intoxication which is the immediate result of a particular alcoholic bout; and (2) an alcoholic psychosis resulting from long continued habits of excessive drinking. The first does not excuse responsibility for a criminal act; the second may. In other words, if a person drinks intoxicating liquor and is sane both prior to drinking and after the influences of the intoxicant has worn off, but is insane by the applicable test while under the influence of the intoxicant, he comes under the first category. If he is insane whether or not he is directly under the influence of an intoxicant, even though that insanity was caused by voluntary drinking, he comes under the second category … . It would seem that the distinction, notwithstanding the language of the cases, is not so much between temporary and permanent insanity as it is one between the direct results of drinking, which are voluntarily sought after, and its remote and undesired consequences.</w:t>
            </w:r>
          </w:p>
          <w:p>
            <w:pPr>
              <w:spacing w:before="240" w:line="260" w:lineRule="atLeast"/>
              <w:ind w:left="60" w:right="360"/>
              <w:jc w:val="both"/>
              <w:rPr>
                <w:lang w:val="en-US" w:eastAsia="en-US" w:bidi="ar-SA"/>
              </w:rPr>
            </w:pPr>
            <w:hyperlink r:id="rId137" w:history="1">
              <w:r>
                <w:rPr>
                  <w:rFonts w:ascii="arial" w:eastAsia="arial" w:hAnsi="arial" w:cs="arial"/>
                  <w:i/>
                  <w:color w:val="0077CC"/>
                  <w:sz w:val="20"/>
                  <w:u w:val="single"/>
                  <w:lang w:val="en-US" w:eastAsia="en-US" w:bidi="ar-SA"/>
                </w:rPr>
                <w:t>Id. at 178-79, 254 A.2d at 388.</w:t>
              </w:r>
            </w:hyperlink>
            <w:r>
              <w:rPr>
                <w:rFonts w:ascii="arial" w:eastAsia="arial" w:hAnsi="arial" w:cs="arial"/>
                <w:color w:val="000000"/>
                <w:sz w:val="20"/>
                <w:lang w:val="en-US" w:eastAsia="en-US" w:bidi="ar-SA"/>
              </w:rPr>
              <w:t xml:space="preserve"> The fixed or settled condition need not be permanent. </w:t>
            </w:r>
            <w:hyperlink r:id="rId143" w:history="1">
              <w:r>
                <w:rPr>
                  <w:rFonts w:ascii="arial" w:eastAsia="arial" w:hAnsi="arial" w:cs="arial"/>
                  <w:i/>
                  <w:color w:val="0077CC"/>
                  <w:sz w:val="20"/>
                  <w:u w:val="single"/>
                  <w:lang w:val="en-US" w:eastAsia="en-US" w:bidi="ar-SA"/>
                </w:rPr>
                <w:t>Porreca, 49 Md. App. at 522, 433 A.2d at 1204</w:t>
              </w:r>
            </w:hyperlink>
            <w:r>
              <w:rPr>
                <w:rFonts w:ascii="arial" w:eastAsia="arial" w:hAnsi="arial" w:cs="arial"/>
                <w:color w:val="000000"/>
                <w:sz w:val="20"/>
                <w:lang w:val="en-US" w:eastAsia="en-US" w:bidi="ar-SA"/>
              </w:rPr>
              <w:t xml:space="preserve"> (stating regardless of whether the defendant was intoxicated at the time of the crime, insanity could be established by a nonpermanent psychosis, brought on by habitual PCP ingestion, which lasted for several months after the drug use ceased).</w:t>
            </w:r>
          </w:p>
          <w:p>
            <w:pPr>
              <w:spacing w:after="120"/>
              <w:rPr>
                <w:lang w:val="en-US" w:eastAsia="en-US" w:bidi="ar-SA"/>
              </w:rPr>
            </w:pPr>
          </w:p>
        </w:tc>
      </w:tr>
    </w:tbl>
    <w:p>
      <w:pPr>
        <w:spacing w:before="60" w:line="260" w:lineRule="atLeast"/>
        <w:ind w:left="720"/>
        <w:jc w:val="both"/>
        <w:rPr>
          <w:lang w:val="en-US" w:eastAsia="en-US" w:bidi="ar-SA"/>
        </w:rPr>
      </w:pPr>
      <w:r>
        <w:rPr>
          <w:rFonts w:ascii="arial" w:eastAsia="arial" w:hAnsi="arial" w:cs="arial"/>
          <w:color w:val="000000"/>
          <w:sz w:val="20"/>
          <w:lang w:val="en-US" w:eastAsia="en-US" w:bidi="ar-SA"/>
        </w:rPr>
        <w:t>#MICPEL#</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Source:</w:t>
      </w:r>
      <w:r>
        <w:rPr>
          <w:rFonts w:ascii="arial" w:eastAsia="arial" w:hAnsi="arial" w:cs="arial"/>
          <w:color w:val="000000"/>
          <w:sz w:val="20"/>
          <w:lang w:val="en-US" w:eastAsia="en-US" w:bidi="ar-SA"/>
        </w:rPr>
        <w:t> MICPEL</w:t>
      </w:r>
    </w:p>
    <w:p>
      <w:pPr>
        <w:spacing w:before="240" w:line="220" w:lineRule="atLeast"/>
        <w:rPr>
          <w:lang w:val="en-US" w:eastAsia="en-US" w:bidi="ar-SA"/>
        </w:rPr>
      </w:pPr>
      <w:r>
        <w:rPr>
          <w:rFonts w:ascii="arial" w:eastAsia="arial" w:hAnsi="arial" w:cs="arial"/>
          <w:color w:val="000000"/>
          <w:sz w:val="16"/>
          <w:lang w:val="en-US" w:eastAsia="en-US" w:bidi="ar-SA"/>
        </w:rPr>
        <w:t>Maryland Criminal Pattern Jury Instructions</w:t>
      </w:r>
    </w:p>
    <w:p>
      <w:pPr>
        <w:spacing w:line="220" w:lineRule="atLeast"/>
        <w:rPr>
          <w:lang w:val="en-US" w:eastAsia="en-US" w:bidi="ar-SA"/>
        </w:rPr>
      </w:pPr>
      <w:r>
        <w:rPr>
          <w:rFonts w:ascii="arial" w:eastAsia="arial" w:hAnsi="arial" w:cs="arial"/>
          <w:color w:val="000000"/>
          <w:sz w:val="16"/>
          <w:lang w:val="en-US" w:eastAsia="en-US" w:bidi="ar-SA"/>
        </w:rPr>
        <w:t>Copyright 2018 by The Maryland State Bar Association, Inc.</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0" style="position:absolute;z-index:2516766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0"/>
          <w:headerReference w:type="default" r:id="rId151"/>
          <w:footerReference w:type="even" r:id="rId152"/>
          <w:footerReference w:type="default" r:id="rId153"/>
          <w:headerReference w:type="first" r:id="rId154"/>
          <w:footerReference w:type="first" r:id="rId155"/>
          <w:type w:val="nextPage"/>
          <w:pgSz w:w="12240" w:h="15840"/>
          <w:pgMar w:top="840" w:right="1000" w:bottom="840" w:left="1000" w:header="400" w:footer="400"/>
          <w:pgNumType w:fmt="decimal"/>
          <w:cols w:space="720"/>
          <w:titlePg/>
        </w:sectPr>
      </w:pPr>
    </w:p>
    <w:p>
      <w:pPr>
        <w:rPr>
          <w:lang w:val="en-US" w:eastAsia="en-US" w:bidi="ar-SA"/>
        </w:rPr>
      </w:pPr>
      <w:bookmarkStart w:id="7" w:name="Bookmark_8"/>
      <w:bookmarkEnd w:id="7"/>
    </w:p>
    <w:p>
      <w:pPr>
        <w:rPr>
          <w:lang w:val="en-US" w:eastAsia="en-US" w:bidi="ar-SA"/>
        </w:rPr>
      </w:pPr>
      <w:r>
        <w:pict>
          <v:shape id="_x0000_i1051" type="#_x0000_t75" alt="LexisNexis®" style="width:147.77pt;height:30pt">
            <v:imagedata r:id="rId4" o:title=""/>
          </v:shape>
        </w:pict>
      </w:r>
      <w:r>
        <w:rPr>
          <w:lang w:val="en-US" w:eastAsia="en-US" w:bidi="ar-SA"/>
        </w:rPr>
        <w:cr/>
      </w:r>
    </w:p>
    <w:p>
      <w:pPr>
        <w:spacing w:before="240" w:after="200" w:line="340" w:lineRule="atLeast"/>
        <w:jc w:val="center"/>
        <w:outlineLvl w:val="0"/>
        <w:rPr>
          <w:rFonts w:ascii="Arial" w:hAnsi="Arial" w:cs="Arial"/>
          <w:b/>
          <w:bCs/>
          <w:kern w:val="32"/>
          <w:sz w:val="32"/>
          <w:szCs w:val="32"/>
          <w:lang w:val="en-US" w:eastAsia="en-US" w:bidi="ar-SA"/>
        </w:rPr>
      </w:pPr>
      <w:hyperlink r:id="rId156" w:history="1">
        <w:r>
          <w:rPr>
            <w:rFonts w:ascii="arial" w:eastAsia="arial" w:hAnsi="arial" w:cs="arial"/>
            <w:b/>
            <w:bCs/>
            <w:i/>
            <w:color w:val="0077CC"/>
            <w:kern w:val="32"/>
            <w:sz w:val="28"/>
            <w:szCs w:val="32"/>
            <w:u w:val="single"/>
            <w:lang w:val="en-US" w:eastAsia="en-US" w:bidi="ar-SA"/>
          </w:rPr>
          <w:t>MPJI-Cr 5:05.1</w:t>
        </w:r>
      </w:hyperlink>
    </w:p>
    <w:p>
      <w:pPr>
        <w:spacing w:line="240" w:lineRule="atLeast"/>
        <w:jc w:val="both"/>
        <w:rPr>
          <w:lang w:val="en-US" w:eastAsia="en-US" w:bidi="ar-SA"/>
        </w:rPr>
      </w:pPr>
    </w:p>
    <w:p>
      <w:pPr>
        <w:spacing w:before="200" w:line="280" w:lineRule="atLeast"/>
        <w:rPr>
          <w:lang w:val="en-US" w:eastAsia="en-US" w:bidi="ar-SA"/>
        </w:rPr>
      </w:pPr>
      <w:r>
        <w:rPr>
          <w:rFonts w:ascii="arial" w:eastAsia="arial" w:hAnsi="arial" w:cs="arial"/>
          <w:b/>
          <w:i/>
          <w:color w:val="000000"/>
          <w:sz w:val="22"/>
          <w:lang w:val="en-US" w:eastAsia="en-US" w:bidi="ar-SA"/>
        </w:rPr>
        <w:t>Maryland Criminal Pattern Jury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CHAPTER 5 DEFENSES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INSANITY--BIFURCATED PROCEEDING</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5:05.1Insanity--Bifurcated Proceeding</w:t>
      </w:r>
    </w:p>
    <w:p>
      <w:pPr>
        <w:spacing w:line="60" w:lineRule="exact"/>
        <w:rPr>
          <w:lang w:val="en-US" w:eastAsia="en-US" w:bidi="ar-SA"/>
        </w:rPr>
      </w:pPr>
      <w:r>
        <w:pict>
          <v:line id="_x0000_s1052" style="position:absolute;z-index:251665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color w:val="000000"/>
          <w:sz w:val="20"/>
          <w:lang w:val="en-US" w:eastAsia="en-US" w:bidi="ar-SA"/>
        </w:rPr>
        <w:t>The defendant has been found guilty beyond a reasonable doubt. You have heard evidence that the defendant is not criminally responsible for [his] [her] conduct by reason of insanity. A defendant is not criminally responsible by reason of insanity, if, at the time of the criminal act, because of a mental disorder [or mental retardation], the defendant lacked the substantial capacity either</w:t>
      </w:r>
      <w:r>
        <w:rPr>
          <w:rFonts w:ascii="arial" w:eastAsia="arial" w:hAnsi="arial" w:cs="arial"/>
          <w:color w:val="000000"/>
          <w:sz w:val="20"/>
          <w:lang w:val="en-US" w:eastAsia="en-US" w:bidi="ar-SA"/>
        </w:rPr>
        <w:t>:</w:t>
      </w:r>
    </w:p>
    <w:p>
      <w:pPr>
        <w:spacing w:before="200" w:line="260" w:lineRule="atLeast"/>
        <w:ind w:left="400"/>
        <w:jc w:val="both"/>
        <w:rPr>
          <w:lang w:val="en-US" w:eastAsia="en-US" w:bidi="ar-SA"/>
        </w:rPr>
      </w:pPr>
      <w:r>
        <w:rPr>
          <w:rFonts w:ascii="arial" w:eastAsia="arial" w:hAnsi="arial" w:cs="arial"/>
          <w:b/>
          <w:color w:val="000000"/>
          <w:sz w:val="20"/>
          <w:lang w:val="en-US" w:eastAsia="en-US" w:bidi="ar-SA"/>
        </w:rPr>
        <w:t>(1) to appreciate the criminality of the conduct; or</w:t>
      </w:r>
    </w:p>
    <w:p>
      <w:pPr>
        <w:spacing w:before="200" w:line="260" w:lineRule="atLeast"/>
        <w:ind w:left="400"/>
        <w:jc w:val="both"/>
        <w:rPr>
          <w:lang w:val="en-US" w:eastAsia="en-US" w:bidi="ar-SA"/>
        </w:rPr>
      </w:pPr>
      <w:r>
        <w:rPr>
          <w:rFonts w:ascii="arial" w:eastAsia="arial" w:hAnsi="arial" w:cs="arial"/>
          <w:b/>
          <w:color w:val="000000"/>
          <w:sz w:val="20"/>
          <w:lang w:val="en-US" w:eastAsia="en-US" w:bidi="ar-SA"/>
        </w:rPr>
        <w:t>(2) to conform that conduct to the requirements of law</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color w:val="000000"/>
          <w:sz w:val="20"/>
          <w:lang w:val="en-US" w:eastAsia="en-US" w:bidi="ar-SA"/>
        </w:rPr>
        <w:t>Mental disorder means mental illness or other forms of behavioral or emotional illness resulting from psychiatric or neurological disorders. Mental disorder does not include an abnormality that is manifested only by repeated criminal or antisocial conduct. [Mental disorder does not include mere intoxication by drugs or alcohol.] Mental disorder includes a mental illness that so substantially impairs a person's mental or emotional functioning as to make it necessary or advisable for that person's welfare, or for the safety of other persons or their property, that the mentally ill person receive care or treatment. [Mental retardation means a developmental disability that is evidenced by significantly subaverage intellectual functioning and impairment in the adaptive behavior of an individual.]</w:t>
      </w:r>
    </w:p>
    <w:p>
      <w:pPr>
        <w:spacing w:before="200" w:line="260" w:lineRule="atLeast"/>
        <w:jc w:val="both"/>
        <w:rPr>
          <w:lang w:val="en-US" w:eastAsia="en-US" w:bidi="ar-SA"/>
        </w:rPr>
      </w:pPr>
      <w:r>
        <w:rPr>
          <w:rFonts w:ascii="arial" w:eastAsia="arial" w:hAnsi="arial" w:cs="arial"/>
          <w:b/>
          <w:color w:val="000000"/>
          <w:sz w:val="20"/>
          <w:lang w:val="en-US" w:eastAsia="en-US" w:bidi="ar-SA"/>
        </w:rPr>
        <w:t>The presence of a mental disorder [or mental retardation] does not, by itself, mean that a person lacks criminal responsibility. A person is not criminally responsible only if, as a result of the mental disorder [or mental retardation], [he] [she] lacks the substantial capacity to appreciate the criminality of the conduct or to conform the conduct to the requirements of law. To lack substantial capacity means to lack the power or ability to a significant degree. The expression to appreciate the criminality of the conduct means the ability to realize or understand that the conduct is criminally wrong. The expression to conform the conduct to the requirements of law means the ability to act as the law requires a person to act. The law recognizes that willpower, like reason, may be so seriously impaired or destroyed by a mental disorder that the person affected lacks the substantial capacity or ability to exercise control over [himself] [herself]</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color w:val="000000"/>
          <w:sz w:val="20"/>
          <w:lang w:val="en-US" w:eastAsia="en-US" w:bidi="ar-SA"/>
        </w:rPr>
        <w:t>The burden of proof is on the defendant to establish this defense by a preponderance of the evidence. This means that the defendant must persuade you, by a preponderance of the evidence, that at the time of the criminal act, as a result of a mental disorder [or mental retardation], [he] [she] either lacked the substantial capacity to appreciate the criminality of [his] [her] conduct or lacked the substantial capacity to conform [his] [her] conduct to the requirements of the law. To prove by a preponderance of the evidence means to prove that something is more likely so than not so. In other words, a preponderance of the evidence means such evidence as, when considered and compared with that opposed to it, has more convincing force and produces in your mind a belief that is more likely true than not true. If the defendant has met that burden, you must find the defendant not criminally responsible by reason of insanity. If the defendant has not met that burden, you should find the defendant guilty of the offenses that the State has proven beyond a reasonable doubt</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color w:val="000000"/>
          <w:sz w:val="20"/>
          <w:lang w:val="en-US" w:eastAsia="en-US" w:bidi="ar-SA"/>
        </w:rPr>
        <w:t>[You are being informed generally about the consequences of a verdict of not criminally responsible by reason of insanity. If the defendant is found guilty of the criminal act, but not criminally responsible by reason of insanity, the defendant shall be committed to the Department of Health and Mental Hygiene for in-patient treatment, and shall remain in custody unless and until a court or a jury finds that [he] [she] will not be a danger to [himself] [herself] or the person or property of another. What happens to the defendant, however, is not to be considered by you in determining whether the defendant was criminally responsible at the time of the criminal act.]</w:t>
      </w:r>
    </w:p>
    <w:p>
      <w:pPr>
        <w:rPr>
          <w:lang w:val="en-US" w:eastAsia="en-US" w:bidi="ar-SA"/>
        </w:rPr>
      </w:pPr>
    </w:p>
    <w:tbl>
      <w:tblPr>
        <w:tblStyle w:val="TableNormal"/>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
      <w:tblGrid>
        <w:gridCol w:w="10240"/>
      </w:tblGrid>
      <w:tr>
        <w:tblPrEx>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Ex>
        <w:tc>
          <w:tcPr>
            <w:tcW w:w="10240" w:type="dxa"/>
            <w:vAlign w:val="center"/>
          </w:tcPr>
          <w:p>
            <w:pPr>
              <w:spacing w:before="240" w:line="260" w:lineRule="atLeast"/>
              <w:ind w:left="60" w:right="360"/>
              <w:rPr>
                <w:lang w:val="en-US" w:eastAsia="en-US" w:bidi="ar-SA"/>
              </w:rPr>
            </w:pPr>
            <w:r>
              <w:rPr>
                <w:rFonts w:ascii="arial" w:eastAsia="arial" w:hAnsi="arial" w:cs="arial"/>
                <w:b/>
                <w:color w:val="000000"/>
                <w:sz w:val="20"/>
                <w:lang w:val="en-US" w:eastAsia="en-US" w:bidi="ar-SA"/>
              </w:rPr>
              <w:t> </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COMMENT</w:t>
            </w:r>
          </w:p>
          <w:p>
            <w:pPr>
              <w:spacing w:before="200" w:line="260" w:lineRule="atLeast"/>
              <w:ind w:left="60" w:right="360"/>
              <w:jc w:val="both"/>
              <w:rPr>
                <w:lang w:val="en-US" w:eastAsia="en-US" w:bidi="ar-SA"/>
              </w:rPr>
            </w:pPr>
            <w:r>
              <w:rPr>
                <w:rFonts w:ascii="arial" w:eastAsia="arial" w:hAnsi="arial" w:cs="arial"/>
                <w:i/>
                <w:color w:val="000000"/>
                <w:sz w:val="20"/>
                <w:lang w:val="en-US" w:eastAsia="en-US" w:bidi="ar-SA"/>
              </w:rPr>
              <w:t>See</w:t>
            </w:r>
            <w:r>
              <w:rPr>
                <w:rFonts w:ascii="arial" w:eastAsia="arial" w:hAnsi="arial" w:cs="arial"/>
                <w:color w:val="000000"/>
                <w:sz w:val="20"/>
                <w:lang w:val="en-US" w:eastAsia="en-US" w:bidi="ar-SA"/>
              </w:rPr>
              <w:t xml:space="preserve"> Comment to MPJI-Cr 5:05 (Insanity--Nonbifurcated Proceeding).</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If the trier of fact finds that the State has proven, beyond a reasonable doubt, that the defendant committed the crime charged, the trier of fact separately finds whether the defendant is not criminally responsible by reason of insanity at the time of the criminal act. MD. CODE. ANN., CRIMINAL PROCEDURE § 3-110(c) (2008 &amp; Supp. 2016). In </w:t>
            </w:r>
            <w:hyperlink r:id="rId138" w:history="1">
              <w:r>
                <w:rPr>
                  <w:rFonts w:ascii="arial" w:eastAsia="arial" w:hAnsi="arial" w:cs="arial"/>
                  <w:i/>
                  <w:color w:val="0077CC"/>
                  <w:sz w:val="20"/>
                  <w:u w:val="single"/>
                  <w:lang w:val="en-US" w:eastAsia="en-US" w:bidi="ar-SA"/>
                </w:rPr>
                <w:t>Treece v. State, 313 Md. 665, 547 A.2d 1054 (1988),</w:t>
              </w:r>
            </w:hyperlink>
            <w:r>
              <w:rPr>
                <w:rFonts w:ascii="arial" w:eastAsia="arial" w:hAnsi="arial" w:cs="arial"/>
                <w:color w:val="000000"/>
                <w:sz w:val="20"/>
                <w:lang w:val="en-US" w:eastAsia="en-US" w:bidi="ar-SA"/>
              </w:rPr>
              <w:t xml:space="preserve"> the Court of Appeals left unresolved the procedural problems arising as a result of the State having the burden of persuasion for guilt and the defendant having the burden of persuasion for criminal responsibility. The Court suggested that this lends itself to a bifurcated procedure, which is not precluded under the statute. Moreover, the defense should be entitled to opening and closing oral argument on criminal responsibility because the defense has the burden of persuasion. </w:t>
            </w:r>
            <w:r>
              <w:rPr>
                <w:rFonts w:ascii="arial" w:eastAsia="arial" w:hAnsi="arial" w:cs="arial"/>
                <w:i/>
                <w:color w:val="000000"/>
                <w:sz w:val="20"/>
                <w:lang w:val="en-US" w:eastAsia="en-US" w:bidi="ar-SA"/>
              </w:rPr>
              <w:t xml:space="preserve">See </w:t>
            </w:r>
            <w:hyperlink r:id="rId157" w:history="1">
              <w:r>
                <w:rPr>
                  <w:rFonts w:ascii="arial" w:eastAsia="arial" w:hAnsi="arial" w:cs="arial"/>
                  <w:i/>
                  <w:color w:val="0077CC"/>
                  <w:sz w:val="20"/>
                  <w:u w:val="single"/>
                  <w:lang w:val="en-US" w:eastAsia="en-US" w:bidi="ar-SA"/>
                </w:rPr>
                <w:t>Harris v. State, 312 Md. 225, 255, 539 A.2d 637, 652 (1988).</w:t>
              </w:r>
            </w:hyperlink>
            <w:r>
              <w:rPr>
                <w:rFonts w:ascii="arial" w:eastAsia="arial" w:hAnsi="arial" w:cs="arial"/>
                <w:color w:val="000000"/>
                <w:sz w:val="20"/>
                <w:lang w:val="en-US" w:eastAsia="en-US" w:bidi="ar-SA"/>
              </w:rPr>
              <w:t xml:space="preserve"> Noting that "[b]ifurcation raises a number of procedural issues," the Court referred the bifurcation issue to its Standing Committee on Rules of Practice and Procedure. </w:t>
            </w:r>
            <w:hyperlink r:id="rId138" w:history="1">
              <w:r>
                <w:rPr>
                  <w:rFonts w:ascii="arial" w:eastAsia="arial" w:hAnsi="arial" w:cs="arial"/>
                  <w:i/>
                  <w:color w:val="0077CC"/>
                  <w:sz w:val="20"/>
                  <w:u w:val="single"/>
                  <w:lang w:val="en-US" w:eastAsia="en-US" w:bidi="ar-SA"/>
                </w:rPr>
                <w:t>Treece, 313 Md. at 687, 547 A.2d at 1065.</w:t>
              </w:r>
            </w:hyperlink>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The Court of Appeals subsequently adopted MD. RULE 4-314, which provides that when the defendant has pleaded both not guilty and not criminally responsible by reason of insanity, and has elected a jury trial, either party may move for a bifurcated trial. Under the bifurcated procedure, the criminal responsibility issue is determined separately from the guilt issue. MD. RULE 4-314(a)(1). If the defendant seeks bifurcation, it shall be granted unless the court finds and states on the record a compelling reason to deny the motion. MD. RULE 4-314(a)(3)(A). If the State seeks bifurcation, it may be granted only for a compelling reason that will not substantially prejudice the defendant. MD. RULE 4-314(a)(3)(B). The bifurcated proceeding is a single continuous trial in two stages, before the same jury, with the guilt issue tried first and the criminal responsibility issue tried as soon as practicable after a guilty verdict. MD. RULE 4-314(b)(1), (2), (5)(A).</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When the trial is bifurcated, evidence of a lack of criminal responsibility is inadmissible during the guilt stage of the trial. MD. RULE 4-314(b)(6)(A). During the criminal responsibility stage of the trial, the defendant must prove a prima facie case to get to the jury. MD. RULE 4-314(b)(7).The State argues first and last in the guilt phase, while the defendant argues first and last in the criminal responsibility phase. </w:t>
            </w:r>
            <w:r>
              <w:rPr>
                <w:rFonts w:ascii="arial" w:eastAsia="arial" w:hAnsi="arial" w:cs="arial"/>
                <w:i/>
                <w:color w:val="000000"/>
                <w:sz w:val="20"/>
                <w:lang w:val="en-US" w:eastAsia="en-US" w:bidi="ar-SA"/>
              </w:rPr>
              <w:t>See</w:t>
            </w:r>
            <w:r>
              <w:rPr>
                <w:rFonts w:ascii="arial" w:eastAsia="arial" w:hAnsi="arial" w:cs="arial"/>
                <w:color w:val="000000"/>
                <w:sz w:val="20"/>
                <w:lang w:val="en-US" w:eastAsia="en-US" w:bidi="ar-SA"/>
              </w:rPr>
              <w:t xml:space="preserve"> MD. RULE 4-314(b)(6)(B).</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MARYLAND RULE 4-314 also addresses the situation in which the defendant pleads guilty on the merits while pleading not criminally responsible by reason of insanity. If the court accepts the guilty plea, a trial is conducted only on the issue of criminal responsibility. As a result of the guilty plea, the guilt-innocence phase is a court trial. Nonetheless, the defendant is entitled to a jury trial on the issue of criminal responsibility, which can only be waived knowingly and voluntarily. </w:t>
            </w:r>
            <w:hyperlink r:id="rId158" w:history="1">
              <w:r>
                <w:rPr>
                  <w:rFonts w:ascii="arial" w:eastAsia="arial" w:hAnsi="arial" w:cs="arial"/>
                  <w:i/>
                  <w:color w:val="0077CC"/>
                  <w:sz w:val="20"/>
                  <w:u w:val="single"/>
                  <w:lang w:val="en-US" w:eastAsia="en-US" w:bidi="ar-SA"/>
                </w:rPr>
                <w:t>Breeden v. State, 87 Md. App. 508, 590 A.2d 560 (1991).</w:t>
              </w:r>
            </w:hyperlink>
            <w:r>
              <w:rPr>
                <w:rFonts w:ascii="arial" w:eastAsia="arial" w:hAnsi="arial" w:cs="arial"/>
                <w:color w:val="000000"/>
                <w:sz w:val="20"/>
                <w:lang w:val="en-US" w:eastAsia="en-US" w:bidi="ar-SA"/>
              </w:rPr>
              <w:t xml:space="preserve"> However, a trial court may accept the waiver of jury trial in a not criminally responsible case without giving any advice to the defendant relating specifically to that defense. </w:t>
            </w:r>
            <w:hyperlink r:id="rId140" w:history="1">
              <w:r>
                <w:rPr>
                  <w:rFonts w:ascii="arial" w:eastAsia="arial" w:hAnsi="arial" w:cs="arial"/>
                  <w:i/>
                  <w:color w:val="0077CC"/>
                  <w:sz w:val="20"/>
                  <w:u w:val="single"/>
                  <w:lang w:val="en-US" w:eastAsia="en-US" w:bidi="ar-SA"/>
                </w:rPr>
                <w:t>State v. Marsh, 337 Md. 528, 533, 654 A.2d 1318, 1320 (1995).</w:t>
              </w:r>
            </w:hyperlink>
          </w:p>
          <w:p>
            <w:pPr>
              <w:spacing w:after="120"/>
              <w:rPr>
                <w:lang w:val="en-US" w:eastAsia="en-US" w:bidi="ar-SA"/>
              </w:rPr>
            </w:pPr>
          </w:p>
        </w:tc>
      </w:tr>
    </w:tbl>
    <w:p>
      <w:pPr>
        <w:spacing w:before="60" w:line="260" w:lineRule="atLeast"/>
        <w:ind w:left="720"/>
        <w:jc w:val="both"/>
        <w:rPr>
          <w:lang w:val="en-US" w:eastAsia="en-US" w:bidi="ar-SA"/>
        </w:rPr>
      </w:pPr>
      <w:r>
        <w:rPr>
          <w:rFonts w:ascii="arial" w:eastAsia="arial" w:hAnsi="arial" w:cs="arial"/>
          <w:color w:val="000000"/>
          <w:sz w:val="20"/>
          <w:lang w:val="en-US" w:eastAsia="en-US" w:bidi="ar-SA"/>
        </w:rPr>
        <w:t>#MICPEL#</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Source:</w:t>
      </w:r>
      <w:r>
        <w:rPr>
          <w:rFonts w:ascii="arial" w:eastAsia="arial" w:hAnsi="arial" w:cs="arial"/>
          <w:color w:val="000000"/>
          <w:sz w:val="20"/>
          <w:lang w:val="en-US" w:eastAsia="en-US" w:bidi="ar-SA"/>
        </w:rPr>
        <w:t> MICPEL</w:t>
      </w:r>
    </w:p>
    <w:p>
      <w:pPr>
        <w:spacing w:before="240" w:line="220" w:lineRule="atLeast"/>
        <w:rPr>
          <w:lang w:val="en-US" w:eastAsia="en-US" w:bidi="ar-SA"/>
        </w:rPr>
      </w:pPr>
      <w:r>
        <w:rPr>
          <w:rFonts w:ascii="arial" w:eastAsia="arial" w:hAnsi="arial" w:cs="arial"/>
          <w:color w:val="000000"/>
          <w:sz w:val="16"/>
          <w:lang w:val="en-US" w:eastAsia="en-US" w:bidi="ar-SA"/>
        </w:rPr>
        <w:t>Maryland Criminal Pattern Jury Instructions</w:t>
      </w:r>
    </w:p>
    <w:p>
      <w:pPr>
        <w:spacing w:line="220" w:lineRule="atLeast"/>
        <w:rPr>
          <w:lang w:val="en-US" w:eastAsia="en-US" w:bidi="ar-SA"/>
        </w:rPr>
      </w:pPr>
      <w:r>
        <w:rPr>
          <w:rFonts w:ascii="arial" w:eastAsia="arial" w:hAnsi="arial" w:cs="arial"/>
          <w:color w:val="000000"/>
          <w:sz w:val="16"/>
          <w:lang w:val="en-US" w:eastAsia="en-US" w:bidi="ar-SA"/>
        </w:rPr>
        <w:t>Copyright 2018 by The Maryland State Bar Association, Inc.</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3" style="position:absolute;z-index:2516776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9"/>
          <w:headerReference w:type="default" r:id="rId160"/>
          <w:footerReference w:type="even" r:id="rId161"/>
          <w:footerReference w:type="default" r:id="rId162"/>
          <w:headerReference w:type="first" r:id="rId163"/>
          <w:footerReference w:type="first" r:id="rId164"/>
          <w:type w:val="nextPage"/>
          <w:pgSz w:w="12240" w:h="15840"/>
          <w:pgMar w:top="840" w:right="1000" w:bottom="840" w:left="1000" w:header="400" w:footer="400"/>
          <w:pgNumType w:fmt="decimal"/>
          <w:cols w:space="720"/>
          <w:titlePg/>
        </w:sectPr>
      </w:pPr>
    </w:p>
    <w:p>
      <w:pPr>
        <w:rPr>
          <w:lang w:val="en-US" w:eastAsia="en-US" w:bidi="ar-SA"/>
        </w:rPr>
      </w:pPr>
      <w:bookmarkStart w:id="8" w:name="Bookmark_9"/>
      <w:bookmarkEnd w:id="8"/>
    </w:p>
    <w:p>
      <w:pPr>
        <w:rPr>
          <w:lang w:val="en-US" w:eastAsia="en-US" w:bidi="ar-SA"/>
        </w:rPr>
      </w:pPr>
      <w:r>
        <w:pict>
          <v:shape id="_x0000_i1054" type="#_x0000_t75" alt="LexisNexis®" style="width:147.77pt;height:30pt">
            <v:imagedata r:id="rId4" o:title=""/>
          </v:shape>
        </w:pict>
      </w:r>
      <w:r>
        <w:rPr>
          <w:lang w:val="en-US" w:eastAsia="en-US" w:bidi="ar-SA"/>
        </w:rPr>
        <w:cr/>
      </w:r>
    </w:p>
    <w:p>
      <w:pPr>
        <w:spacing w:before="240" w:after="200" w:line="340" w:lineRule="atLeast"/>
        <w:jc w:val="center"/>
        <w:outlineLvl w:val="0"/>
        <w:rPr>
          <w:rFonts w:ascii="Arial" w:hAnsi="Arial" w:cs="Arial"/>
          <w:b/>
          <w:bCs/>
          <w:kern w:val="32"/>
          <w:sz w:val="32"/>
          <w:szCs w:val="32"/>
          <w:lang w:val="en-US" w:eastAsia="en-US" w:bidi="ar-SA"/>
        </w:rPr>
      </w:pPr>
      <w:hyperlink r:id="rId165" w:history="1">
        <w:r>
          <w:rPr>
            <w:rFonts w:ascii="arial" w:eastAsia="arial" w:hAnsi="arial" w:cs="arial"/>
            <w:b/>
            <w:bCs/>
            <w:i/>
            <w:color w:val="0077CC"/>
            <w:kern w:val="32"/>
            <w:sz w:val="28"/>
            <w:szCs w:val="32"/>
            <w:u w:val="single"/>
            <w:lang w:val="en-US" w:eastAsia="en-US" w:bidi="ar-SA"/>
          </w:rPr>
          <w:t>MPJI-Cr 5:06</w:t>
        </w:r>
      </w:hyperlink>
    </w:p>
    <w:p>
      <w:pPr>
        <w:spacing w:line="240" w:lineRule="atLeast"/>
        <w:jc w:val="both"/>
        <w:rPr>
          <w:lang w:val="en-US" w:eastAsia="en-US" w:bidi="ar-SA"/>
        </w:rPr>
      </w:pPr>
    </w:p>
    <w:p>
      <w:pPr>
        <w:spacing w:before="200" w:line="280" w:lineRule="atLeast"/>
        <w:rPr>
          <w:lang w:val="en-US" w:eastAsia="en-US" w:bidi="ar-SA"/>
        </w:rPr>
      </w:pPr>
      <w:r>
        <w:rPr>
          <w:rFonts w:ascii="arial" w:eastAsia="arial" w:hAnsi="arial" w:cs="arial"/>
          <w:b/>
          <w:i/>
          <w:color w:val="000000"/>
          <w:sz w:val="22"/>
          <w:lang w:val="en-US" w:eastAsia="en-US" w:bidi="ar-SA"/>
        </w:rPr>
        <w:t>Maryland Criminal Pattern Jury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CHAPTER 5 DEFENSES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MISTAKE OF FACT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5:06Mistake of Fact</w:t>
      </w:r>
    </w:p>
    <w:p>
      <w:pPr>
        <w:spacing w:line="60" w:lineRule="exact"/>
        <w:rPr>
          <w:lang w:val="en-US" w:eastAsia="en-US" w:bidi="ar-SA"/>
        </w:rPr>
      </w:pPr>
      <w:r>
        <w:pict>
          <v:line id="_x0000_s1055"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color w:val="000000"/>
          <w:sz w:val="20"/>
          <w:lang w:val="en-US" w:eastAsia="en-US" w:bidi="ar-SA"/>
        </w:rPr>
        <w:t>You have heard evidence that the defendant's actions were based on a mistake of fact. Mistake of fact is a defense. You are required to find the defendant not guilty if</w:t>
      </w:r>
      <w:r>
        <w:rPr>
          <w:rFonts w:ascii="arial" w:eastAsia="arial" w:hAnsi="arial" w:cs="arial"/>
          <w:color w:val="000000"/>
          <w:sz w:val="20"/>
          <w:lang w:val="en-US" w:eastAsia="en-US" w:bidi="ar-SA"/>
        </w:rPr>
        <w:t>:</w:t>
      </w:r>
    </w:p>
    <w:p>
      <w:pPr>
        <w:spacing w:before="200" w:line="260" w:lineRule="atLeast"/>
        <w:ind w:left="400"/>
        <w:jc w:val="both"/>
        <w:rPr>
          <w:lang w:val="en-US" w:eastAsia="en-US" w:bidi="ar-SA"/>
        </w:rPr>
      </w:pPr>
      <w:r>
        <w:rPr>
          <w:rFonts w:ascii="arial" w:eastAsia="arial" w:hAnsi="arial" w:cs="arial"/>
          <w:b/>
          <w:color w:val="000000"/>
          <w:sz w:val="20"/>
          <w:lang w:val="en-US" w:eastAsia="en-US" w:bidi="ar-SA"/>
        </w:rPr>
        <w:t>(1) the defendant actually believed (</w:t>
      </w:r>
      <w:r>
        <w:rPr>
          <w:rFonts w:ascii="arial" w:eastAsia="arial" w:hAnsi="arial" w:cs="arial"/>
          <w:b/>
          <w:color w:val="000000"/>
          <w:sz w:val="20"/>
          <w:u w:val="single"/>
          <w:lang w:val="en-US" w:eastAsia="en-US" w:bidi="ar-SA"/>
        </w:rPr>
        <w:t>alleged mistake</w:t>
      </w:r>
      <w:r>
        <w:rPr>
          <w:rFonts w:ascii="arial" w:eastAsia="arial" w:hAnsi="arial" w:cs="arial"/>
          <w:b/>
          <w:color w:val="000000"/>
          <w:sz w:val="20"/>
          <w:lang w:val="en-US" w:eastAsia="en-US" w:bidi="ar-SA"/>
        </w:rPr>
        <w:t>)</w:t>
      </w:r>
      <w:r>
        <w:rPr>
          <w:rFonts w:ascii="arial" w:eastAsia="arial" w:hAnsi="arial" w:cs="arial"/>
          <w:color w:val="000000"/>
          <w:sz w:val="20"/>
          <w:lang w:val="en-US" w:eastAsia="en-US" w:bidi="ar-SA"/>
        </w:rPr>
        <w:t>;</w:t>
      </w:r>
    </w:p>
    <w:p>
      <w:pPr>
        <w:spacing w:before="200" w:line="260" w:lineRule="atLeast"/>
        <w:ind w:left="400"/>
        <w:jc w:val="both"/>
        <w:rPr>
          <w:lang w:val="en-US" w:eastAsia="en-US" w:bidi="ar-SA"/>
        </w:rPr>
      </w:pPr>
      <w:r>
        <w:rPr>
          <w:rFonts w:ascii="arial" w:eastAsia="arial" w:hAnsi="arial" w:cs="arial"/>
          <w:b/>
          <w:color w:val="000000"/>
          <w:sz w:val="20"/>
          <w:lang w:val="en-US" w:eastAsia="en-US" w:bidi="ar-SA"/>
        </w:rPr>
        <w:t>(2) the defendant's belief and actions were reasonable under the circumstances</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and</w:t>
      </w:r>
    </w:p>
    <w:p>
      <w:pPr>
        <w:spacing w:before="200" w:line="260" w:lineRule="atLeast"/>
        <w:ind w:left="400"/>
        <w:jc w:val="both"/>
        <w:rPr>
          <w:lang w:val="en-US" w:eastAsia="en-US" w:bidi="ar-SA"/>
        </w:rPr>
      </w:pPr>
      <w:r>
        <w:rPr>
          <w:rFonts w:ascii="arial" w:eastAsia="arial" w:hAnsi="arial" w:cs="arial"/>
          <w:b/>
          <w:color w:val="000000"/>
          <w:sz w:val="20"/>
          <w:lang w:val="en-US" w:eastAsia="en-US" w:bidi="ar-SA"/>
        </w:rPr>
        <w:t>(3) the defendant did not intend to commit the crime of (</w:t>
      </w:r>
      <w:r>
        <w:rPr>
          <w:rFonts w:ascii="arial" w:eastAsia="arial" w:hAnsi="arial" w:cs="arial"/>
          <w:b/>
          <w:color w:val="000000"/>
          <w:sz w:val="20"/>
          <w:u w:val="single"/>
          <w:lang w:val="en-US" w:eastAsia="en-US" w:bidi="ar-SA"/>
        </w:rPr>
        <w:t>crime</w:t>
      </w:r>
      <w:r>
        <w:rPr>
          <w:rFonts w:ascii="arial" w:eastAsia="arial" w:hAnsi="arial" w:cs="arial"/>
          <w:b/>
          <w:color w:val="000000"/>
          <w:sz w:val="20"/>
          <w:lang w:val="en-US" w:eastAsia="en-US" w:bidi="ar-SA"/>
        </w:rPr>
        <w:t>) and the defendant's conduct would not have amounted to the crime of (</w:t>
      </w:r>
      <w:r>
        <w:rPr>
          <w:rFonts w:ascii="arial" w:eastAsia="arial" w:hAnsi="arial" w:cs="arial"/>
          <w:b/>
          <w:color w:val="000000"/>
          <w:sz w:val="20"/>
          <w:u w:val="single"/>
          <w:lang w:val="en-US" w:eastAsia="en-US" w:bidi="ar-SA"/>
        </w:rPr>
        <w:t>crime</w:t>
      </w:r>
      <w:r>
        <w:rPr>
          <w:rFonts w:ascii="arial" w:eastAsia="arial" w:hAnsi="arial" w:cs="arial"/>
          <w:b/>
          <w:color w:val="000000"/>
          <w:sz w:val="20"/>
          <w:lang w:val="en-US" w:eastAsia="en-US" w:bidi="ar-SA"/>
        </w:rPr>
        <w:t>) if the mistaken belief had been correct, meaning that, if the true facts were what the defendant thought them to be, the [defendant's conduct would not have been criminal] [defendant would have the defense of (</w:t>
      </w:r>
      <w:r>
        <w:rPr>
          <w:rFonts w:ascii="arial" w:eastAsia="arial" w:hAnsi="arial" w:cs="arial"/>
          <w:b/>
          <w:color w:val="000000"/>
          <w:sz w:val="20"/>
          <w:u w:val="single"/>
          <w:lang w:val="en-US" w:eastAsia="en-US" w:bidi="ar-SA"/>
        </w:rPr>
        <w:t>defense</w:t>
      </w:r>
      <w:r>
        <w:rPr>
          <w:rFonts w:ascii="arial" w:eastAsia="arial" w:hAnsi="arial" w:cs="arial"/>
          <w:b/>
          <w:color w:val="000000"/>
          <w:sz w:val="20"/>
          <w:lang w:val="en-US" w:eastAsia="en-US" w:bidi="ar-SA"/>
        </w:rPr>
        <w:t>)]</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color w:val="000000"/>
          <w:sz w:val="20"/>
          <w:lang w:val="en-US" w:eastAsia="en-US" w:bidi="ar-SA"/>
        </w:rPr>
        <w:t>In order to convict the defendant, the State must prove beyond a reasonable doubt that at least one of the three factors was absent</w:t>
      </w:r>
      <w:r>
        <w:rPr>
          <w:rFonts w:ascii="arial" w:eastAsia="arial" w:hAnsi="arial" w:cs="arial"/>
          <w:color w:val="000000"/>
          <w:sz w:val="20"/>
          <w:lang w:val="en-US" w:eastAsia="en-US" w:bidi="ar-SA"/>
        </w:rPr>
        <w:t>.</w:t>
      </w:r>
    </w:p>
    <w:p>
      <w:pPr>
        <w:rPr>
          <w:lang w:val="en-US" w:eastAsia="en-US" w:bidi="ar-SA"/>
        </w:rPr>
      </w:pPr>
    </w:p>
    <w:tbl>
      <w:tblPr>
        <w:tblStyle w:val="TableNormal"/>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
      <w:tblGrid>
        <w:gridCol w:w="10240"/>
      </w:tblGrid>
      <w:tr>
        <w:tblPrEx>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Ex>
        <w:tc>
          <w:tcPr>
            <w:tcW w:w="10240" w:type="dxa"/>
            <w:vAlign w:val="center"/>
          </w:tcPr>
          <w:p>
            <w:pPr>
              <w:spacing w:before="240" w:line="260" w:lineRule="atLeast"/>
              <w:ind w:left="60" w:right="360"/>
              <w:rPr>
                <w:lang w:val="en-US" w:eastAsia="en-US" w:bidi="ar-SA"/>
              </w:rPr>
            </w:pPr>
            <w:r>
              <w:rPr>
                <w:rFonts w:ascii="arial" w:eastAsia="arial" w:hAnsi="arial" w:cs="arial"/>
                <w:b/>
                <w:color w:val="000000"/>
                <w:sz w:val="20"/>
                <w:lang w:val="en-US" w:eastAsia="en-US" w:bidi="ar-SA"/>
              </w:rPr>
              <w:t> </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COMMENT</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An honest and reasonable mistake of fact can negate criminality by negating the mental state, provided that the conduct would not have been criminal had the facts been as the defendant honestly and reasonably believed them to be. </w:t>
            </w:r>
            <w:r>
              <w:rPr>
                <w:rFonts w:ascii="arial" w:eastAsia="arial" w:hAnsi="arial" w:cs="arial"/>
                <w:i/>
                <w:color w:val="000000"/>
                <w:sz w:val="20"/>
                <w:lang w:val="en-US" w:eastAsia="en-US" w:bidi="ar-SA"/>
              </w:rPr>
              <w:t xml:space="preserve">See </w:t>
            </w:r>
            <w:hyperlink r:id="rId166" w:history="1">
              <w:r>
                <w:rPr>
                  <w:rFonts w:ascii="arial" w:eastAsia="arial" w:hAnsi="arial" w:cs="arial"/>
                  <w:i/>
                  <w:color w:val="0077CC"/>
                  <w:sz w:val="20"/>
                  <w:u w:val="single"/>
                  <w:lang w:val="en-US" w:eastAsia="en-US" w:bidi="ar-SA"/>
                </w:rPr>
                <w:t>General v. State, 367 Md. 475, 484, 789 A.2d 102, 107 (2002)</w:t>
              </w:r>
            </w:hyperlink>
            <w:r>
              <w:rPr>
                <w:rFonts w:ascii="arial" w:eastAsia="arial" w:hAnsi="arial" w:cs="arial"/>
                <w:color w:val="000000"/>
                <w:sz w:val="20"/>
                <w:lang w:val="en-US" w:eastAsia="en-US" w:bidi="ar-SA"/>
              </w:rPr>
              <w:t xml:space="preserve"> (mistake of fact is a "failure of proof" defense since with a cognizable mistake of fact, "the prosecution has not proven beyond a reasonable doubt the essential elements of the crime"); WILLIAM LAWRENCE CLARK &amp; WILLIAM LAWRENCE MARSHALL, A TREATISE ON THE LAW OF CRIMES § 5.11, at 321-31 (7th ed. 1967); WAYNE R. LAFAVE, CRIMINAL LAW § 5.6, at 298-318 (5th ed. 2010); ROLLIN M. PERKINS &amp; RONALD N. BOYCE, CRIMINAL LAW 1044-50 (3d ed. 1982). The mistaken belief cannot be due to the defendant's "laxness or lack of diligence on his part to ascertain the facts." </w:t>
            </w:r>
            <w:hyperlink r:id="rId167" w:history="1">
              <w:r>
                <w:rPr>
                  <w:rFonts w:ascii="arial" w:eastAsia="arial" w:hAnsi="arial" w:cs="arial"/>
                  <w:i/>
                  <w:color w:val="0077CC"/>
                  <w:sz w:val="20"/>
                  <w:u w:val="single"/>
                  <w:lang w:val="en-US" w:eastAsia="en-US" w:bidi="ar-SA"/>
                </w:rPr>
                <w:t>Braun v. State, 230 Md. 82, 90, 185 A.2d 905, 909 (1962);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cf. </w:t>
            </w:r>
            <w:hyperlink r:id="rId168" w:history="1">
              <w:r>
                <w:rPr>
                  <w:rFonts w:ascii="arial" w:eastAsia="arial" w:hAnsi="arial" w:cs="arial"/>
                  <w:i/>
                  <w:color w:val="0077CC"/>
                  <w:sz w:val="20"/>
                  <w:u w:val="single"/>
                  <w:lang w:val="en-US" w:eastAsia="en-US" w:bidi="ar-SA"/>
                </w:rPr>
                <w:t>Clarke v. State, 9 Md. App. 570, 573, 266 A.2d 359, 361 (1970)</w:t>
              </w:r>
            </w:hyperlink>
            <w:r>
              <w:rPr>
                <w:rFonts w:ascii="arial" w:eastAsia="arial" w:hAnsi="arial" w:cs="arial"/>
                <w:color w:val="000000"/>
                <w:sz w:val="20"/>
                <w:lang w:val="en-US" w:eastAsia="en-US" w:bidi="ar-SA"/>
              </w:rPr>
              <w:t xml:space="preserve"> (stating that an individual with an unlawful purpose in mind, who deliberately "shuts his eyes" to avoid knowing what would otherwise be obvious, acts at his peril, and is treated as having knowledge of the actual facts).</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Because mistake of fact generally negates criminality by negating the mental state, a mistake of fact is irrelevant in a strict liability offense. LAFAVE,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 5.6(b), at 300-04; </w:t>
            </w:r>
            <w:r>
              <w:rPr>
                <w:rFonts w:ascii="arial" w:eastAsia="arial" w:hAnsi="arial" w:cs="arial"/>
                <w:i/>
                <w:color w:val="000000"/>
                <w:sz w:val="20"/>
                <w:lang w:val="en-US" w:eastAsia="en-US" w:bidi="ar-SA"/>
              </w:rPr>
              <w:t>see, e.g.</w:t>
            </w:r>
            <w:r>
              <w:rPr>
                <w:rFonts w:ascii="arial" w:eastAsia="arial" w:hAnsi="arial" w:cs="arial"/>
                <w:color w:val="000000"/>
                <w:sz w:val="20"/>
                <w:lang w:val="en-US" w:eastAsia="en-US" w:bidi="ar-SA"/>
              </w:rPr>
              <w:t xml:space="preserve">, MD. CODE ANN., CRIMINAL LAW I § 3-304(a)(3) (2012 &amp; Supp. 2018) (hereinafter CRIM. LAW I or II § ___ ); CRIM. LAW I § 3-306(a)(3) (second degree sexual offense); CRIM. LAW I § 3-307(a)(3)-(5) (third degree sexual offense); CRIM. LAW I § 3-308(b)(2)-(3), (c) (fourth degree sexual offense); MD. CODE ANN., TRANSPORTATION III § 21-902 (2012 &amp; Supp. 2018) (driving while intoxicated); </w:t>
            </w:r>
            <w:hyperlink r:id="rId169" w:history="1">
              <w:r>
                <w:rPr>
                  <w:rFonts w:ascii="arial" w:eastAsia="arial" w:hAnsi="arial" w:cs="arial"/>
                  <w:i/>
                  <w:color w:val="0077CC"/>
                  <w:sz w:val="20"/>
                  <w:u w:val="single"/>
                  <w:lang w:val="en-US" w:eastAsia="en-US" w:bidi="ar-SA"/>
                </w:rPr>
                <w:t>Walker v. State, 363 Md. 253, 256, 768 A.2d 631, 633 (2001)</w:t>
              </w:r>
            </w:hyperlink>
            <w:r>
              <w:rPr>
                <w:rFonts w:ascii="arial" w:eastAsia="arial" w:hAnsi="arial" w:cs="arial"/>
                <w:color w:val="000000"/>
                <w:sz w:val="20"/>
                <w:lang w:val="en-US" w:eastAsia="en-US" w:bidi="ar-SA"/>
              </w:rPr>
              <w:t xml:space="preserve"> (statutory rape); </w:t>
            </w:r>
            <w:hyperlink r:id="rId170" w:history="1">
              <w:r>
                <w:rPr>
                  <w:rFonts w:ascii="arial" w:eastAsia="arial" w:hAnsi="arial" w:cs="arial"/>
                  <w:i/>
                  <w:color w:val="0077CC"/>
                  <w:sz w:val="20"/>
                  <w:u w:val="single"/>
                  <w:lang w:val="en-US" w:eastAsia="en-US" w:bidi="ar-SA"/>
                </w:rPr>
                <w:t>Garnett v. State, 332 Md. 571, 577-88, 632 A.2d 797, 800-05 (1993)</w:t>
              </w:r>
            </w:hyperlink>
            <w:r>
              <w:rPr>
                <w:rFonts w:ascii="arial" w:eastAsia="arial" w:hAnsi="arial" w:cs="arial"/>
                <w:color w:val="000000"/>
                <w:sz w:val="20"/>
                <w:lang w:val="en-US" w:eastAsia="en-US" w:bidi="ar-SA"/>
              </w:rPr>
              <w:t xml:space="preserve"> (second degree rape); </w:t>
            </w:r>
            <w:hyperlink r:id="rId167" w:history="1">
              <w:r>
                <w:rPr>
                  <w:rFonts w:ascii="arial" w:eastAsia="arial" w:hAnsi="arial" w:cs="arial"/>
                  <w:i/>
                  <w:color w:val="0077CC"/>
                  <w:sz w:val="20"/>
                  <w:u w:val="single"/>
                  <w:lang w:val="en-US" w:eastAsia="en-US" w:bidi="ar-SA"/>
                </w:rPr>
                <w:t>Braun, 230 Md. at 90, 185 A.2d at 908-09</w:t>
              </w:r>
            </w:hyperlink>
            <w:r>
              <w:rPr>
                <w:rFonts w:ascii="arial" w:eastAsia="arial" w:hAnsi="arial" w:cs="arial"/>
                <w:color w:val="000000"/>
                <w:sz w:val="20"/>
                <w:lang w:val="en-US" w:eastAsia="en-US" w:bidi="ar-SA"/>
              </w:rPr>
              <w:t xml:space="preserve"> (bigamy); Annotation, </w:t>
            </w:r>
            <w:r>
              <w:rPr>
                <w:rFonts w:ascii="arial" w:eastAsia="arial" w:hAnsi="arial" w:cs="arial"/>
                <w:i/>
                <w:color w:val="000000"/>
                <w:sz w:val="20"/>
                <w:lang w:val="en-US" w:eastAsia="en-US" w:bidi="ar-SA"/>
              </w:rPr>
              <w:t>Mistake or Lack of Information as to Victim's Age as Defense to Statutory Rape</w:t>
            </w:r>
            <w:r>
              <w:rPr>
                <w:rFonts w:ascii="arial" w:eastAsia="arial" w:hAnsi="arial" w:cs="arial"/>
                <w:color w:val="000000"/>
                <w:sz w:val="20"/>
                <w:lang w:val="en-US" w:eastAsia="en-US" w:bidi="ar-SA"/>
              </w:rPr>
              <w:t xml:space="preserve">, </w:t>
            </w:r>
            <w:hyperlink r:id="rId171" w:history="1">
              <w:r>
                <w:rPr>
                  <w:rFonts w:ascii="arial" w:eastAsia="arial" w:hAnsi="arial" w:cs="arial"/>
                  <w:i/>
                  <w:color w:val="0077CC"/>
                  <w:sz w:val="20"/>
                  <w:u w:val="single"/>
                  <w:lang w:val="en-US" w:eastAsia="en-US" w:bidi="ar-SA"/>
                </w:rPr>
                <w:t>46 A.L.R.5th 499 (1964).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But see </w:t>
            </w:r>
            <w:hyperlink r:id="rId172" w:history="1">
              <w:r>
                <w:rPr>
                  <w:rFonts w:ascii="arial" w:eastAsia="arial" w:hAnsi="arial" w:cs="arial"/>
                  <w:i/>
                  <w:color w:val="0077CC"/>
                  <w:sz w:val="20"/>
                  <w:u w:val="single"/>
                  <w:lang w:val="en-US" w:eastAsia="en-US" w:bidi="ar-SA"/>
                </w:rPr>
                <w:t>Outmezguine v. State, 335 Md. 20, 47-51, 641 A.2d 870, 884-86 (1994)</w:t>
              </w:r>
            </w:hyperlink>
            <w:r>
              <w:rPr>
                <w:rFonts w:ascii="arial" w:eastAsia="arial" w:hAnsi="arial" w:cs="arial"/>
                <w:color w:val="000000"/>
                <w:sz w:val="20"/>
                <w:lang w:val="en-US" w:eastAsia="en-US" w:bidi="ar-SA"/>
              </w:rPr>
              <w:t xml:space="preserve"> (an honest and reasonable mistake of age is an affirmative defense to child pornography); </w:t>
            </w:r>
            <w:hyperlink r:id="rId173" w:history="1">
              <w:r>
                <w:rPr>
                  <w:rFonts w:ascii="arial" w:eastAsia="arial" w:hAnsi="arial" w:cs="arial"/>
                  <w:i/>
                  <w:color w:val="0077CC"/>
                  <w:sz w:val="20"/>
                  <w:u w:val="single"/>
                  <w:lang w:val="en-US" w:eastAsia="en-US" w:bidi="ar-SA"/>
                </w:rPr>
                <w:t>Haskin v. State, 213 Md. 127, 131, 131 A.2d 282, 284 (1957)</w:t>
              </w:r>
            </w:hyperlink>
            <w:r>
              <w:rPr>
                <w:rFonts w:ascii="arial" w:eastAsia="arial" w:hAnsi="arial" w:cs="arial"/>
                <w:color w:val="000000"/>
                <w:sz w:val="20"/>
                <w:lang w:val="en-US" w:eastAsia="en-US" w:bidi="ar-SA"/>
              </w:rPr>
              <w:t xml:space="preserve"> (an honest and reasonable mistake of age is an affirmative defense to serving alcohol to minors).</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Maryland has not addressed whether mistake of fact can apply to all mens rea offenses (i.e., to all non strict liability offenses), or whether it is limited to specific intent offenses. Even though mistake of fact issues most frequently arise with specific intent offenses, it is not so limited in other jurisdictions. </w:t>
            </w:r>
            <w:r>
              <w:rPr>
                <w:rFonts w:ascii="arial" w:eastAsia="arial" w:hAnsi="arial" w:cs="arial"/>
                <w:i/>
                <w:color w:val="000000"/>
                <w:sz w:val="20"/>
                <w:lang w:val="en-US" w:eastAsia="en-US" w:bidi="ar-SA"/>
              </w:rPr>
              <w:t xml:space="preserve">See, e.g., </w:t>
            </w:r>
            <w:hyperlink r:id="rId174" w:history="1">
              <w:r>
                <w:rPr>
                  <w:rFonts w:ascii="arial" w:eastAsia="arial" w:hAnsi="arial" w:cs="arial"/>
                  <w:i/>
                  <w:color w:val="0077CC"/>
                  <w:sz w:val="20"/>
                  <w:u w:val="single"/>
                  <w:lang w:val="en-US" w:eastAsia="en-US" w:bidi="ar-SA"/>
                </w:rPr>
                <w:t>In re Mario Y., 75 A.D.2d 954,</w:t>
              </w:r>
            </w:hyperlink>
            <w:r>
              <w:rPr>
                <w:rFonts w:ascii="arial" w:eastAsia="arial" w:hAnsi="arial" w:cs="arial"/>
                <w:color w:val="000000"/>
                <w:sz w:val="20"/>
                <w:lang w:val="en-US" w:eastAsia="en-US" w:bidi="ar-SA"/>
              </w:rPr>
              <w:t xml:space="preserve"> (N.Y. App. Div. 1980) (applying a statute permitting mistake of fact to negate reckless endangerment); </w:t>
            </w:r>
            <w:hyperlink r:id="rId175" w:history="1">
              <w:r>
                <w:rPr>
                  <w:rFonts w:ascii="arial" w:eastAsia="arial" w:hAnsi="arial" w:cs="arial"/>
                  <w:i/>
                  <w:color w:val="0077CC"/>
                  <w:sz w:val="20"/>
                  <w:u w:val="single"/>
                  <w:lang w:val="en-US" w:eastAsia="en-US" w:bidi="ar-SA"/>
                </w:rPr>
                <w:t>People v. Stuart, 302 P.2d 5 (Cal. 1956)</w:t>
              </w:r>
            </w:hyperlink>
            <w:r>
              <w:rPr>
                <w:rFonts w:ascii="arial" w:eastAsia="arial" w:hAnsi="arial" w:cs="arial"/>
                <w:color w:val="000000"/>
                <w:sz w:val="20"/>
                <w:lang w:val="en-US" w:eastAsia="en-US" w:bidi="ar-SA"/>
              </w:rPr>
              <w:t xml:space="preserve"> (mistake of fact precludes the culpable negligence needed for involuntary manslaughter); NEW YORK JURY CHARGES IN CRIMINAL CASES § 5.50 (West 2010) ("negatives the culpable mental state required"); COLORADO CRIMINAL PATTERN JURY INSTRUCTIONS 7:02 ("due to this mistaken belief by the defendant he did not form the particular mental state required"); MISSOURI APPROVED CRIMINAL INSTRUCTIONS 2.37.1 (mistake of fact negating criminal negligence); </w:t>
            </w:r>
            <w:r>
              <w:rPr>
                <w:rFonts w:ascii="arial" w:eastAsia="arial" w:hAnsi="arial" w:cs="arial"/>
                <w:i/>
                <w:color w:val="000000"/>
                <w:sz w:val="20"/>
                <w:lang w:val="en-US" w:eastAsia="en-US" w:bidi="ar-SA"/>
              </w:rPr>
              <w:t>id</w:t>
            </w:r>
            <w:r>
              <w:rPr>
                <w:rFonts w:ascii="arial" w:eastAsia="arial" w:hAnsi="arial" w:cs="arial"/>
                <w:color w:val="000000"/>
                <w:sz w:val="20"/>
                <w:lang w:val="en-US" w:eastAsia="en-US" w:bidi="ar-SA"/>
              </w:rPr>
              <w:t xml:space="preserve">. 2.37.3 (knowledge). </w:t>
            </w:r>
            <w:r>
              <w:rPr>
                <w:rFonts w:ascii="arial" w:eastAsia="arial" w:hAnsi="arial" w:cs="arial"/>
                <w:i/>
                <w:color w:val="000000"/>
                <w:sz w:val="20"/>
                <w:lang w:val="en-US" w:eastAsia="en-US" w:bidi="ar-SA"/>
              </w:rPr>
              <w:t>But cf</w:t>
            </w:r>
            <w:r>
              <w:rPr>
                <w:rFonts w:ascii="arial" w:eastAsia="arial" w:hAnsi="arial" w:cs="arial"/>
                <w:color w:val="000000"/>
                <w:sz w:val="20"/>
                <w:lang w:val="en-US" w:eastAsia="en-US" w:bidi="ar-SA"/>
              </w:rPr>
              <w:t>. D.C. CRIMINAL JURY INSTRUCTIONS 5.03 (defense of claim of right applies to specific intent offenses only).</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If the offense is theft under CRIM. LAW I § 7-104, mistake of fact is contained within two of the defenses. </w:t>
            </w:r>
            <w:r>
              <w:rPr>
                <w:rFonts w:ascii="arial" w:eastAsia="arial" w:hAnsi="arial" w:cs="arial"/>
                <w:i/>
                <w:color w:val="000000"/>
                <w:sz w:val="20"/>
                <w:lang w:val="en-US" w:eastAsia="en-US" w:bidi="ar-SA"/>
              </w:rPr>
              <w:t>Id.</w:t>
            </w:r>
            <w:r>
              <w:rPr>
                <w:rFonts w:ascii="arial" w:eastAsia="arial" w:hAnsi="arial" w:cs="arial"/>
                <w:color w:val="000000"/>
                <w:sz w:val="20"/>
                <w:lang w:val="en-US" w:eastAsia="en-US" w:bidi="ar-SA"/>
              </w:rPr>
              <w:t xml:space="preserve"> § 7-110 (claim of right and honest belief). Under these statutory defenses, the defendant's mistake is sufficient if honest, even though not reasonable, because a mere honest belief goes to "whether the defendant possessed the requisite mens rea to commit the offense of theft." </w:t>
            </w:r>
            <w:hyperlink r:id="rId176" w:history="1">
              <w:r>
                <w:rPr>
                  <w:rFonts w:ascii="arial" w:eastAsia="arial" w:hAnsi="arial" w:cs="arial"/>
                  <w:i/>
                  <w:color w:val="0077CC"/>
                  <w:sz w:val="20"/>
                  <w:u w:val="single"/>
                  <w:lang w:val="en-US" w:eastAsia="en-US" w:bidi="ar-SA"/>
                </w:rPr>
                <w:t>Sibert v. State, 301 Md. 141, 147, 482 A.2d 483, 486 (1984)</w:t>
              </w:r>
            </w:hyperlink>
            <w:r>
              <w:rPr>
                <w:rFonts w:ascii="arial" w:eastAsia="arial" w:hAnsi="arial" w:cs="arial"/>
                <w:color w:val="000000"/>
                <w:sz w:val="20"/>
                <w:lang w:val="en-US" w:eastAsia="en-US" w:bidi="ar-SA"/>
              </w:rPr>
              <w:t xml:space="preserve"> (quoting Joint Subcommittee on Theft Related Offenses, Revision of Maryland Theft Laws and Bad Check Laws 53 (1978)). </w:t>
            </w:r>
            <w:r>
              <w:rPr>
                <w:rFonts w:ascii="arial" w:eastAsia="arial" w:hAnsi="arial" w:cs="arial"/>
                <w:i/>
                <w:color w:val="000000"/>
                <w:sz w:val="20"/>
                <w:lang w:val="en-US" w:eastAsia="en-US" w:bidi="ar-SA"/>
              </w:rPr>
              <w:t xml:space="preserve">But see </w:t>
            </w:r>
            <w:hyperlink r:id="rId177" w:history="1">
              <w:r>
                <w:rPr>
                  <w:rFonts w:ascii="arial" w:eastAsia="arial" w:hAnsi="arial" w:cs="arial"/>
                  <w:i/>
                  <w:color w:val="0077CC"/>
                  <w:sz w:val="20"/>
                  <w:u w:val="single"/>
                  <w:lang w:val="en-US" w:eastAsia="en-US" w:bidi="ar-SA"/>
                </w:rPr>
                <w:t>Cates v. State, 21 Md. App. 363, 320 A.2d 75 (1974)</w:t>
              </w:r>
            </w:hyperlink>
            <w:r>
              <w:rPr>
                <w:rFonts w:ascii="arial" w:eastAsia="arial" w:hAnsi="arial" w:cs="arial"/>
                <w:color w:val="000000"/>
                <w:sz w:val="20"/>
                <w:lang w:val="en-US" w:eastAsia="en-US" w:bidi="ar-SA"/>
              </w:rPr>
              <w:t xml:space="preserve"> (rejecting self-help, based on a claim of right, as a defense to robbery).</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Mistake of law, as distinguished from mistake of fact, is almost never a defense. LAFAVE,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 5.6, at 307-18; PERKINS &amp; BOYCE,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1028-43; </w:t>
            </w:r>
            <w:r>
              <w:rPr>
                <w:rFonts w:ascii="arial" w:eastAsia="arial" w:hAnsi="arial" w:cs="arial"/>
                <w:i/>
                <w:color w:val="000000"/>
                <w:sz w:val="20"/>
                <w:lang w:val="en-US" w:eastAsia="en-US" w:bidi="ar-SA"/>
              </w:rPr>
              <w:t>see, e</w:t>
            </w: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 xml:space="preserve">g., </w:t>
            </w:r>
            <w:hyperlink r:id="rId178" w:history="1">
              <w:r>
                <w:rPr>
                  <w:rFonts w:ascii="arial" w:eastAsia="arial" w:hAnsi="arial" w:cs="arial"/>
                  <w:i/>
                  <w:color w:val="0077CC"/>
                  <w:sz w:val="20"/>
                  <w:u w:val="single"/>
                  <w:lang w:val="en-US" w:eastAsia="en-US" w:bidi="ar-SA"/>
                </w:rPr>
                <w:t>Hopkins v. State, 193 Md. 489, 69 A.2d 456 (1949),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appeal dismissed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339 U.S. 940 (1950)</w:t>
            </w:r>
            <w:r>
              <w:rPr>
                <w:rFonts w:ascii="arial" w:eastAsia="arial" w:hAnsi="arial" w:cs="arial"/>
                <w:color w:val="000000"/>
                <w:sz w:val="20"/>
                <w:lang w:val="en-US" w:eastAsia="en-US" w:bidi="ar-SA"/>
              </w:rPr>
              <w:t xml:space="preserve"> (advice given by a public official that the conduct was permissible did not excuse the conduct). There may be a close question regarding whether the mistake is one of law or fact. </w:t>
            </w:r>
            <w:r>
              <w:rPr>
                <w:rFonts w:ascii="arial" w:eastAsia="arial" w:hAnsi="arial" w:cs="arial"/>
                <w:i/>
                <w:color w:val="000000"/>
                <w:sz w:val="20"/>
                <w:lang w:val="en-US" w:eastAsia="en-US" w:bidi="ar-SA"/>
              </w:rPr>
              <w:t>See, e.g.</w:t>
            </w:r>
            <w:r>
              <w:rPr>
                <w:rFonts w:ascii="arial" w:eastAsia="arial" w:hAnsi="arial" w:cs="arial"/>
                <w:color w:val="000000"/>
                <w:sz w:val="20"/>
                <w:lang w:val="en-US" w:eastAsia="en-US" w:bidi="ar-SA"/>
              </w:rPr>
              <w:t xml:space="preserve">, </w:t>
            </w:r>
            <w:hyperlink r:id="rId169" w:history="1">
              <w:r>
                <w:rPr>
                  <w:rFonts w:ascii="arial" w:eastAsia="arial" w:hAnsi="arial" w:cs="arial"/>
                  <w:i/>
                  <w:color w:val="0077CC"/>
                  <w:sz w:val="20"/>
                  <w:u w:val="single"/>
                  <w:lang w:val="en-US" w:eastAsia="en-US" w:bidi="ar-SA"/>
                </w:rPr>
                <w:t>Walker v. State, 363 Md. 253, 768 A.2d 631 (2001)</w:t>
              </w:r>
            </w:hyperlink>
            <w:r>
              <w:rPr>
                <w:rFonts w:ascii="arial" w:eastAsia="arial" w:hAnsi="arial" w:cs="arial"/>
                <w:color w:val="000000"/>
                <w:sz w:val="20"/>
                <w:lang w:val="en-US" w:eastAsia="en-US" w:bidi="ar-SA"/>
              </w:rPr>
              <w:t xml:space="preserve"> (reasonable mistake of fact concerning age is not a defense under statute proscribing carnal knowledge between a 14 or 15 year old victim and a defendant who is age 21 or older); </w:t>
            </w:r>
            <w:hyperlink r:id="rId167" w:history="1">
              <w:r>
                <w:rPr>
                  <w:rFonts w:ascii="arial" w:eastAsia="arial" w:hAnsi="arial" w:cs="arial"/>
                  <w:i/>
                  <w:color w:val="0077CC"/>
                  <w:sz w:val="20"/>
                  <w:u w:val="single"/>
                  <w:lang w:val="en-US" w:eastAsia="en-US" w:bidi="ar-SA"/>
                </w:rPr>
                <w:t>Braun, 230 Md. at 90, 185 A.2d at 909</w:t>
              </w:r>
            </w:hyperlink>
            <w:r>
              <w:rPr>
                <w:rFonts w:ascii="arial" w:eastAsia="arial" w:hAnsi="arial" w:cs="arial"/>
                <w:color w:val="000000"/>
                <w:sz w:val="20"/>
                <w:lang w:val="en-US" w:eastAsia="en-US" w:bidi="ar-SA"/>
              </w:rPr>
              <w:t xml:space="preserve"> (court left open whether belief that spouse had obtained divorce was a question of fact or law in the crime of bigamy); </w:t>
            </w:r>
            <w:hyperlink r:id="rId179" w:history="1">
              <w:r>
                <w:rPr>
                  <w:rFonts w:ascii="arial" w:eastAsia="arial" w:hAnsi="arial" w:cs="arial"/>
                  <w:i/>
                  <w:color w:val="0077CC"/>
                  <w:sz w:val="20"/>
                  <w:u w:val="single"/>
                  <w:lang w:val="en-US" w:eastAsia="en-US" w:bidi="ar-SA"/>
                </w:rPr>
                <w:t>Marquadt v. State, 164 Md. App. 95, 882 A.2d 900 (2005)</w:t>
              </w:r>
            </w:hyperlink>
            <w:r>
              <w:rPr>
                <w:rFonts w:ascii="arial" w:eastAsia="arial" w:hAnsi="arial" w:cs="arial"/>
                <w:color w:val="000000"/>
                <w:sz w:val="20"/>
                <w:lang w:val="en-US" w:eastAsia="en-US" w:bidi="ar-SA"/>
              </w:rPr>
              <w:t xml:space="preserve"> (denial of an instruction on mistake of fact is valid where the mistake of fact defense relies on a necessity defense that has already failed).</w:t>
            </w:r>
          </w:p>
          <w:p>
            <w:pPr>
              <w:spacing w:after="120"/>
              <w:rPr>
                <w:lang w:val="en-US" w:eastAsia="en-US" w:bidi="ar-SA"/>
              </w:rPr>
            </w:pPr>
          </w:p>
        </w:tc>
      </w:tr>
    </w:tbl>
    <w:p>
      <w:pPr>
        <w:spacing w:before="60" w:line="260" w:lineRule="atLeast"/>
        <w:ind w:left="720"/>
        <w:jc w:val="both"/>
        <w:rPr>
          <w:lang w:val="en-US" w:eastAsia="en-US" w:bidi="ar-SA"/>
        </w:rPr>
      </w:pPr>
      <w:r>
        <w:rPr>
          <w:rFonts w:ascii="arial" w:eastAsia="arial" w:hAnsi="arial" w:cs="arial"/>
          <w:color w:val="000000"/>
          <w:sz w:val="20"/>
          <w:lang w:val="en-US" w:eastAsia="en-US" w:bidi="ar-SA"/>
        </w:rPr>
        <w:t>#MICPEL#</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Source:</w:t>
      </w:r>
      <w:r>
        <w:rPr>
          <w:rFonts w:ascii="arial" w:eastAsia="arial" w:hAnsi="arial" w:cs="arial"/>
          <w:color w:val="000000"/>
          <w:sz w:val="20"/>
          <w:lang w:val="en-US" w:eastAsia="en-US" w:bidi="ar-SA"/>
        </w:rPr>
        <w:t> MICPEL</w:t>
      </w:r>
    </w:p>
    <w:p>
      <w:pPr>
        <w:spacing w:before="240" w:line="220" w:lineRule="atLeast"/>
        <w:rPr>
          <w:lang w:val="en-US" w:eastAsia="en-US" w:bidi="ar-SA"/>
        </w:rPr>
      </w:pPr>
      <w:r>
        <w:rPr>
          <w:rFonts w:ascii="arial" w:eastAsia="arial" w:hAnsi="arial" w:cs="arial"/>
          <w:color w:val="000000"/>
          <w:sz w:val="16"/>
          <w:lang w:val="en-US" w:eastAsia="en-US" w:bidi="ar-SA"/>
        </w:rPr>
        <w:t>Maryland Criminal Pattern Jury Instructions</w:t>
      </w:r>
    </w:p>
    <w:p>
      <w:pPr>
        <w:spacing w:line="220" w:lineRule="atLeast"/>
        <w:rPr>
          <w:lang w:val="en-US" w:eastAsia="en-US" w:bidi="ar-SA"/>
        </w:rPr>
      </w:pPr>
      <w:r>
        <w:rPr>
          <w:rFonts w:ascii="arial" w:eastAsia="arial" w:hAnsi="arial" w:cs="arial"/>
          <w:color w:val="000000"/>
          <w:sz w:val="16"/>
          <w:lang w:val="en-US" w:eastAsia="en-US" w:bidi="ar-SA"/>
        </w:rPr>
        <w:t>Copyright 2018 by The Maryland State Bar Association, Inc.</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6" style="position:absolute;z-index:251678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0"/>
          <w:headerReference w:type="default" r:id="rId181"/>
          <w:footerReference w:type="even" r:id="rId182"/>
          <w:footerReference w:type="default" r:id="rId183"/>
          <w:headerReference w:type="first" r:id="rId184"/>
          <w:footerReference w:type="first" r:id="rId185"/>
          <w:type w:val="nextPage"/>
          <w:pgSz w:w="12240" w:h="15840"/>
          <w:pgMar w:top="840" w:right="1000" w:bottom="840" w:left="1000" w:header="400" w:footer="400"/>
          <w:pgNumType w:fmt="decimal"/>
          <w:cols w:space="720"/>
          <w:titlePg/>
        </w:sectPr>
      </w:pPr>
    </w:p>
    <w:p>
      <w:pPr>
        <w:rPr>
          <w:lang w:val="en-US" w:eastAsia="en-US" w:bidi="ar-SA"/>
        </w:rPr>
      </w:pPr>
      <w:bookmarkStart w:id="9" w:name="Bookmark_10"/>
      <w:bookmarkEnd w:id="9"/>
    </w:p>
    <w:p>
      <w:pPr>
        <w:rPr>
          <w:lang w:val="en-US" w:eastAsia="en-US" w:bidi="ar-SA"/>
        </w:rPr>
      </w:pPr>
      <w:r>
        <w:pict>
          <v:shape id="_x0000_i1057" type="#_x0000_t75" alt="LexisNexis®" style="width:147.77pt;height:30pt">
            <v:imagedata r:id="rId4" o:title=""/>
          </v:shape>
        </w:pict>
      </w:r>
      <w:r>
        <w:rPr>
          <w:lang w:val="en-US" w:eastAsia="en-US" w:bidi="ar-SA"/>
        </w:rPr>
        <w:cr/>
      </w:r>
    </w:p>
    <w:p>
      <w:pPr>
        <w:spacing w:before="240" w:after="200" w:line="340" w:lineRule="atLeast"/>
        <w:jc w:val="center"/>
        <w:outlineLvl w:val="0"/>
        <w:rPr>
          <w:rFonts w:ascii="Arial" w:hAnsi="Arial" w:cs="Arial"/>
          <w:b/>
          <w:bCs/>
          <w:kern w:val="32"/>
          <w:sz w:val="32"/>
          <w:szCs w:val="32"/>
          <w:lang w:val="en-US" w:eastAsia="en-US" w:bidi="ar-SA"/>
        </w:rPr>
      </w:pPr>
      <w:hyperlink r:id="rId186" w:history="1">
        <w:r>
          <w:rPr>
            <w:rFonts w:ascii="arial" w:eastAsia="arial" w:hAnsi="arial" w:cs="arial"/>
            <w:b/>
            <w:bCs/>
            <w:i/>
            <w:color w:val="0077CC"/>
            <w:kern w:val="32"/>
            <w:sz w:val="28"/>
            <w:szCs w:val="32"/>
            <w:u w:val="single"/>
            <w:lang w:val="en-US" w:eastAsia="en-US" w:bidi="ar-SA"/>
          </w:rPr>
          <w:t>MPJI-Cr 5:07</w:t>
        </w:r>
      </w:hyperlink>
    </w:p>
    <w:p>
      <w:pPr>
        <w:spacing w:line="240" w:lineRule="atLeast"/>
        <w:jc w:val="both"/>
        <w:rPr>
          <w:lang w:val="en-US" w:eastAsia="en-US" w:bidi="ar-SA"/>
        </w:rPr>
      </w:pPr>
    </w:p>
    <w:p>
      <w:pPr>
        <w:spacing w:before="200" w:line="280" w:lineRule="atLeast"/>
        <w:rPr>
          <w:lang w:val="en-US" w:eastAsia="en-US" w:bidi="ar-SA"/>
        </w:rPr>
      </w:pPr>
      <w:r>
        <w:rPr>
          <w:rFonts w:ascii="arial" w:eastAsia="arial" w:hAnsi="arial" w:cs="arial"/>
          <w:b/>
          <w:i/>
          <w:color w:val="000000"/>
          <w:sz w:val="22"/>
          <w:lang w:val="en-US" w:eastAsia="en-US" w:bidi="ar-SA"/>
        </w:rPr>
        <w:t>Maryland Criminal Pattern Jury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CHAPTER 5 DEFENSES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SELF-DEFENSE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5:07Self-Defense</w:t>
      </w:r>
    </w:p>
    <w:p>
      <w:pPr>
        <w:spacing w:line="60" w:lineRule="exact"/>
        <w:rPr>
          <w:lang w:val="en-US" w:eastAsia="en-US" w:bidi="ar-SA"/>
        </w:rPr>
      </w:pPr>
      <w:r>
        <w:pict>
          <v:line id="_x0000_s1058" style="position:absolute;z-index:2516674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color w:val="000000"/>
          <w:sz w:val="20"/>
          <w:lang w:val="en-US" w:eastAsia="en-US" w:bidi="ar-SA"/>
        </w:rPr>
        <w:t>You have heard evidence that the defendant acted in self-defense. Self-defense is a complete defense and you are required to find the defendant not guilty if all of the following four factors are present</w:t>
      </w:r>
      <w:r>
        <w:rPr>
          <w:rFonts w:ascii="arial" w:eastAsia="arial" w:hAnsi="arial" w:cs="arial"/>
          <w:color w:val="000000"/>
          <w:sz w:val="20"/>
          <w:lang w:val="en-US" w:eastAsia="en-US" w:bidi="ar-SA"/>
        </w:rPr>
        <w:t>:</w:t>
      </w:r>
    </w:p>
    <w:p>
      <w:pPr>
        <w:spacing w:before="200" w:line="260" w:lineRule="atLeast"/>
        <w:ind w:left="400"/>
        <w:jc w:val="both"/>
        <w:rPr>
          <w:lang w:val="en-US" w:eastAsia="en-US" w:bidi="ar-SA"/>
        </w:rPr>
      </w:pPr>
      <w:r>
        <w:rPr>
          <w:rFonts w:ascii="arial" w:eastAsia="arial" w:hAnsi="arial" w:cs="arial"/>
          <w:b/>
          <w:color w:val="000000"/>
          <w:sz w:val="20"/>
          <w:lang w:val="en-US" w:eastAsia="en-US" w:bidi="ar-SA"/>
        </w:rPr>
        <w:t>(1) the defendant was not the aggressor [[or, although the defendant was the initial aggressor, [he] [she] did not raise the fight to the deadly force level]]</w:t>
      </w:r>
      <w:r>
        <w:rPr>
          <w:rFonts w:ascii="arial" w:eastAsia="arial" w:hAnsi="arial" w:cs="arial"/>
          <w:color w:val="000000"/>
          <w:sz w:val="20"/>
          <w:lang w:val="en-US" w:eastAsia="en-US" w:bidi="ar-SA"/>
        </w:rPr>
        <w:t>;</w:t>
      </w:r>
    </w:p>
    <w:p>
      <w:pPr>
        <w:spacing w:before="200" w:line="260" w:lineRule="atLeast"/>
        <w:ind w:left="400"/>
        <w:jc w:val="both"/>
        <w:rPr>
          <w:lang w:val="en-US" w:eastAsia="en-US" w:bidi="ar-SA"/>
        </w:rPr>
      </w:pPr>
      <w:r>
        <w:rPr>
          <w:rFonts w:ascii="arial" w:eastAsia="arial" w:hAnsi="arial" w:cs="arial"/>
          <w:b/>
          <w:color w:val="000000"/>
          <w:sz w:val="20"/>
          <w:lang w:val="en-US" w:eastAsia="en-US" w:bidi="ar-SA"/>
        </w:rPr>
        <w:t>(2) the defendant actually believed that [he] [she] was in immediate or imminent danger of bodily harm</w:t>
      </w:r>
      <w:r>
        <w:rPr>
          <w:rFonts w:ascii="arial" w:eastAsia="arial" w:hAnsi="arial" w:cs="arial"/>
          <w:color w:val="000000"/>
          <w:sz w:val="20"/>
          <w:lang w:val="en-US" w:eastAsia="en-US" w:bidi="ar-SA"/>
        </w:rPr>
        <w:t>;</w:t>
      </w:r>
    </w:p>
    <w:p>
      <w:pPr>
        <w:spacing w:before="200" w:line="260" w:lineRule="atLeast"/>
        <w:ind w:left="400"/>
        <w:jc w:val="both"/>
        <w:rPr>
          <w:lang w:val="en-US" w:eastAsia="en-US" w:bidi="ar-SA"/>
        </w:rPr>
      </w:pPr>
      <w:r>
        <w:rPr>
          <w:rFonts w:ascii="arial" w:eastAsia="arial" w:hAnsi="arial" w:cs="arial"/>
          <w:b/>
          <w:color w:val="000000"/>
          <w:sz w:val="20"/>
          <w:lang w:val="en-US" w:eastAsia="en-US" w:bidi="ar-SA"/>
        </w:rPr>
        <w:t>(3) the defendant's belief was reasonable</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and</w:t>
      </w:r>
    </w:p>
    <w:p>
      <w:pPr>
        <w:spacing w:before="200" w:line="260" w:lineRule="atLeast"/>
        <w:ind w:left="400"/>
        <w:jc w:val="both"/>
        <w:rPr>
          <w:lang w:val="en-US" w:eastAsia="en-US" w:bidi="ar-SA"/>
        </w:rPr>
      </w:pPr>
      <w:r>
        <w:rPr>
          <w:rFonts w:ascii="arial" w:eastAsia="arial" w:hAnsi="arial" w:cs="arial"/>
          <w:b/>
          <w:color w:val="000000"/>
          <w:sz w:val="20"/>
          <w:lang w:val="en-US" w:eastAsia="en-US" w:bidi="ar-SA"/>
        </w:rPr>
        <w:t>(4) the defendant used no more force than was reasonably necessary to defend [himself] [herself] in light of the threatened or actual harm</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color w:val="000000"/>
          <w:sz w:val="20"/>
          <w:lang w:val="en-US" w:eastAsia="en-US" w:bidi="ar-SA"/>
        </w:rPr>
        <w:t>[Deadly force is that amount of force reasonably calculated to cause death or serious bodily harm. If you find that the defendant used deadly-force, you must decide whether the use of deadly-force was reasonable. Deadly force is reasonable if the defendant actually had a reasonable belief that the aggressor's force posed an immediate or imminent threat of death or serious bodily harm.]</w:t>
      </w:r>
    </w:p>
    <w:p>
      <w:pPr>
        <w:spacing w:before="200" w:line="260" w:lineRule="atLeast"/>
        <w:jc w:val="both"/>
        <w:rPr>
          <w:lang w:val="en-US" w:eastAsia="en-US" w:bidi="ar-SA"/>
        </w:rPr>
      </w:pPr>
      <w:r>
        <w:rPr>
          <w:rFonts w:ascii="arial" w:eastAsia="arial" w:hAnsi="arial" w:cs="arial"/>
          <w:b/>
          <w:color w:val="000000"/>
          <w:sz w:val="20"/>
          <w:lang w:val="en-US" w:eastAsia="en-US" w:bidi="ar-SA"/>
        </w:rPr>
        <w:t>[[In addition, before using deadly-force, the defendant is required to make a reasonable effort to retreat. The defendant does not have to retreat if [the defendant was in [his] [her] home], [retreat was unsafe], [the avenue of retreat was unknown to the defendant], [the defendant was being robbed], [the defendant was lawfully arresting the victim]]. [If you find that the defendant did not use deadly-force, then the defendant had no duty to retreat.]</w:t>
      </w:r>
    </w:p>
    <w:p>
      <w:pPr>
        <w:spacing w:before="200" w:line="260" w:lineRule="atLeast"/>
        <w:jc w:val="both"/>
        <w:rPr>
          <w:lang w:val="en-US" w:eastAsia="en-US" w:bidi="ar-SA"/>
        </w:rPr>
      </w:pPr>
      <w:r>
        <w:rPr>
          <w:rFonts w:ascii="arial" w:eastAsia="arial" w:hAnsi="arial" w:cs="arial"/>
          <w:b/>
          <w:color w:val="000000"/>
          <w:sz w:val="20"/>
          <w:lang w:val="en-US" w:eastAsia="en-US" w:bidi="ar-SA"/>
        </w:rPr>
        <w:t>In order to convict the defendant, the State must prove that self-defense does not apply in this case. This means that you are required to find the defendant not guilty, unless the State has persuaded you, beyond a reasonable doubt, that at least one of the four factors of complete self-defense was absent</w:t>
      </w:r>
      <w:r>
        <w:rPr>
          <w:rFonts w:ascii="arial" w:eastAsia="arial" w:hAnsi="arial" w:cs="arial"/>
          <w:color w:val="000000"/>
          <w:sz w:val="20"/>
          <w:lang w:val="en-US" w:eastAsia="en-US" w:bidi="ar-SA"/>
        </w:rPr>
        <w:t>.</w:t>
      </w:r>
    </w:p>
    <w:p>
      <w:pPr>
        <w:rPr>
          <w:lang w:val="en-US" w:eastAsia="en-US" w:bidi="ar-SA"/>
        </w:rPr>
      </w:pPr>
    </w:p>
    <w:tbl>
      <w:tblPr>
        <w:tblStyle w:val="TableNormal"/>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
      <w:tblGrid>
        <w:gridCol w:w="10240"/>
      </w:tblGrid>
      <w:tr>
        <w:tblPrEx>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Ex>
        <w:tc>
          <w:tcPr>
            <w:tcW w:w="10240" w:type="dxa"/>
            <w:vAlign w:val="center"/>
          </w:tcPr>
          <w:p>
            <w:pPr>
              <w:spacing w:before="240" w:line="260" w:lineRule="atLeast"/>
              <w:ind w:left="60" w:right="360"/>
              <w:rPr>
                <w:lang w:val="en-US" w:eastAsia="en-US" w:bidi="ar-SA"/>
              </w:rPr>
            </w:pPr>
            <w:r>
              <w:rPr>
                <w:rFonts w:ascii="arial" w:eastAsia="arial" w:hAnsi="arial" w:cs="arial"/>
                <w:b/>
                <w:color w:val="000000"/>
                <w:sz w:val="20"/>
                <w:lang w:val="en-US" w:eastAsia="en-US" w:bidi="ar-SA"/>
              </w:rPr>
              <w:t> </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COMMENT</w:t>
            </w:r>
          </w:p>
          <w:p>
            <w:pPr>
              <w:spacing w:before="200" w:line="260" w:lineRule="atLeast"/>
              <w:ind w:left="60" w:right="360"/>
              <w:jc w:val="both"/>
              <w:rPr>
                <w:lang w:val="en-US" w:eastAsia="en-US" w:bidi="ar-SA"/>
              </w:rPr>
            </w:pPr>
            <w:r>
              <w:rPr>
                <w:rFonts w:ascii="arial" w:eastAsia="arial" w:hAnsi="arial" w:cs="arial"/>
                <w:i/>
                <w:color w:val="000000"/>
                <w:sz w:val="20"/>
                <w:lang w:val="en-US" w:eastAsia="en-US" w:bidi="ar-SA"/>
              </w:rPr>
              <w:t>See</w:t>
            </w:r>
            <w:r>
              <w:rPr>
                <w:rFonts w:ascii="arial" w:eastAsia="arial" w:hAnsi="arial" w:cs="arial"/>
                <w:color w:val="000000"/>
                <w:sz w:val="20"/>
                <w:lang w:val="en-US" w:eastAsia="en-US" w:bidi="ar-SA"/>
              </w:rPr>
              <w:t xml:space="preserve"> Comment to MPJI-Cr 4:17.2 (Homicide--First Degree Premeditated Murder, Second Degree Specific Intent Murder and Voluntary Manslaughter (Perfect/Imperfect Self-Defense and Perfect/Imperfect Defense of Habitation)).</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Self-defense may be a defense to all assaultive crimes. </w:t>
            </w:r>
            <w:r>
              <w:rPr>
                <w:rFonts w:ascii="arial" w:eastAsia="arial" w:hAnsi="arial" w:cs="arial"/>
                <w:i/>
                <w:color w:val="000000"/>
                <w:sz w:val="20"/>
                <w:lang w:val="en-US" w:eastAsia="en-US" w:bidi="ar-SA"/>
              </w:rPr>
              <w:t xml:space="preserve">See, e.g., </w:t>
            </w:r>
            <w:hyperlink r:id="rId187" w:history="1">
              <w:r>
                <w:rPr>
                  <w:rFonts w:ascii="arial" w:eastAsia="arial" w:hAnsi="arial" w:cs="arial"/>
                  <w:i/>
                  <w:color w:val="0077CC"/>
                  <w:sz w:val="20"/>
                  <w:u w:val="single"/>
                  <w:lang w:val="en-US" w:eastAsia="en-US" w:bidi="ar-SA"/>
                </w:rPr>
                <w:t>Wilson v. State, 422 Md. 533, 30 A.3d 955 (2011)</w:t>
              </w:r>
            </w:hyperlink>
            <w:r>
              <w:rPr>
                <w:rFonts w:ascii="arial" w:eastAsia="arial" w:hAnsi="arial" w:cs="arial"/>
                <w:color w:val="000000"/>
                <w:sz w:val="20"/>
                <w:lang w:val="en-US" w:eastAsia="en-US" w:bidi="ar-SA"/>
              </w:rPr>
              <w:t xml:space="preserve"> ("some evidence" of subjective belief by defendant that he was at immediate risk of death or serious bodily harm will suffice to present the issue of imperfect self-defense to the jury even though court may think "overwhelming evidence" is to the contrary); </w:t>
            </w:r>
            <w:hyperlink r:id="rId70" w:history="1">
              <w:r>
                <w:rPr>
                  <w:rFonts w:ascii="arial" w:eastAsia="arial" w:hAnsi="arial" w:cs="arial"/>
                  <w:i/>
                  <w:color w:val="0077CC"/>
                  <w:sz w:val="20"/>
                  <w:u w:val="single"/>
                  <w:lang w:val="en-US" w:eastAsia="en-US" w:bidi="ar-SA"/>
                </w:rPr>
                <w:t>Christian v. State, 405 Md. 306, 951 A.2d 832 (2008)</w:t>
              </w:r>
            </w:hyperlink>
            <w:r>
              <w:rPr>
                <w:rFonts w:ascii="arial" w:eastAsia="arial" w:hAnsi="arial" w:cs="arial"/>
                <w:color w:val="000000"/>
                <w:sz w:val="20"/>
                <w:lang w:val="en-US" w:eastAsia="en-US" w:bidi="ar-SA"/>
              </w:rPr>
              <w:t xml:space="preserve"> (perfect self-defense is a defense to assault and imperfect self-defense can mitigate first degree assault to second degree assault); </w:t>
            </w:r>
            <w:hyperlink r:id="rId188" w:history="1">
              <w:r>
                <w:rPr>
                  <w:rFonts w:ascii="arial" w:eastAsia="arial" w:hAnsi="arial" w:cs="arial"/>
                  <w:i/>
                  <w:color w:val="0077CC"/>
                  <w:sz w:val="20"/>
                  <w:u w:val="single"/>
                  <w:lang w:val="en-US" w:eastAsia="en-US" w:bidi="ar-SA"/>
                </w:rPr>
                <w:t>Jones v. State, 357 Md. 408, 745 A.2d 396 (2000)</w:t>
              </w:r>
            </w:hyperlink>
            <w:r>
              <w:rPr>
                <w:rFonts w:ascii="arial" w:eastAsia="arial" w:hAnsi="arial" w:cs="arial"/>
                <w:color w:val="000000"/>
                <w:sz w:val="20"/>
                <w:lang w:val="en-US" w:eastAsia="en-US" w:bidi="ar-SA"/>
              </w:rPr>
              <w:t xml:space="preserve"> (reckless endangerment); </w:t>
            </w:r>
            <w:hyperlink r:id="rId189" w:history="1">
              <w:r>
                <w:rPr>
                  <w:rFonts w:ascii="arial" w:eastAsia="arial" w:hAnsi="arial" w:cs="arial"/>
                  <w:i/>
                  <w:color w:val="0077CC"/>
                  <w:sz w:val="20"/>
                  <w:u w:val="single"/>
                  <w:lang w:val="en-US" w:eastAsia="en-US" w:bidi="ar-SA"/>
                </w:rPr>
                <w:t>Bryant v. State, 83 Md. App. 237, 574 A.2d 29 (1990)</w:t>
              </w:r>
            </w:hyperlink>
            <w:r>
              <w:rPr>
                <w:rFonts w:ascii="arial" w:eastAsia="arial" w:hAnsi="arial" w:cs="arial"/>
                <w:color w:val="000000"/>
                <w:sz w:val="20"/>
                <w:lang w:val="en-US" w:eastAsia="en-US" w:bidi="ar-SA"/>
              </w:rPr>
              <w:t xml:space="preserve"> (common law and statutory forms of homicide, assault and battery, mayhem, and attempts thereof). It requires a faultless victim, responding to assaultive aggression, with an honest and reasonable belief both as to the immediacy of the harm and the amount of force needed to prevent or terminate the harm. </w:t>
            </w:r>
            <w:r>
              <w:rPr>
                <w:rFonts w:ascii="arial" w:eastAsia="arial" w:hAnsi="arial" w:cs="arial"/>
                <w:i/>
                <w:color w:val="000000"/>
                <w:sz w:val="20"/>
                <w:lang w:val="en-US" w:eastAsia="en-US" w:bidi="ar-SA"/>
              </w:rPr>
              <w:t>See generally</w:t>
            </w:r>
            <w:r>
              <w:rPr>
                <w:rFonts w:ascii="arial" w:eastAsia="arial" w:hAnsi="arial" w:cs="arial"/>
                <w:color w:val="000000"/>
                <w:sz w:val="20"/>
                <w:lang w:val="en-US" w:eastAsia="en-US" w:bidi="ar-SA"/>
              </w:rPr>
              <w:t xml:space="preserve"> WILLIAM LAWRENCE CLARK &amp; WILLIAM LAWRENCE MARSHALL, A TREATISE ON THE LAW OF CRIMES § 7.03 (7th ed. 1967); WAYNE R. LAFAVE, CRIMINAL LAW § 10.4, at 569-80 (5th ed. 2010); RICHARD P. GILBERT &amp; CHARLES E. MOYLAN, JR., MARYLAND CRIMINAL LAW: PRACTICE AND PROCEDURE § 1.3-2, at 8-9 (1983 &amp; Supp. 1990); ROLLIN M. PERKINS &amp; RONALD N. BOYCE, CRIMINAL LAW at 1113-44 (3d ed. 1982).</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Aggressor status would preclude both a perfect self-defense and an imperfect self-defense. </w:t>
            </w:r>
            <w:hyperlink r:id="rId190" w:history="1">
              <w:r>
                <w:rPr>
                  <w:rFonts w:ascii="arial" w:eastAsia="arial" w:hAnsi="arial" w:cs="arial"/>
                  <w:i/>
                  <w:color w:val="0077CC"/>
                  <w:sz w:val="20"/>
                  <w:u w:val="single"/>
                  <w:lang w:val="en-US" w:eastAsia="en-US" w:bidi="ar-SA"/>
                </w:rPr>
                <w:t>Cunningham v. State, 58 Md. App. 249, 252-58, 473 A.2d 40, 41-44,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300 Md. 316, 477 A.2d 1195 (1984).</w:t>
            </w:r>
            <w:r>
              <w:rPr>
                <w:rFonts w:ascii="arial" w:eastAsia="arial" w:hAnsi="arial" w:cs="arial"/>
                <w:color w:val="000000"/>
                <w:sz w:val="20"/>
                <w:lang w:val="en-US" w:eastAsia="en-US" w:bidi="ar-SA"/>
              </w:rPr>
              <w:t xml:space="preserve"> In determining aggressor versus victim status, there is a fine line between the permissible conduct of arming oneself in anticipation of the need for self-defense and the impermissible conduct of placing oneself in a position to become a victim, e.g., by seeking an assaultive encounter. </w:t>
            </w:r>
            <w:r>
              <w:rPr>
                <w:rFonts w:ascii="arial" w:eastAsia="arial" w:hAnsi="arial" w:cs="arial"/>
                <w:i/>
                <w:color w:val="000000"/>
                <w:sz w:val="20"/>
                <w:lang w:val="en-US" w:eastAsia="en-US" w:bidi="ar-SA"/>
              </w:rPr>
              <w:t xml:space="preserve">Compare </w:t>
            </w:r>
            <w:hyperlink r:id="rId191" w:history="1">
              <w:r>
                <w:rPr>
                  <w:rFonts w:ascii="arial" w:eastAsia="arial" w:hAnsi="arial" w:cs="arial"/>
                  <w:i/>
                  <w:color w:val="0077CC"/>
                  <w:sz w:val="20"/>
                  <w:u w:val="single"/>
                  <w:lang w:val="en-US" w:eastAsia="en-US" w:bidi="ar-SA"/>
                </w:rPr>
                <w:t>Bennett v. State, 230 Md. 562, 188 A.2d 142 (1963)</w:t>
              </w:r>
            </w:hyperlink>
            <w:r>
              <w:rPr>
                <w:rFonts w:ascii="arial" w:eastAsia="arial" w:hAnsi="arial" w:cs="arial"/>
                <w:color w:val="000000"/>
                <w:sz w:val="20"/>
                <w:lang w:val="en-US" w:eastAsia="en-US" w:bidi="ar-SA"/>
              </w:rPr>
              <w:t xml:space="preserve"> (wife, who had been beaten frequently by spouse who cut her throat and recently threatened her life, could arm herself in anticipation of attack), </w:t>
            </w:r>
            <w:r>
              <w:rPr>
                <w:rFonts w:ascii="arial" w:eastAsia="arial" w:hAnsi="arial" w:cs="arial"/>
                <w:i/>
                <w:color w:val="000000"/>
                <w:sz w:val="20"/>
                <w:lang w:val="en-US" w:eastAsia="en-US" w:bidi="ar-SA"/>
              </w:rPr>
              <w:t xml:space="preserve">with </w:t>
            </w:r>
            <w:hyperlink r:id="rId192" w:history="1">
              <w:r>
                <w:rPr>
                  <w:rFonts w:ascii="arial" w:eastAsia="arial" w:hAnsi="arial" w:cs="arial"/>
                  <w:i/>
                  <w:color w:val="0077CC"/>
                  <w:sz w:val="20"/>
                  <w:u w:val="single"/>
                  <w:lang w:val="en-US" w:eastAsia="en-US" w:bidi="ar-SA"/>
                </w:rPr>
                <w:t>Perry v. State, 234 Md. 48, 52, 197 A.2d 833, 836 (1964)</w:t>
              </w:r>
            </w:hyperlink>
            <w:r>
              <w:rPr>
                <w:rFonts w:ascii="arial" w:eastAsia="arial" w:hAnsi="arial" w:cs="arial"/>
                <w:color w:val="000000"/>
                <w:sz w:val="20"/>
                <w:lang w:val="en-US" w:eastAsia="en-US" w:bidi="ar-SA"/>
              </w:rPr>
              <w:t xml:space="preserve"> (court should have instructed the jury that the right to arm oneself is limited to "not in any sense seeking an encounter"). </w:t>
            </w:r>
            <w:r>
              <w:rPr>
                <w:rFonts w:ascii="arial" w:eastAsia="arial" w:hAnsi="arial" w:cs="arial"/>
                <w:i/>
                <w:color w:val="000000"/>
                <w:sz w:val="20"/>
                <w:lang w:val="en-US" w:eastAsia="en-US" w:bidi="ar-SA"/>
              </w:rPr>
              <w:t xml:space="preserve">Cf. </w:t>
            </w:r>
            <w:hyperlink r:id="rId193" w:history="1">
              <w:r>
                <w:rPr>
                  <w:rFonts w:ascii="arial" w:eastAsia="arial" w:hAnsi="arial" w:cs="arial"/>
                  <w:i/>
                  <w:color w:val="0077CC"/>
                  <w:sz w:val="20"/>
                  <w:u w:val="single"/>
                  <w:lang w:val="en-US" w:eastAsia="en-US" w:bidi="ar-SA"/>
                </w:rPr>
                <w:t>Medley v. State, 52 Md. App. 225, 448 A.2d 363</w:t>
              </w:r>
            </w:hyperlink>
            <w:r>
              <w:rPr>
                <w:rFonts w:ascii="arial" w:eastAsia="arial" w:hAnsi="arial" w:cs="arial"/>
                <w:color w:val="000000"/>
                <w:sz w:val="20"/>
                <w:lang w:val="en-US" w:eastAsia="en-US" w:bidi="ar-SA"/>
              </w:rPr>
              <w:t xml:space="preserve"> (in 1972, Maryland abrogated, by statute, the common law right to carry a handgun in anticipation of future harm),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hyperlink r:id="rId194" w:history="1">
              <w:r>
                <w:rPr>
                  <w:rFonts w:ascii="arial" w:eastAsia="arial" w:hAnsi="arial" w:cs="arial"/>
                  <w:i/>
                  <w:color w:val="0077CC"/>
                  <w:sz w:val="20"/>
                  <w:u w:val="single"/>
                  <w:lang w:val="en-US" w:eastAsia="en-US" w:bidi="ar-SA"/>
                </w:rPr>
                <w:t>294 Md. 544 (1982);</w:t>
              </w:r>
            </w:hyperlink>
            <w:r>
              <w:rPr>
                <w:rFonts w:ascii="arial" w:eastAsia="arial" w:hAnsi="arial" w:cs="arial"/>
                <w:color w:val="000000"/>
                <w:sz w:val="20"/>
                <w:lang w:val="en-US" w:eastAsia="en-US" w:bidi="ar-SA"/>
              </w:rPr>
              <w:t xml:space="preserve"> </w:t>
            </w:r>
            <w:hyperlink r:id="rId195" w:history="1">
              <w:r>
                <w:rPr>
                  <w:rFonts w:ascii="arial" w:eastAsia="arial" w:hAnsi="arial" w:cs="arial"/>
                  <w:i/>
                  <w:color w:val="0077CC"/>
                  <w:sz w:val="20"/>
                  <w:u w:val="single"/>
                  <w:lang w:val="en-US" w:eastAsia="en-US" w:bidi="ar-SA"/>
                </w:rPr>
                <w:t>Rajnic v. State, 106 Md. App. 286, 664 A.2d 432 (1995).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But see </w:t>
            </w:r>
            <w:hyperlink r:id="rId94" w:history="1">
              <w:r>
                <w:rPr>
                  <w:rFonts w:ascii="arial" w:eastAsia="arial" w:hAnsi="arial" w:cs="arial"/>
                  <w:i/>
                  <w:color w:val="0077CC"/>
                  <w:sz w:val="20"/>
                  <w:u w:val="single"/>
                  <w:lang w:val="en-US" w:eastAsia="en-US" w:bidi="ar-SA"/>
                </w:rPr>
                <w:t>State v. Crawford, 308 Md. 683, 691-99, 521 A.2d 1193, 1197-1201 (1987)</w:t>
              </w:r>
            </w:hyperlink>
            <w:r>
              <w:rPr>
                <w:rFonts w:ascii="arial" w:eastAsia="arial" w:hAnsi="arial" w:cs="arial"/>
                <w:color w:val="000000"/>
                <w:sz w:val="20"/>
                <w:lang w:val="en-US" w:eastAsia="en-US" w:bidi="ar-SA"/>
              </w:rPr>
              <w:t xml:space="preserve"> (the defense of necessity may apply if five conditions are met). </w:t>
            </w:r>
            <w:r>
              <w:rPr>
                <w:rFonts w:ascii="arial" w:eastAsia="arial" w:hAnsi="arial" w:cs="arial"/>
                <w:i/>
                <w:color w:val="000000"/>
                <w:sz w:val="20"/>
                <w:lang w:val="en-US" w:eastAsia="en-US" w:bidi="ar-SA"/>
              </w:rPr>
              <w:t>See</w:t>
            </w:r>
            <w:r>
              <w:rPr>
                <w:rFonts w:ascii="arial" w:eastAsia="arial" w:hAnsi="arial" w:cs="arial"/>
                <w:color w:val="000000"/>
                <w:sz w:val="20"/>
                <w:lang w:val="en-US" w:eastAsia="en-US" w:bidi="ar-SA"/>
              </w:rPr>
              <w:t xml:space="preserve"> Comment to MPJI-Cr 5:03 (Duress).</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If the parties are mutual combatants, both are aggressors and neither is entitled to a perfect self-defense instruction. </w:t>
            </w:r>
            <w:hyperlink r:id="rId196" w:history="1">
              <w:r>
                <w:rPr>
                  <w:rFonts w:ascii="arial" w:eastAsia="arial" w:hAnsi="arial" w:cs="arial"/>
                  <w:i/>
                  <w:color w:val="0077CC"/>
                  <w:sz w:val="20"/>
                  <w:u w:val="single"/>
                  <w:lang w:val="en-US" w:eastAsia="en-US" w:bidi="ar-SA"/>
                </w:rPr>
                <w:t>Whitehead v. State, 9 Md. App. 7, 13-15, 262 A.2d 316, 320-21 (1970).</w:t>
              </w:r>
            </w:hyperlink>
            <w:r>
              <w:rPr>
                <w:rFonts w:ascii="arial" w:eastAsia="arial" w:hAnsi="arial" w:cs="arial"/>
                <w:color w:val="000000"/>
                <w:sz w:val="20"/>
                <w:lang w:val="en-US" w:eastAsia="en-US" w:bidi="ar-SA"/>
              </w:rPr>
              <w:t xml:space="preserve"> However, because mutual combat is one of the legally adequate provocations for voluntary manslaughter, the net effect is to treat mutual combat as an imperfect self-defense situation if the offense is murder or attempted murder.</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One who is a faultless victim becomes an aggressor and loses the right of self-defense by employing more force than reasonably necessary to defend against the actual or threatened harm. GILBERT &amp; MOYLAN,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 1.3-4, at 10; </w:t>
            </w:r>
            <w:r>
              <w:rPr>
                <w:rFonts w:ascii="arial" w:eastAsia="arial" w:hAnsi="arial" w:cs="arial"/>
                <w:i/>
                <w:color w:val="000000"/>
                <w:sz w:val="20"/>
                <w:lang w:val="en-US" w:eastAsia="en-US" w:bidi="ar-SA"/>
              </w:rPr>
              <w:t xml:space="preserve">see </w:t>
            </w:r>
            <w:hyperlink r:id="rId197" w:history="1">
              <w:r>
                <w:rPr>
                  <w:rFonts w:ascii="arial" w:eastAsia="arial" w:hAnsi="arial" w:cs="arial"/>
                  <w:i/>
                  <w:color w:val="0077CC"/>
                  <w:sz w:val="20"/>
                  <w:u w:val="single"/>
                  <w:lang w:val="en-US" w:eastAsia="en-US" w:bidi="ar-SA"/>
                </w:rPr>
                <w:t>Lambert v. State, 70 Md. App. 83, 95-96, 519 A.2d 1340, 1346</w:t>
              </w:r>
            </w:hyperlink>
            <w:r>
              <w:rPr>
                <w:rFonts w:ascii="arial" w:eastAsia="arial" w:hAnsi="arial" w:cs="arial"/>
                <w:color w:val="000000"/>
                <w:sz w:val="20"/>
                <w:lang w:val="en-US" w:eastAsia="en-US" w:bidi="ar-SA"/>
              </w:rPr>
              <w:t xml:space="preserve"> (deadly force is never justified against non-deadly force), </w:t>
            </w:r>
            <w:r>
              <w:rPr>
                <w:rFonts w:ascii="arial" w:eastAsia="arial" w:hAnsi="arial" w:cs="arial"/>
                <w:i/>
                <w:color w:val="000000"/>
                <w:sz w:val="20"/>
                <w:lang w:val="en-US" w:eastAsia="en-US" w:bidi="ar-SA"/>
              </w:rPr>
              <w:t>cert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denied</w:t>
            </w:r>
            <w:r>
              <w:rPr>
                <w:rFonts w:ascii="arial" w:eastAsia="arial" w:hAnsi="arial" w:cs="arial"/>
                <w:color w:val="000000"/>
                <w:sz w:val="20"/>
                <w:lang w:val="en-US" w:eastAsia="en-US" w:bidi="ar-SA"/>
              </w:rPr>
              <w:t xml:space="preserve">, </w:t>
            </w:r>
            <w:hyperlink r:id="rId198" w:history="1">
              <w:r>
                <w:rPr>
                  <w:rFonts w:ascii="arial" w:eastAsia="arial" w:hAnsi="arial" w:cs="arial"/>
                  <w:i/>
                  <w:color w:val="0077CC"/>
                  <w:sz w:val="20"/>
                  <w:u w:val="single"/>
                  <w:lang w:val="en-US" w:eastAsia="en-US" w:bidi="ar-SA"/>
                </w:rPr>
                <w:t>309 Md. 605, 535 A.2d 1075 (1987);</w:t>
              </w:r>
            </w:hyperlink>
            <w:r>
              <w:rPr>
                <w:rFonts w:ascii="arial" w:eastAsia="arial" w:hAnsi="arial" w:cs="arial"/>
                <w:color w:val="000000"/>
                <w:sz w:val="20"/>
                <w:lang w:val="en-US" w:eastAsia="en-US" w:bidi="ar-SA"/>
              </w:rPr>
              <w:t xml:space="preserve"> </w:t>
            </w:r>
            <w:hyperlink r:id="rId199" w:history="1">
              <w:r>
                <w:rPr>
                  <w:rFonts w:ascii="arial" w:eastAsia="arial" w:hAnsi="arial" w:cs="arial"/>
                  <w:i/>
                  <w:color w:val="0077CC"/>
                  <w:sz w:val="20"/>
                  <w:u w:val="single"/>
                  <w:lang w:val="en-US" w:eastAsia="en-US" w:bidi="ar-SA"/>
                </w:rPr>
                <w:t>Tipton v. State, 1 Md. App. 556, 562, 232 A.2d 289, 292 (1967).</w:t>
              </w:r>
            </w:hyperlink>
            <w:r>
              <w:rPr>
                <w:rFonts w:ascii="arial" w:eastAsia="arial" w:hAnsi="arial" w:cs="arial"/>
                <w:color w:val="000000"/>
                <w:sz w:val="20"/>
                <w:lang w:val="en-US" w:eastAsia="en-US" w:bidi="ar-SA"/>
              </w:rPr>
              <w:t xml:space="preserve"> Accordingly, an original aggressor at the non-deadly force level becomes a victim and acquires the right of self-defense at the deadly force level if the original victim responds with deadly force. </w:t>
            </w:r>
            <w:hyperlink r:id="rId200" w:history="1">
              <w:r>
                <w:rPr>
                  <w:rFonts w:ascii="arial" w:eastAsia="arial" w:hAnsi="arial" w:cs="arial"/>
                  <w:i/>
                  <w:color w:val="0077CC"/>
                  <w:sz w:val="20"/>
                  <w:u w:val="single"/>
                  <w:lang w:val="en-US" w:eastAsia="en-US" w:bidi="ar-SA"/>
                </w:rPr>
                <w:t>Watkins v. State, 79 Md. App. 136, 555 A.2d 1087 (1989).</w:t>
              </w:r>
            </w:hyperlink>
            <w:r>
              <w:rPr>
                <w:rFonts w:ascii="arial" w:eastAsia="arial" w:hAnsi="arial" w:cs="arial"/>
                <w:color w:val="000000"/>
                <w:sz w:val="20"/>
                <w:lang w:val="en-US" w:eastAsia="en-US" w:bidi="ar-SA"/>
              </w:rPr>
              <w:t xml:space="preserve"> In addition, an original aggressor may become a victim, acquiring a right of self-defense, simply by withdrawing in good faith from the encounter and taking reasonable steps to notify the victim. LAFAVE,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 10.4(e) at 577-78; Ferdinand S. Tinio, Annotation, </w:t>
            </w:r>
            <w:r>
              <w:rPr>
                <w:rFonts w:ascii="arial" w:eastAsia="arial" w:hAnsi="arial" w:cs="arial"/>
                <w:i/>
                <w:color w:val="000000"/>
                <w:sz w:val="20"/>
                <w:lang w:val="en-US" w:eastAsia="en-US" w:bidi="ar-SA"/>
              </w:rPr>
              <w:t>Comment Note: Withdrawal</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After Provocation of Conflict, as Reviving Right of Self-Defense</w:t>
            </w:r>
            <w:r>
              <w:rPr>
                <w:rFonts w:ascii="arial" w:eastAsia="arial" w:hAnsi="arial" w:cs="arial"/>
                <w:color w:val="000000"/>
                <w:sz w:val="20"/>
                <w:lang w:val="en-US" w:eastAsia="en-US" w:bidi="ar-SA"/>
              </w:rPr>
              <w:t xml:space="preserve">, </w:t>
            </w:r>
            <w:hyperlink r:id="rId201" w:history="1">
              <w:r>
                <w:rPr>
                  <w:rFonts w:ascii="arial" w:eastAsia="arial" w:hAnsi="arial" w:cs="arial"/>
                  <w:i/>
                  <w:color w:val="0077CC"/>
                  <w:sz w:val="20"/>
                  <w:u w:val="single"/>
                  <w:lang w:val="en-US" w:eastAsia="en-US" w:bidi="ar-SA"/>
                </w:rPr>
                <w:t>55 A.L.R.3d 1000 (1974).</w:t>
              </w:r>
            </w:hyperlink>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Self-defense requires an honest and reasonable belief on the part of the victim that the harm is immediate or imminent. </w:t>
            </w:r>
            <w:r>
              <w:rPr>
                <w:rFonts w:ascii="arial" w:eastAsia="arial" w:hAnsi="arial" w:cs="arial"/>
                <w:i/>
                <w:color w:val="000000"/>
                <w:sz w:val="20"/>
                <w:lang w:val="en-US" w:eastAsia="en-US" w:bidi="ar-SA"/>
              </w:rPr>
              <w:t xml:space="preserve">See </w:t>
            </w:r>
            <w:hyperlink r:id="rId55" w:history="1">
              <w:r>
                <w:rPr>
                  <w:rFonts w:ascii="arial" w:eastAsia="arial" w:hAnsi="arial" w:cs="arial"/>
                  <w:i/>
                  <w:color w:val="0077CC"/>
                  <w:sz w:val="20"/>
                  <w:u w:val="single"/>
                  <w:lang w:val="en-US" w:eastAsia="en-US" w:bidi="ar-SA"/>
                </w:rPr>
                <w:t>Porter v. State, 455 Md. 220, 166 A.3d 1044 (2017);</w:t>
              </w:r>
            </w:hyperlink>
            <w:r>
              <w:rPr>
                <w:rFonts w:ascii="arial" w:eastAsia="arial" w:hAnsi="arial" w:cs="arial"/>
                <w:color w:val="000000"/>
                <w:sz w:val="20"/>
                <w:lang w:val="en-US" w:eastAsia="en-US" w:bidi="ar-SA"/>
              </w:rPr>
              <w:t xml:space="preserve"> </w:t>
            </w:r>
            <w:hyperlink r:id="rId202" w:history="1">
              <w:r>
                <w:rPr>
                  <w:rFonts w:ascii="arial" w:eastAsia="arial" w:hAnsi="arial" w:cs="arial"/>
                  <w:i/>
                  <w:color w:val="0077CC"/>
                  <w:sz w:val="20"/>
                  <w:u w:val="single"/>
                  <w:lang w:val="en-US" w:eastAsia="en-US" w:bidi="ar-SA"/>
                </w:rPr>
                <w:t>Souffie v. State, 50 Md. App. 547, 563-64, 439 A.2d 1127, 1136 (1982)</w:t>
              </w:r>
            </w:hyperlink>
            <w:r>
              <w:rPr>
                <w:rFonts w:ascii="arial" w:eastAsia="arial" w:hAnsi="arial" w:cs="arial"/>
                <w:color w:val="000000"/>
                <w:sz w:val="20"/>
                <w:lang w:val="en-US" w:eastAsia="en-US" w:bidi="ar-SA"/>
              </w:rPr>
              <w:t xml:space="preserve"> (no self-defense issue generated when the defendant defended against a rape after the rape was completed). It further requires an honest and reasonable belief that the level of force used is necessary in light of the threatened or actual harm. </w:t>
            </w:r>
            <w:r>
              <w:rPr>
                <w:rFonts w:ascii="arial" w:eastAsia="arial" w:hAnsi="arial" w:cs="arial"/>
                <w:i/>
                <w:color w:val="000000"/>
                <w:sz w:val="20"/>
                <w:lang w:val="en-US" w:eastAsia="en-US" w:bidi="ar-SA"/>
              </w:rPr>
              <w:t xml:space="preserve">See </w:t>
            </w:r>
            <w:hyperlink r:id="rId203" w:history="1">
              <w:r>
                <w:rPr>
                  <w:rFonts w:ascii="arial" w:eastAsia="arial" w:hAnsi="arial" w:cs="arial"/>
                  <w:i/>
                  <w:color w:val="0077CC"/>
                  <w:sz w:val="20"/>
                  <w:u w:val="single"/>
                  <w:lang w:val="en-US" w:eastAsia="en-US" w:bidi="ar-SA"/>
                </w:rPr>
                <w:t>Shuck v. State, 29 Md. App. 33, 349 A.2d 378 (1975).</w:t>
              </w:r>
            </w:hyperlink>
            <w:r>
              <w:rPr>
                <w:rFonts w:ascii="arial" w:eastAsia="arial" w:hAnsi="arial" w:cs="arial"/>
                <w:color w:val="000000"/>
                <w:sz w:val="20"/>
                <w:lang w:val="en-US" w:eastAsia="en-US" w:bidi="ar-SA"/>
              </w:rPr>
              <w:t xml:space="preserve"> Even non-deadly force is unreasonable if it is substantially in excess of that needed for a particular defense. </w:t>
            </w:r>
            <w:hyperlink r:id="rId204" w:history="1">
              <w:r>
                <w:rPr>
                  <w:rFonts w:ascii="arial" w:eastAsia="arial" w:hAnsi="arial" w:cs="arial"/>
                  <w:i/>
                  <w:color w:val="0077CC"/>
                  <w:sz w:val="20"/>
                  <w:u w:val="single"/>
                  <w:lang w:val="en-US" w:eastAsia="en-US" w:bidi="ar-SA"/>
                </w:rPr>
                <w:t>Thomas v. State, 9 Md. App. 94, 99, 262 A.2d 797, 800 (1970).</w:t>
              </w:r>
            </w:hyperlink>
            <w:r>
              <w:rPr>
                <w:rFonts w:ascii="arial" w:eastAsia="arial" w:hAnsi="arial" w:cs="arial"/>
                <w:color w:val="000000"/>
                <w:sz w:val="20"/>
                <w:lang w:val="en-US" w:eastAsia="en-US" w:bidi="ar-SA"/>
              </w:rPr>
              <w:t xml:space="preserve"> The court should take into account the defendant's and the victim's respective size and gender, whether there were multiple assailants, and the past violent conduct of the victim, if any, known to the defendant. </w:t>
            </w:r>
            <w:hyperlink r:id="rId197" w:history="1">
              <w:r>
                <w:rPr>
                  <w:rFonts w:ascii="arial" w:eastAsia="arial" w:hAnsi="arial" w:cs="arial"/>
                  <w:i/>
                  <w:color w:val="0077CC"/>
                  <w:sz w:val="20"/>
                  <w:u w:val="single"/>
                  <w:lang w:val="en-US" w:eastAsia="en-US" w:bidi="ar-SA"/>
                </w:rPr>
                <w:t>Lambert, 70 Md. App. at 93, 519 A.2d at 1345.</w:t>
              </w:r>
            </w:hyperlink>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In MD. CODE ANN., COURTS &amp; JUDICIAL PROCEEDINGS II § 10-916 (2013 &amp; Supp. 2018) (hereinafter CTS. &amp; JUD. PROC. I or II § ___ ), the legislature adopted the "battered spouse syndrome." In </w:t>
            </w:r>
            <w:hyperlink r:id="rId205" w:history="1">
              <w:r>
                <w:rPr>
                  <w:rFonts w:ascii="arial" w:eastAsia="arial" w:hAnsi="arial" w:cs="arial"/>
                  <w:i/>
                  <w:color w:val="0077CC"/>
                  <w:sz w:val="20"/>
                  <w:u w:val="single"/>
                  <w:lang w:val="en-US" w:eastAsia="en-US" w:bidi="ar-SA"/>
                </w:rPr>
                <w:t>State v. Smullen, 380 Md. 233, 844 A.2d 429 (2004),</w:t>
              </w:r>
            </w:hyperlink>
            <w:r>
              <w:rPr>
                <w:rFonts w:ascii="arial" w:eastAsia="arial" w:hAnsi="arial" w:cs="arial"/>
                <w:color w:val="000000"/>
                <w:sz w:val="20"/>
                <w:lang w:val="en-US" w:eastAsia="en-US" w:bidi="ar-SA"/>
              </w:rPr>
              <w:t xml:space="preserve"> the Court of Appeals held that "battered spouse syndrome" includes "battered children syndrome." The syndrome is a psychological condition of a victim, brought about by repeated physical and psychological abuse by a spouse, former spouse, cohabitant, or former cohabitant. CTS. &amp; JUD. PROC. II § 10-916(a)(2). "Battered spouse syndrome" evidence is admissible in a case of a homicide or attempted homicide, even when there is "evidence that the defendant was the first aggressor, used excessive force, or failed to retreat at the time of the alleged offense." </w:t>
            </w:r>
            <w:r>
              <w:rPr>
                <w:rFonts w:ascii="arial" w:eastAsia="arial" w:hAnsi="arial" w:cs="arial"/>
                <w:i/>
                <w:color w:val="000000"/>
                <w:sz w:val="20"/>
                <w:lang w:val="en-US" w:eastAsia="en-US" w:bidi="ar-SA"/>
              </w:rPr>
              <w:t>Id.</w:t>
            </w:r>
            <w:r>
              <w:rPr>
                <w:rFonts w:ascii="arial" w:eastAsia="arial" w:hAnsi="arial" w:cs="arial"/>
                <w:color w:val="000000"/>
                <w:sz w:val="20"/>
                <w:lang w:val="en-US" w:eastAsia="en-US" w:bidi="ar-SA"/>
              </w:rPr>
              <w:t xml:space="preserve"> § 10-916(b). "Battered spouse syndrome" evidence is admissible to explain "the defendant's motive or state of mind, or both, at the time of the commission of the alleged offense." </w:t>
            </w:r>
            <w:r>
              <w:rPr>
                <w:rFonts w:ascii="arial" w:eastAsia="arial" w:hAnsi="arial" w:cs="arial"/>
                <w:i/>
                <w:color w:val="000000"/>
                <w:sz w:val="20"/>
                <w:lang w:val="en-US" w:eastAsia="en-US" w:bidi="ar-SA"/>
              </w:rPr>
              <w:t>Id.</w:t>
            </w:r>
            <w:r>
              <w:rPr>
                <w:rFonts w:ascii="arial" w:eastAsia="arial" w:hAnsi="arial" w:cs="arial"/>
                <w:color w:val="000000"/>
                <w:sz w:val="20"/>
                <w:lang w:val="en-US" w:eastAsia="en-US" w:bidi="ar-SA"/>
              </w:rPr>
              <w:t xml:space="preserve"> Although the statute permits both lay and expert testimony, in </w:t>
            </w:r>
            <w:r>
              <w:rPr>
                <w:rFonts w:ascii="arial" w:eastAsia="arial" w:hAnsi="arial" w:cs="arial"/>
                <w:i/>
                <w:color w:val="000000"/>
                <w:sz w:val="20"/>
                <w:lang w:val="en-US" w:eastAsia="en-US" w:bidi="ar-SA"/>
              </w:rPr>
              <w:t>Smullen</w:t>
            </w:r>
            <w:r>
              <w:rPr>
                <w:rFonts w:ascii="arial" w:eastAsia="arial" w:hAnsi="arial" w:cs="arial"/>
                <w:color w:val="000000"/>
                <w:sz w:val="20"/>
                <w:lang w:val="en-US" w:eastAsia="en-US" w:bidi="ar-SA"/>
              </w:rPr>
              <w:t xml:space="preserve">, the Court held that the trial court properly excluded alleged "battered spouse syndrome" evidence because (1) the evidence strongly supported first degree premeditated murder, (2) there was no evidence that the victim provoked the defendant, (3) there was evidence that the victim had attempted to murder those who did not abuse him, and (4) there was no evidence of the requisite repetitive cycle of violence. </w:t>
            </w:r>
            <w:hyperlink r:id="rId205" w:history="1">
              <w:r>
                <w:rPr>
                  <w:rFonts w:ascii="arial" w:eastAsia="arial" w:hAnsi="arial" w:cs="arial"/>
                  <w:i/>
                  <w:color w:val="0077CC"/>
                  <w:sz w:val="20"/>
                  <w:u w:val="single"/>
                  <w:lang w:val="en-US" w:eastAsia="en-US" w:bidi="ar-SA"/>
                </w:rPr>
                <w:t>Smullen, 380 Md. at 233, 844 A.2d at 429.</w:t>
              </w:r>
            </w:hyperlink>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There must be some evidence of self-defense to generate an issue and entitle the defendant to a self-defense instruction. </w:t>
            </w:r>
            <w:r>
              <w:rPr>
                <w:rFonts w:ascii="arial" w:eastAsia="arial" w:hAnsi="arial" w:cs="arial"/>
                <w:i/>
                <w:color w:val="000000"/>
                <w:sz w:val="20"/>
                <w:lang w:val="en-US" w:eastAsia="en-US" w:bidi="ar-SA"/>
              </w:rPr>
              <w:t xml:space="preserve">See </w:t>
            </w:r>
            <w:hyperlink r:id="rId200" w:history="1">
              <w:r>
                <w:rPr>
                  <w:rFonts w:ascii="arial" w:eastAsia="arial" w:hAnsi="arial" w:cs="arial"/>
                  <w:i/>
                  <w:color w:val="0077CC"/>
                  <w:sz w:val="20"/>
                  <w:u w:val="single"/>
                  <w:lang w:val="en-US" w:eastAsia="en-US" w:bidi="ar-SA"/>
                </w:rPr>
                <w:t>Watkins, 79 Md. App. at 139, 555 A.2d at 1089.</w:t>
              </w:r>
            </w:hyperlink>
            <w:r>
              <w:rPr>
                <w:rFonts w:ascii="arial" w:eastAsia="arial" w:hAnsi="arial" w:cs="arial"/>
                <w:color w:val="000000"/>
                <w:sz w:val="20"/>
                <w:lang w:val="en-US" w:eastAsia="en-US" w:bidi="ar-SA"/>
              </w:rPr>
              <w:t xml:space="preserve"> The issue can be generated solely on the testimony of a State's witness. </w:t>
            </w:r>
            <w:r>
              <w:rPr>
                <w:rFonts w:ascii="arial" w:eastAsia="arial" w:hAnsi="arial" w:cs="arial"/>
                <w:i/>
                <w:color w:val="000000"/>
                <w:sz w:val="20"/>
                <w:lang w:val="en-US" w:eastAsia="en-US" w:bidi="ar-SA"/>
              </w:rPr>
              <w:t xml:space="preserve">See </w:t>
            </w:r>
            <w:hyperlink r:id="rId206" w:history="1">
              <w:r>
                <w:rPr>
                  <w:rFonts w:ascii="arial" w:eastAsia="arial" w:hAnsi="arial" w:cs="arial"/>
                  <w:i/>
                  <w:color w:val="0077CC"/>
                  <w:sz w:val="20"/>
                  <w:u w:val="single"/>
                  <w:lang w:val="en-US" w:eastAsia="en-US" w:bidi="ar-SA"/>
                </w:rPr>
                <w:t>Howell v. State, 56 Md. App. 675, 683, 468 A.2d 688, 691-92 (1983),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299 Md. 426, 474 A.2d 218,</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469 U.S. 1039 (1984),</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reh'g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469 U.S. 1182 (1985).</w:t>
            </w:r>
            <w:r>
              <w:rPr>
                <w:rFonts w:ascii="arial" w:eastAsia="arial" w:hAnsi="arial" w:cs="arial"/>
                <w:color w:val="000000"/>
                <w:sz w:val="20"/>
                <w:lang w:val="en-US" w:eastAsia="en-US" w:bidi="ar-SA"/>
              </w:rPr>
              <w:t xml:space="preserve"> Similarly, it can be generated on the uncorroborated statements of the defendant. </w:t>
            </w:r>
            <w:hyperlink r:id="rId200" w:history="1">
              <w:r>
                <w:rPr>
                  <w:rFonts w:ascii="arial" w:eastAsia="arial" w:hAnsi="arial" w:cs="arial"/>
                  <w:i/>
                  <w:color w:val="0077CC"/>
                  <w:sz w:val="20"/>
                  <w:u w:val="single"/>
                  <w:lang w:val="en-US" w:eastAsia="en-US" w:bidi="ar-SA"/>
                </w:rPr>
                <w:t>Watkins, 79 Md. App. at 139, 555 A.2d at 1089</w:t>
              </w:r>
            </w:hyperlink>
            <w:r>
              <w:rPr>
                <w:rFonts w:ascii="arial" w:eastAsia="arial" w:hAnsi="arial" w:cs="arial"/>
                <w:color w:val="000000"/>
                <w:sz w:val="20"/>
                <w:lang w:val="en-US" w:eastAsia="en-US" w:bidi="ar-SA"/>
              </w:rPr>
              <w:t xml:space="preserve"> ("Although the vast majority of the witnesses testified that it was the appellant who first picked up the knife and stabbed the victim, the appellant testified otherwise."). Once the issue of self-defense has been generated, the burden of persuasion is on the State, even for offenses without the element of malice. </w:t>
            </w:r>
            <w:r>
              <w:rPr>
                <w:rFonts w:ascii="arial" w:eastAsia="arial" w:hAnsi="arial" w:cs="arial"/>
                <w:i/>
                <w:color w:val="000000"/>
                <w:sz w:val="20"/>
                <w:lang w:val="en-US" w:eastAsia="en-US" w:bidi="ar-SA"/>
              </w:rPr>
              <w:t xml:space="preserve">See </w:t>
            </w:r>
            <w:hyperlink r:id="rId207" w:history="1">
              <w:r>
                <w:rPr>
                  <w:rFonts w:ascii="arial" w:eastAsia="arial" w:hAnsi="arial" w:cs="arial"/>
                  <w:i/>
                  <w:color w:val="0077CC"/>
                  <w:sz w:val="20"/>
                  <w:u w:val="single"/>
                  <w:lang w:val="en-US" w:eastAsia="en-US" w:bidi="ar-SA"/>
                </w:rPr>
                <w:t>Jacobs v. State, 32 Md. App. 509, 363 A.2d 257 (1976)</w:t>
              </w:r>
            </w:hyperlink>
            <w:r>
              <w:rPr>
                <w:rFonts w:ascii="arial" w:eastAsia="arial" w:hAnsi="arial" w:cs="arial"/>
                <w:color w:val="000000"/>
                <w:sz w:val="20"/>
                <w:lang w:val="en-US" w:eastAsia="en-US" w:bidi="ar-SA"/>
              </w:rPr>
              <w:t xml:space="preserve"> (common law assault). In </w:t>
            </w:r>
            <w:hyperlink r:id="rId208" w:history="1">
              <w:r>
                <w:rPr>
                  <w:rFonts w:ascii="arial" w:eastAsia="arial" w:hAnsi="arial" w:cs="arial"/>
                  <w:i/>
                  <w:color w:val="0077CC"/>
                  <w:sz w:val="20"/>
                  <w:u w:val="single"/>
                  <w:lang w:val="en-US" w:eastAsia="en-US" w:bidi="ar-SA"/>
                </w:rPr>
                <w:t>Dykes v. State, 319 Md. 206, 571 A.2d 1251 (1990),</w:t>
              </w:r>
            </w:hyperlink>
            <w:r>
              <w:rPr>
                <w:rFonts w:ascii="arial" w:eastAsia="arial" w:hAnsi="arial" w:cs="arial"/>
                <w:color w:val="000000"/>
                <w:sz w:val="20"/>
                <w:lang w:val="en-US" w:eastAsia="en-US" w:bidi="ar-SA"/>
              </w:rPr>
              <w:t xml:space="preserve"> the Court of Appeals stated:</w:t>
            </w:r>
          </w:p>
          <w:p>
            <w:pPr>
              <w:spacing w:before="60" w:line="260" w:lineRule="atLeast"/>
              <w:ind w:left="460" w:right="360"/>
              <w:jc w:val="both"/>
              <w:rPr>
                <w:lang w:val="en-US" w:eastAsia="en-US" w:bidi="ar-SA"/>
              </w:rPr>
            </w:pPr>
            <w:r>
              <w:rPr>
                <w:rFonts w:ascii="arial" w:eastAsia="arial" w:hAnsi="arial" w:cs="arial"/>
                <w:color w:val="000000"/>
                <w:sz w:val="20"/>
                <w:lang w:val="en-US" w:eastAsia="en-US" w:bidi="ar-SA"/>
              </w:rPr>
              <w:t>Some evidence is not structured by the test of a specific standard. It calls for no more than what it says--"some," as that word is understood in common, everyday usage. It need not rise to the level of "beyond reasonable doubt" or "clear and convincing" or "preponderance." The source of the evidence is immaterial; it may emanate solely from the defendant. It is of no matter that the self-defense claim is overwhelmed by evidence to the contrary. If there is any evidence relied on by the defendant which, if believed, would support his claim that he acted in self-defense, the defendant has met his burden. Then the baton is passed to the State. It must shoulder the burden of proving beyond a reasonable doubt to the satisfaction of the jury that the defendant did not kill in self-defense.</w:t>
            </w:r>
          </w:p>
          <w:p>
            <w:pPr>
              <w:spacing w:before="200" w:line="260" w:lineRule="atLeast"/>
              <w:ind w:left="60" w:right="360"/>
              <w:jc w:val="both"/>
              <w:rPr>
                <w:lang w:val="en-US" w:eastAsia="en-US" w:bidi="ar-SA"/>
              </w:rPr>
            </w:pPr>
            <w:hyperlink r:id="rId208" w:history="1">
              <w:r>
                <w:rPr>
                  <w:rFonts w:ascii="arial" w:eastAsia="arial" w:hAnsi="arial" w:cs="arial"/>
                  <w:i/>
                  <w:color w:val="0077CC"/>
                  <w:sz w:val="20"/>
                  <w:u w:val="single"/>
                  <w:lang w:val="en-US" w:eastAsia="en-US" w:bidi="ar-SA"/>
                </w:rPr>
                <w:t>Id. at 216-17, 571 A.2d at 1257;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see also </w:t>
            </w:r>
            <w:hyperlink r:id="rId209" w:history="1">
              <w:r>
                <w:rPr>
                  <w:rFonts w:ascii="arial" w:eastAsia="arial" w:hAnsi="arial" w:cs="arial"/>
                  <w:i/>
                  <w:color w:val="0077CC"/>
                  <w:sz w:val="20"/>
                  <w:u w:val="single"/>
                  <w:lang w:val="en-US" w:eastAsia="en-US" w:bidi="ar-SA"/>
                </w:rPr>
                <w:t>Redcross v. State, 121 Md. App. 320, 708 A.2d 1154,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350 Md. 488, 713 A.2d 980 (1998).</w:t>
            </w:r>
            <w:r>
              <w:rPr>
                <w:rFonts w:ascii="arial" w:eastAsia="arial" w:hAnsi="arial" w:cs="arial"/>
                <w:color w:val="000000"/>
                <w:sz w:val="20"/>
                <w:lang w:val="en-US" w:eastAsia="en-US" w:bidi="ar-SA"/>
              </w:rPr>
              <w:t xml:space="preserve"> "Some" evidence existed, and the defendant was entitled to a perfect defense and imperfect defense instruction, notwithstanding three different versions--all from the defendant--because the judge may not resolve evidentiary conflicts in determining whether some evidence exists. </w:t>
            </w:r>
            <w:r>
              <w:rPr>
                <w:rFonts w:ascii="arial" w:eastAsia="arial" w:hAnsi="arial" w:cs="arial"/>
                <w:i/>
                <w:color w:val="000000"/>
                <w:sz w:val="20"/>
                <w:lang w:val="en-US" w:eastAsia="en-US" w:bidi="ar-SA"/>
              </w:rPr>
              <w:t>Id.</w:t>
            </w:r>
            <w:r>
              <w:rPr>
                <w:rFonts w:ascii="arial" w:eastAsia="arial" w:hAnsi="arial" w:cs="arial"/>
                <w:color w:val="000000"/>
                <w:sz w:val="20"/>
                <w:lang w:val="en-US" w:eastAsia="en-US" w:bidi="ar-SA"/>
              </w:rPr>
              <w:t xml:space="preserve"> at 216-25, 571 A.2d at 1257-61.</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The reasonableness of the force used is usually a question of fact. However, if the level of force used is so grossly excessive, the court may determine, as a matter of law, that the defendant is not entitled to a jury instruction. </w:t>
            </w:r>
            <w:hyperlink r:id="rId197" w:history="1">
              <w:r>
                <w:rPr>
                  <w:rFonts w:ascii="arial" w:eastAsia="arial" w:hAnsi="arial" w:cs="arial"/>
                  <w:i/>
                  <w:color w:val="0077CC"/>
                  <w:sz w:val="20"/>
                  <w:u w:val="single"/>
                  <w:lang w:val="en-US" w:eastAsia="en-US" w:bidi="ar-SA"/>
                </w:rPr>
                <w:t>Lambert, 70 Md. App. at 95-96, 519 A.2d at 1346</w:t>
              </w:r>
            </w:hyperlink>
            <w:r>
              <w:rPr>
                <w:rFonts w:ascii="arial" w:eastAsia="arial" w:hAnsi="arial" w:cs="arial"/>
                <w:color w:val="000000"/>
                <w:sz w:val="20"/>
                <w:lang w:val="en-US" w:eastAsia="en-US" w:bidi="ar-SA"/>
              </w:rPr>
              <w:t xml:space="preserve"> (the defendant stabbed the victim 26 times in the face, arms, chest, and abdomen). In </w:t>
            </w:r>
            <w:r>
              <w:rPr>
                <w:rFonts w:ascii="arial" w:eastAsia="arial" w:hAnsi="arial" w:cs="arial"/>
                <w:i/>
                <w:color w:val="000000"/>
                <w:sz w:val="20"/>
                <w:lang w:val="en-US" w:eastAsia="en-US" w:bidi="ar-SA"/>
              </w:rPr>
              <w:t>Lambert</w:t>
            </w:r>
            <w:r>
              <w:rPr>
                <w:rFonts w:ascii="arial" w:eastAsia="arial" w:hAnsi="arial" w:cs="arial"/>
                <w:color w:val="000000"/>
                <w:sz w:val="20"/>
                <w:lang w:val="en-US" w:eastAsia="en-US" w:bidi="ar-SA"/>
              </w:rPr>
              <w:t xml:space="preserve">, the Court of Special Appeals also found, as a matter of law, that the defendant lacked the subjective belief of the need to use deadly force when the mind of the defendant was "blank" during an "even" fight and became fearful afterward. </w:t>
            </w:r>
            <w:hyperlink r:id="rId197" w:history="1">
              <w:r>
                <w:rPr>
                  <w:rFonts w:ascii="arial" w:eastAsia="arial" w:hAnsi="arial" w:cs="arial"/>
                  <w:i/>
                  <w:color w:val="0077CC"/>
                  <w:sz w:val="20"/>
                  <w:u w:val="single"/>
                  <w:lang w:val="en-US" w:eastAsia="en-US" w:bidi="ar-SA"/>
                </w:rPr>
                <w:t>Id. at 99, 519 A.2d at 1348.</w:t>
              </w:r>
            </w:hyperlink>
            <w:r>
              <w:rPr>
                <w:rFonts w:ascii="arial" w:eastAsia="arial" w:hAnsi="arial" w:cs="arial"/>
                <w:color w:val="000000"/>
                <w:sz w:val="20"/>
                <w:lang w:val="en-US" w:eastAsia="en-US" w:bidi="ar-SA"/>
              </w:rPr>
              <w:t xml:space="preserve"> Consequently, the defendant was not entitled to an imperfect self-defense. </w:t>
            </w:r>
            <w:hyperlink r:id="rId197" w:history="1">
              <w:r>
                <w:rPr>
                  <w:rFonts w:ascii="arial" w:eastAsia="arial" w:hAnsi="arial" w:cs="arial"/>
                  <w:i/>
                  <w:color w:val="0077CC"/>
                  <w:sz w:val="20"/>
                  <w:u w:val="single"/>
                  <w:lang w:val="en-US" w:eastAsia="en-US" w:bidi="ar-SA"/>
                </w:rPr>
                <w:t>Id. at 93-96, 519 A.2d at 1345-46;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see </w:t>
            </w:r>
            <w:hyperlink r:id="rId210" w:history="1">
              <w:r>
                <w:rPr>
                  <w:rFonts w:ascii="arial" w:eastAsia="arial" w:hAnsi="arial" w:cs="arial"/>
                  <w:i/>
                  <w:color w:val="0077CC"/>
                  <w:sz w:val="20"/>
                  <w:u w:val="single"/>
                  <w:lang w:val="en-US" w:eastAsia="en-US" w:bidi="ar-SA"/>
                </w:rPr>
                <w:t>Finnegan v. State, 33 Md. App. 251, 364 A.2d 124 (1976)</w:t>
              </w:r>
            </w:hyperlink>
            <w:r>
              <w:rPr>
                <w:rFonts w:ascii="arial" w:eastAsia="arial" w:hAnsi="arial" w:cs="arial"/>
                <w:color w:val="000000"/>
                <w:sz w:val="20"/>
                <w:lang w:val="en-US" w:eastAsia="en-US" w:bidi="ar-SA"/>
              </w:rPr>
              <w:t xml:space="preserve"> (force was excessive when the victim was much smaller, older, and intoxicated, and the defendant used repeated blows to the head with a hammer),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433 U.S. 912 (1977).</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Whenever the aggression is at the deadly force level, Maryland requires the defendant to "retreat to the wall" before responding with deadly force. </w:t>
            </w:r>
            <w:hyperlink r:id="rId211" w:history="1">
              <w:r>
                <w:rPr>
                  <w:rFonts w:ascii="arial" w:eastAsia="arial" w:hAnsi="arial" w:cs="arial"/>
                  <w:i/>
                  <w:color w:val="0077CC"/>
                  <w:sz w:val="20"/>
                  <w:u w:val="single"/>
                  <w:lang w:val="en-US" w:eastAsia="en-US" w:bidi="ar-SA"/>
                </w:rPr>
                <w:t>Sydnor v. State, 133 Md. App. 173, 754 A.2d 1064 (2000),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aff'd</w:t>
            </w:r>
            <w:r>
              <w:rPr>
                <w:rFonts w:ascii="arial" w:eastAsia="arial" w:hAnsi="arial" w:cs="arial"/>
                <w:color w:val="000000"/>
                <w:sz w:val="20"/>
                <w:lang w:val="en-US" w:eastAsia="en-US" w:bidi="ar-SA"/>
              </w:rPr>
              <w:t xml:space="preserve">, </w:t>
            </w:r>
            <w:hyperlink r:id="rId79" w:history="1">
              <w:r>
                <w:rPr>
                  <w:rFonts w:ascii="arial" w:eastAsia="arial" w:hAnsi="arial" w:cs="arial"/>
                  <w:i/>
                  <w:color w:val="0077CC"/>
                  <w:sz w:val="20"/>
                  <w:u w:val="single"/>
                  <w:lang w:val="en-US" w:eastAsia="en-US" w:bidi="ar-SA"/>
                </w:rPr>
                <w:t>365 Md. 205, 776 A.2d 669 (2001),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534 U.S. 1090 (2002);</w:t>
            </w:r>
            <w:r>
              <w:rPr>
                <w:rFonts w:ascii="arial" w:eastAsia="arial" w:hAnsi="arial" w:cs="arial"/>
                <w:color w:val="000000"/>
                <w:sz w:val="20"/>
                <w:lang w:val="en-US" w:eastAsia="en-US" w:bidi="ar-SA"/>
              </w:rPr>
              <w:t xml:space="preserve"> </w:t>
            </w:r>
            <w:hyperlink r:id="rId212" w:history="1">
              <w:r>
                <w:rPr>
                  <w:rFonts w:ascii="arial" w:eastAsia="arial" w:hAnsi="arial" w:cs="arial"/>
                  <w:i/>
                  <w:color w:val="0077CC"/>
                  <w:sz w:val="20"/>
                  <w:u w:val="single"/>
                  <w:lang w:val="en-US" w:eastAsia="en-US" w:bidi="ar-SA"/>
                </w:rPr>
                <w:t>Gainer v. State, 40 Md. App. 382, 391 A.2d 856 (1978);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see</w:t>
            </w:r>
            <w:r>
              <w:rPr>
                <w:rFonts w:ascii="arial" w:eastAsia="arial" w:hAnsi="arial" w:cs="arial"/>
                <w:color w:val="000000"/>
                <w:sz w:val="20"/>
                <w:lang w:val="en-US" w:eastAsia="en-US" w:bidi="ar-SA"/>
              </w:rPr>
              <w:t xml:space="preserve"> PERKINS &amp; BOYCE,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1133-37. There is no such requirement to retreat before using non-deadly force. </w:t>
            </w:r>
            <w:hyperlink r:id="rId211" w:history="1">
              <w:r>
                <w:rPr>
                  <w:rFonts w:ascii="arial" w:eastAsia="arial" w:hAnsi="arial" w:cs="arial"/>
                  <w:i/>
                  <w:color w:val="0077CC"/>
                  <w:sz w:val="20"/>
                  <w:u w:val="single"/>
                  <w:lang w:val="en-US" w:eastAsia="en-US" w:bidi="ar-SA"/>
                </w:rPr>
                <w:t>Sydnor, 133 Md. App. at 187, 754 A.2d at 1072;</w:t>
              </w:r>
            </w:hyperlink>
            <w:r>
              <w:rPr>
                <w:rFonts w:ascii="arial" w:eastAsia="arial" w:hAnsi="arial" w:cs="arial"/>
                <w:color w:val="000000"/>
                <w:sz w:val="20"/>
                <w:lang w:val="en-US" w:eastAsia="en-US" w:bidi="ar-SA"/>
              </w:rPr>
              <w:t xml:space="preserve"> LAFAVE,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 10.4, at 578.</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Even at the deadly force level, there is no duty to retreat if (1) the "home-is-your-castle" doctrine applies, </w:t>
            </w:r>
            <w:hyperlink r:id="rId212" w:history="1">
              <w:r>
                <w:rPr>
                  <w:rFonts w:ascii="arial" w:eastAsia="arial" w:hAnsi="arial" w:cs="arial"/>
                  <w:i/>
                  <w:color w:val="0077CC"/>
                  <w:sz w:val="20"/>
                  <w:u w:val="single"/>
                  <w:lang w:val="en-US" w:eastAsia="en-US" w:bidi="ar-SA"/>
                </w:rPr>
                <w:t>Gainer, 40 Md. App. at 382, 391 A.2d at 856;</w:t>
              </w:r>
            </w:hyperlink>
            <w:r>
              <w:rPr>
                <w:rFonts w:ascii="arial" w:eastAsia="arial" w:hAnsi="arial" w:cs="arial"/>
                <w:color w:val="000000"/>
                <w:sz w:val="20"/>
                <w:lang w:val="en-US" w:eastAsia="en-US" w:bidi="ar-SA"/>
              </w:rPr>
              <w:t xml:space="preserve"> (2) retreat is unsafe, </w:t>
            </w:r>
            <w:hyperlink r:id="rId65" w:history="1">
              <w:r>
                <w:rPr>
                  <w:rFonts w:ascii="arial" w:eastAsia="arial" w:hAnsi="arial" w:cs="arial"/>
                  <w:i/>
                  <w:color w:val="0077CC"/>
                  <w:sz w:val="20"/>
                  <w:u w:val="single"/>
                  <w:lang w:val="en-US" w:eastAsia="en-US" w:bidi="ar-SA"/>
                </w:rPr>
                <w:t>Barton v. State, 46 Md. App. 616, 618, 420 A.2d 1009, 1010 (1980);</w:t>
              </w:r>
            </w:hyperlink>
            <w:r>
              <w:rPr>
                <w:rFonts w:ascii="arial" w:eastAsia="arial" w:hAnsi="arial" w:cs="arial"/>
                <w:color w:val="000000"/>
                <w:sz w:val="20"/>
                <w:lang w:val="en-US" w:eastAsia="en-US" w:bidi="ar-SA"/>
              </w:rPr>
              <w:t xml:space="preserve"> (3) the avenue of retreat is unknown, </w:t>
            </w:r>
            <w:r>
              <w:rPr>
                <w:rFonts w:ascii="arial" w:eastAsia="arial" w:hAnsi="arial" w:cs="arial"/>
                <w:i/>
                <w:color w:val="000000"/>
                <w:sz w:val="20"/>
                <w:lang w:val="en-US" w:eastAsia="en-US" w:bidi="ar-SA"/>
              </w:rPr>
              <w:t xml:space="preserve">see </w:t>
            </w:r>
            <w:hyperlink r:id="rId209" w:history="1">
              <w:r>
                <w:rPr>
                  <w:rFonts w:ascii="arial" w:eastAsia="arial" w:hAnsi="arial" w:cs="arial"/>
                  <w:i/>
                  <w:color w:val="0077CC"/>
                  <w:sz w:val="20"/>
                  <w:u w:val="single"/>
                  <w:lang w:val="en-US" w:eastAsia="en-US" w:bidi="ar-SA"/>
                </w:rPr>
                <w:t>Redcross, 121 Md. App. at 320, 708 A.2d at 1154;</w:t>
              </w:r>
            </w:hyperlink>
            <w:r>
              <w:rPr>
                <w:rFonts w:ascii="arial" w:eastAsia="arial" w:hAnsi="arial" w:cs="arial"/>
                <w:color w:val="000000"/>
                <w:sz w:val="20"/>
                <w:lang w:val="en-US" w:eastAsia="en-US" w:bidi="ar-SA"/>
              </w:rPr>
              <w:t xml:space="preserve"> </w:t>
            </w:r>
            <w:hyperlink r:id="rId213" w:history="1">
              <w:r>
                <w:rPr>
                  <w:rFonts w:ascii="arial" w:eastAsia="arial" w:hAnsi="arial" w:cs="arial"/>
                  <w:i/>
                  <w:color w:val="0077CC"/>
                  <w:sz w:val="20"/>
                  <w:u w:val="single"/>
                  <w:lang w:val="en-US" w:eastAsia="en-US" w:bidi="ar-SA"/>
                </w:rPr>
                <w:t>Dawson v. State, 40 Md. App. 640, 646, 395 A.2d 160, 163 (1978);</w:t>
              </w:r>
            </w:hyperlink>
            <w:r>
              <w:rPr>
                <w:rFonts w:ascii="arial" w:eastAsia="arial" w:hAnsi="arial" w:cs="arial"/>
                <w:color w:val="000000"/>
                <w:sz w:val="20"/>
                <w:lang w:val="en-US" w:eastAsia="en-US" w:bidi="ar-SA"/>
              </w:rPr>
              <w:t xml:space="preserve"> (4) the non-aggressor victim is lawfully arresting the aggressor, LAFAVE,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 10.4(f), at 579; or (5) the non-aggressor victim is the robbery victim of the aggressor. </w:t>
            </w:r>
            <w:hyperlink r:id="rId211" w:history="1">
              <w:r>
                <w:rPr>
                  <w:rFonts w:ascii="arial" w:eastAsia="arial" w:hAnsi="arial" w:cs="arial"/>
                  <w:i/>
                  <w:color w:val="0077CC"/>
                  <w:sz w:val="20"/>
                  <w:u w:val="single"/>
                  <w:lang w:val="en-US" w:eastAsia="en-US" w:bidi="ar-SA"/>
                </w:rPr>
                <w:t>Sydnor, 133 Md. App. at 173, 754 A.2d at 1064;</w:t>
              </w:r>
            </w:hyperlink>
            <w:r>
              <w:rPr>
                <w:rFonts w:ascii="arial" w:eastAsia="arial" w:hAnsi="arial" w:cs="arial"/>
                <w:color w:val="000000"/>
                <w:sz w:val="20"/>
                <w:lang w:val="en-US" w:eastAsia="en-US" w:bidi="ar-SA"/>
              </w:rPr>
              <w:t xml:space="preserve"> PERKINS &amp; BOYCE,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1133-34.</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The most frequently generated exception to the duty to retreat is the "home-is-your-castle" doctrine. If an individual is attacked at home, there is no duty to retreat. </w:t>
            </w:r>
            <w:hyperlink r:id="rId63" w:history="1">
              <w:r>
                <w:rPr>
                  <w:rFonts w:ascii="arial" w:eastAsia="arial" w:hAnsi="arial" w:cs="arial"/>
                  <w:i/>
                  <w:color w:val="0077CC"/>
                  <w:sz w:val="20"/>
                  <w:u w:val="single"/>
                  <w:lang w:val="en-US" w:eastAsia="en-US" w:bidi="ar-SA"/>
                </w:rPr>
                <w:t>Crawford v. State, 231 Md. 354, 190 A.2d 538 (1963).</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Gainer</w:t>
            </w:r>
            <w:r>
              <w:rPr>
                <w:rFonts w:ascii="arial" w:eastAsia="arial" w:hAnsi="arial" w:cs="arial"/>
                <w:color w:val="000000"/>
                <w:sz w:val="20"/>
                <w:lang w:val="en-US" w:eastAsia="en-US" w:bidi="ar-SA"/>
              </w:rPr>
              <w:t xml:space="preserve">, the Court of Special Appeals, in outlining the scope of the doctrine, relied on RESTATEMENT (SECOND) OF TORTS § 65, defining "dwelling place" as any part of a building actually used for residential purposes, temporarily or permanently. </w:t>
            </w:r>
            <w:hyperlink r:id="rId212" w:history="1">
              <w:r>
                <w:rPr>
                  <w:rFonts w:ascii="arial" w:eastAsia="arial" w:hAnsi="arial" w:cs="arial"/>
                  <w:i/>
                  <w:color w:val="0077CC"/>
                  <w:sz w:val="20"/>
                  <w:u w:val="single"/>
                  <w:lang w:val="en-US" w:eastAsia="en-US" w:bidi="ar-SA"/>
                </w:rPr>
                <w:t>Gainer, 40 Md. App. at 388-89, 391 A.2d at 861</w:t>
              </w:r>
            </w:hyperlink>
            <w:r>
              <w:rPr>
                <w:rFonts w:ascii="arial" w:eastAsia="arial" w:hAnsi="arial" w:cs="arial"/>
                <w:color w:val="000000"/>
                <w:sz w:val="20"/>
                <w:lang w:val="en-US" w:eastAsia="en-US" w:bidi="ar-SA"/>
              </w:rPr>
              <w:t xml:space="preserve"> (when the defendant was engaged to the permanent resident, but lived two doors away, he was not in his castle); </w:t>
            </w:r>
            <w:r>
              <w:rPr>
                <w:rFonts w:ascii="arial" w:eastAsia="arial" w:hAnsi="arial" w:cs="arial"/>
                <w:i/>
                <w:color w:val="000000"/>
                <w:sz w:val="20"/>
                <w:lang w:val="en-US" w:eastAsia="en-US" w:bidi="ar-SA"/>
              </w:rPr>
              <w:t xml:space="preserve">see </w:t>
            </w:r>
            <w:hyperlink r:id="rId65" w:history="1">
              <w:r>
                <w:rPr>
                  <w:rFonts w:ascii="arial" w:eastAsia="arial" w:hAnsi="arial" w:cs="arial"/>
                  <w:i/>
                  <w:color w:val="0077CC"/>
                  <w:sz w:val="20"/>
                  <w:u w:val="single"/>
                  <w:lang w:val="en-US" w:eastAsia="en-US" w:bidi="ar-SA"/>
                </w:rPr>
                <w:t>Barton, 46 Md. App. at 619-21, 420 A.2d at 1011-12</w:t>
              </w:r>
            </w:hyperlink>
            <w:r>
              <w:rPr>
                <w:rFonts w:ascii="arial" w:eastAsia="arial" w:hAnsi="arial" w:cs="arial"/>
                <w:color w:val="000000"/>
                <w:sz w:val="20"/>
                <w:lang w:val="en-US" w:eastAsia="en-US" w:bidi="ar-SA"/>
              </w:rPr>
              <w:t xml:space="preserve"> (when the defendant lived for a few weeks with his girlfriend's brother, he was in his castle).</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Dwelling place may include the non-common areas of hotels and motels, </w:t>
            </w:r>
            <w:hyperlink r:id="rId212" w:history="1">
              <w:r>
                <w:rPr>
                  <w:rFonts w:ascii="arial" w:eastAsia="arial" w:hAnsi="arial" w:cs="arial"/>
                  <w:i/>
                  <w:color w:val="0077CC"/>
                  <w:sz w:val="20"/>
                  <w:u w:val="single"/>
                  <w:lang w:val="en-US" w:eastAsia="en-US" w:bidi="ar-SA"/>
                </w:rPr>
                <w:t>Gainer, 40 Md. App. at 388-89 n.9, 391 A.2d at 861 n.9,</w:t>
              </w:r>
            </w:hyperlink>
            <w:r>
              <w:rPr>
                <w:rFonts w:ascii="arial" w:eastAsia="arial" w:hAnsi="arial" w:cs="arial"/>
                <w:color w:val="000000"/>
                <w:sz w:val="20"/>
                <w:lang w:val="en-US" w:eastAsia="en-US" w:bidi="ar-SA"/>
              </w:rPr>
              <w:t xml:space="preserve"> as well as the curtilage surrounding a dwelling place. </w:t>
            </w:r>
            <w:hyperlink r:id="rId212" w:history="1">
              <w:r>
                <w:rPr>
                  <w:rFonts w:ascii="arial" w:eastAsia="arial" w:hAnsi="arial" w:cs="arial"/>
                  <w:i/>
                  <w:color w:val="0077CC"/>
                  <w:sz w:val="20"/>
                  <w:u w:val="single"/>
                  <w:lang w:val="en-US" w:eastAsia="en-US" w:bidi="ar-SA"/>
                </w:rPr>
                <w:t>Id. at 388, 391 A.2d at 860.</w:t>
              </w:r>
            </w:hyperlink>
            <w:r>
              <w:rPr>
                <w:rFonts w:ascii="arial" w:eastAsia="arial" w:hAnsi="arial" w:cs="arial"/>
                <w:color w:val="000000"/>
                <w:sz w:val="20"/>
                <w:lang w:val="en-US" w:eastAsia="en-US" w:bidi="ar-SA"/>
              </w:rPr>
              <w:t xml:space="preserve"> Unlike some jurisdictions, Maryland holds that there is no duty to retreat when both the aggressor and the victim are in their castle. </w:t>
            </w:r>
            <w:hyperlink r:id="rId212" w:history="1">
              <w:r>
                <w:rPr>
                  <w:rFonts w:ascii="arial" w:eastAsia="arial" w:hAnsi="arial" w:cs="arial"/>
                  <w:i/>
                  <w:color w:val="0077CC"/>
                  <w:sz w:val="20"/>
                  <w:u w:val="single"/>
                  <w:lang w:val="en-US" w:eastAsia="en-US" w:bidi="ar-SA"/>
                </w:rPr>
                <w:t>Id. at 389-90, 391 A.2d at 861-62;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see also</w:t>
            </w:r>
            <w:r>
              <w:rPr>
                <w:rFonts w:ascii="arial" w:eastAsia="arial" w:hAnsi="arial" w:cs="arial"/>
                <w:color w:val="000000"/>
                <w:sz w:val="20"/>
                <w:lang w:val="en-US" w:eastAsia="en-US" w:bidi="ar-SA"/>
              </w:rPr>
              <w:t xml:space="preserve"> Linda A. Sharp, Annotation, </w:t>
            </w:r>
            <w:r>
              <w:rPr>
                <w:rFonts w:ascii="arial" w:eastAsia="arial" w:hAnsi="arial" w:cs="arial"/>
                <w:i/>
                <w:color w:val="000000"/>
                <w:sz w:val="20"/>
                <w:lang w:val="en-US" w:eastAsia="en-US" w:bidi="ar-SA"/>
              </w:rPr>
              <w:t>Homicide: Duty to Retreat Where Assailant and Assailed Share the Same Living Quarters</w:t>
            </w:r>
            <w:r>
              <w:rPr>
                <w:rFonts w:ascii="arial" w:eastAsia="arial" w:hAnsi="arial" w:cs="arial"/>
                <w:color w:val="000000"/>
                <w:sz w:val="20"/>
                <w:lang w:val="en-US" w:eastAsia="en-US" w:bidi="ar-SA"/>
              </w:rPr>
              <w:t xml:space="preserve">, </w:t>
            </w:r>
            <w:hyperlink r:id="rId214" w:history="1">
              <w:r>
                <w:rPr>
                  <w:rFonts w:ascii="arial" w:eastAsia="arial" w:hAnsi="arial" w:cs="arial"/>
                  <w:i/>
                  <w:color w:val="0077CC"/>
                  <w:sz w:val="20"/>
                  <w:u w:val="single"/>
                  <w:lang w:val="en-US" w:eastAsia="en-US" w:bidi="ar-SA"/>
                </w:rPr>
                <w:t>67 A.L.R.5th 637 (2005).</w:t>
              </w:r>
            </w:hyperlink>
            <w:r>
              <w:rPr>
                <w:rFonts w:ascii="arial" w:eastAsia="arial" w:hAnsi="arial" w:cs="arial"/>
                <w:color w:val="000000"/>
                <w:sz w:val="20"/>
                <w:lang w:val="en-US" w:eastAsia="en-US" w:bidi="ar-SA"/>
              </w:rPr>
              <w:t xml:space="preserve"> Although some jurisdictions do not impose a duty to retreat at one's place of business, LAFAVE,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 10.4(f), at 579, this issue has not been addressed in Maryland.</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This instruction was updated in June 2018 to comply with the specific direction of the Court of Appeals. </w:t>
            </w:r>
            <w:r>
              <w:rPr>
                <w:rFonts w:ascii="arial" w:eastAsia="arial" w:hAnsi="arial" w:cs="arial"/>
                <w:i/>
                <w:color w:val="000000"/>
                <w:sz w:val="20"/>
                <w:lang w:val="en-US" w:eastAsia="en-US" w:bidi="ar-SA"/>
              </w:rPr>
              <w:t xml:space="preserve">See </w:t>
            </w:r>
            <w:hyperlink r:id="rId55" w:history="1">
              <w:r>
                <w:rPr>
                  <w:rFonts w:ascii="arial" w:eastAsia="arial" w:hAnsi="arial" w:cs="arial"/>
                  <w:i/>
                  <w:color w:val="0077CC"/>
                  <w:sz w:val="20"/>
                  <w:u w:val="single"/>
                  <w:lang w:val="en-US" w:eastAsia="en-US" w:bidi="ar-SA"/>
                </w:rPr>
                <w:t>Porter v. State, 455 Md. 220, 245 n.6, 166 A.3d 1044, 1059 n.6 (2017)</w:t>
              </w:r>
            </w:hyperlink>
            <w:r>
              <w:rPr>
                <w:rFonts w:ascii="arial" w:eastAsia="arial" w:hAnsi="arial" w:cs="arial"/>
                <w:color w:val="000000"/>
                <w:sz w:val="20"/>
                <w:lang w:val="en-US" w:eastAsia="en-US" w:bidi="ar-SA"/>
              </w:rPr>
              <w:t xml:space="preserve"> (noting MPJI-Cr should use the phrase "imminent or immediate" instead of "imminent and immediate" in self-defense instructions).</w:t>
            </w:r>
          </w:p>
          <w:p>
            <w:pPr>
              <w:spacing w:after="120"/>
              <w:rPr>
                <w:lang w:val="en-US" w:eastAsia="en-US" w:bidi="ar-SA"/>
              </w:rPr>
            </w:pPr>
          </w:p>
        </w:tc>
      </w:tr>
    </w:tbl>
    <w:p>
      <w:pPr>
        <w:spacing w:before="60" w:line="260" w:lineRule="atLeast"/>
        <w:ind w:left="720"/>
        <w:jc w:val="both"/>
        <w:rPr>
          <w:lang w:val="en-US" w:eastAsia="en-US" w:bidi="ar-SA"/>
        </w:rPr>
      </w:pPr>
      <w:r>
        <w:rPr>
          <w:rFonts w:ascii="arial" w:eastAsia="arial" w:hAnsi="arial" w:cs="arial"/>
          <w:color w:val="000000"/>
          <w:sz w:val="20"/>
          <w:lang w:val="en-US" w:eastAsia="en-US" w:bidi="ar-SA"/>
        </w:rPr>
        <w:t>#MICPEL#</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Reference</w:t>
      </w:r>
    </w:p>
    <w:p>
      <w:pPr>
        <w:spacing w:line="60" w:lineRule="exact"/>
        <w:rPr>
          <w:lang w:val="en-US" w:eastAsia="en-US" w:bidi="ar-SA"/>
        </w:rPr>
      </w:pPr>
      <w:r>
        <w:pict>
          <v:line id="_x0000_s1059" style="position:absolute;z-index:251679744" from="0,2pt" to="512pt,2pt" strokecolor="#009ddb" strokeweight="2pt">
            <v:stroke linestyle="single"/>
            <w10:wrap type="topAndBottom"/>
          </v:line>
        </w:pict>
      </w:r>
    </w:p>
    <w:p>
      <w:pPr>
        <w:spacing w:line="120" w:lineRule="exact"/>
        <w:rPr>
          <w:lang w:val="en-US" w:eastAsia="en-US" w:bidi="ar-SA"/>
        </w:rPr>
      </w:pPr>
    </w:p>
    <w:p>
      <w:pPr>
        <w:spacing w:before="120" w:line="260" w:lineRule="atLeast"/>
        <w:rPr>
          <w:lang w:val="en-US" w:eastAsia="en-US" w:bidi="ar-SA"/>
        </w:rPr>
      </w:pPr>
      <w:r>
        <w:rPr>
          <w:rFonts w:ascii="arial" w:eastAsia="arial" w:hAnsi="arial" w:cs="arial"/>
          <w:color w:val="000000"/>
          <w:sz w:val="20"/>
          <w:lang w:val="en-US" w:eastAsia="en-US" w:bidi="ar-SA"/>
        </w:rPr>
        <w:t>MPJI-Cr 4:17.2, MPJI-Cr 4:17.12, MPJI-Cr 4:17.4.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Source:</w:t>
      </w:r>
      <w:r>
        <w:rPr>
          <w:rFonts w:ascii="arial" w:eastAsia="arial" w:hAnsi="arial" w:cs="arial"/>
          <w:color w:val="000000"/>
          <w:sz w:val="20"/>
          <w:lang w:val="en-US" w:eastAsia="en-US" w:bidi="ar-SA"/>
        </w:rPr>
        <w:t> MICPEL</w:t>
      </w:r>
    </w:p>
    <w:p>
      <w:pPr>
        <w:spacing w:before="240" w:line="220" w:lineRule="atLeast"/>
        <w:rPr>
          <w:lang w:val="en-US" w:eastAsia="en-US" w:bidi="ar-SA"/>
        </w:rPr>
      </w:pPr>
      <w:r>
        <w:rPr>
          <w:rFonts w:ascii="arial" w:eastAsia="arial" w:hAnsi="arial" w:cs="arial"/>
          <w:color w:val="000000"/>
          <w:sz w:val="16"/>
          <w:lang w:val="en-US" w:eastAsia="en-US" w:bidi="ar-SA"/>
        </w:rPr>
        <w:t>Maryland Criminal Pattern Jury Instructions</w:t>
      </w:r>
    </w:p>
    <w:p>
      <w:pPr>
        <w:spacing w:line="220" w:lineRule="atLeast"/>
        <w:rPr>
          <w:lang w:val="en-US" w:eastAsia="en-US" w:bidi="ar-SA"/>
        </w:rPr>
      </w:pPr>
      <w:r>
        <w:rPr>
          <w:rFonts w:ascii="arial" w:eastAsia="arial" w:hAnsi="arial" w:cs="arial"/>
          <w:color w:val="000000"/>
          <w:sz w:val="16"/>
          <w:lang w:val="en-US" w:eastAsia="en-US" w:bidi="ar-SA"/>
        </w:rPr>
        <w:t>Copyright 2018 by The Maryland State Bar Association, Inc.</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0" style="position:absolute;z-index:2516869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5"/>
          <w:headerReference w:type="default" r:id="rId216"/>
          <w:footerReference w:type="even" r:id="rId217"/>
          <w:footerReference w:type="default" r:id="rId218"/>
          <w:headerReference w:type="first" r:id="rId219"/>
          <w:footerReference w:type="first" r:id="rId220"/>
          <w:type w:val="nextPage"/>
          <w:pgSz w:w="12240" w:h="15840"/>
          <w:pgMar w:top="840" w:right="1000" w:bottom="840" w:left="1000" w:header="400" w:footer="400"/>
          <w:pgNumType w:fmt="decimal"/>
          <w:cols w:space="720"/>
          <w:titlePg/>
        </w:sectPr>
      </w:pPr>
    </w:p>
    <w:p>
      <w:pPr>
        <w:rPr>
          <w:lang w:val="en-US" w:eastAsia="en-US" w:bidi="ar-SA"/>
        </w:rPr>
      </w:pPr>
      <w:bookmarkStart w:id="10" w:name="Bookmark_11"/>
      <w:bookmarkEnd w:id="10"/>
    </w:p>
    <w:p>
      <w:pPr>
        <w:rPr>
          <w:lang w:val="en-US" w:eastAsia="en-US" w:bidi="ar-SA"/>
        </w:rPr>
      </w:pPr>
      <w:r>
        <w:pict>
          <v:shape id="_x0000_i1061" type="#_x0000_t75" alt="LexisNexis®" style="width:147.77pt;height:30pt">
            <v:imagedata r:id="rId4" o:title=""/>
          </v:shape>
        </w:pict>
      </w:r>
      <w:r>
        <w:rPr>
          <w:lang w:val="en-US" w:eastAsia="en-US" w:bidi="ar-SA"/>
        </w:rPr>
        <w:cr/>
      </w:r>
    </w:p>
    <w:p>
      <w:pPr>
        <w:spacing w:before="240" w:after="200" w:line="340" w:lineRule="atLeast"/>
        <w:jc w:val="center"/>
        <w:outlineLvl w:val="0"/>
        <w:rPr>
          <w:rFonts w:ascii="Arial" w:hAnsi="Arial" w:cs="Arial"/>
          <w:b/>
          <w:bCs/>
          <w:kern w:val="32"/>
          <w:sz w:val="32"/>
          <w:szCs w:val="32"/>
          <w:lang w:val="en-US" w:eastAsia="en-US" w:bidi="ar-SA"/>
        </w:rPr>
      </w:pPr>
      <w:hyperlink r:id="rId221" w:history="1">
        <w:r>
          <w:rPr>
            <w:rFonts w:ascii="arial" w:eastAsia="arial" w:hAnsi="arial" w:cs="arial"/>
            <w:b/>
            <w:bCs/>
            <w:i/>
            <w:color w:val="0077CC"/>
            <w:kern w:val="32"/>
            <w:sz w:val="28"/>
            <w:szCs w:val="32"/>
            <w:u w:val="single"/>
            <w:lang w:val="en-US" w:eastAsia="en-US" w:bidi="ar-SA"/>
          </w:rPr>
          <w:t>MPJI-Cr 5:08</w:t>
        </w:r>
      </w:hyperlink>
    </w:p>
    <w:p>
      <w:pPr>
        <w:spacing w:line="240" w:lineRule="atLeast"/>
        <w:jc w:val="both"/>
        <w:rPr>
          <w:lang w:val="en-US" w:eastAsia="en-US" w:bidi="ar-SA"/>
        </w:rPr>
      </w:pPr>
    </w:p>
    <w:p>
      <w:pPr>
        <w:spacing w:before="200" w:line="280" w:lineRule="atLeast"/>
        <w:rPr>
          <w:lang w:val="en-US" w:eastAsia="en-US" w:bidi="ar-SA"/>
        </w:rPr>
      </w:pPr>
      <w:r>
        <w:rPr>
          <w:rFonts w:ascii="arial" w:eastAsia="arial" w:hAnsi="arial" w:cs="arial"/>
          <w:b/>
          <w:i/>
          <w:color w:val="000000"/>
          <w:sz w:val="22"/>
          <w:lang w:val="en-US" w:eastAsia="en-US" w:bidi="ar-SA"/>
        </w:rPr>
        <w:t>Maryland Criminal Pattern Jury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CHAPTER 5 DEFENSES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VOLUNTARY INTOXICATION--SPECIFIC INTENT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5:08Voluntary Intoxication--Specific Intent</w:t>
      </w:r>
    </w:p>
    <w:p>
      <w:pPr>
        <w:spacing w:line="60" w:lineRule="exact"/>
        <w:rPr>
          <w:lang w:val="en-US" w:eastAsia="en-US" w:bidi="ar-SA"/>
        </w:rPr>
      </w:pPr>
      <w:r>
        <w:pict>
          <v:line id="_x0000_s1062" style="position:absolute;z-index:2516684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color w:val="000000"/>
          <w:sz w:val="20"/>
          <w:lang w:val="en-US" w:eastAsia="en-US" w:bidi="ar-SA"/>
        </w:rPr>
        <w:t>You have heard evidence that the defendant acted while intoxicated by [drugs] [alcohol]. Generally, voluntary intoxication is not a defense and does not excuse or justify criminal conduct. However, when charged with an offense requiring a specific intent, the defendant cannot be guilty if [he] [she] was so intoxicated, at the time of the act, that [he] [she] was unable to form the necessary intent</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color w:val="000000"/>
          <w:sz w:val="20"/>
          <w:lang w:val="en-US" w:eastAsia="en-US" w:bidi="ar-SA"/>
        </w:rPr>
        <w:t>A specific intent is a state of mind in which the defendant intends that [his] [her] act will cause a specific result. In this case, the defendant is charged with the offense of (</w:t>
      </w:r>
      <w:r>
        <w:rPr>
          <w:rFonts w:ascii="arial" w:eastAsia="arial" w:hAnsi="arial" w:cs="arial"/>
          <w:b/>
          <w:color w:val="000000"/>
          <w:sz w:val="20"/>
          <w:u w:val="single"/>
          <w:lang w:val="en-US" w:eastAsia="en-US" w:bidi="ar-SA"/>
        </w:rPr>
        <w:t>offense requiring a specific intent</w:t>
      </w:r>
      <w:r>
        <w:rPr>
          <w:rFonts w:ascii="arial" w:eastAsia="arial" w:hAnsi="arial" w:cs="arial"/>
          <w:b/>
          <w:color w:val="000000"/>
          <w:sz w:val="20"/>
          <w:lang w:val="en-US" w:eastAsia="en-US" w:bidi="ar-SA"/>
        </w:rPr>
        <w:t>), which requires the State to prove that the defendant acted with the specific intent to (</w:t>
      </w:r>
      <w:r>
        <w:rPr>
          <w:rFonts w:ascii="arial" w:eastAsia="arial" w:hAnsi="arial" w:cs="arial"/>
          <w:b/>
          <w:color w:val="000000"/>
          <w:sz w:val="20"/>
          <w:u w:val="single"/>
          <w:lang w:val="en-US" w:eastAsia="en-US" w:bidi="ar-SA"/>
        </w:rPr>
        <w:t>specific intent</w:t>
      </w:r>
      <w:r>
        <w:rPr>
          <w:rFonts w:ascii="arial" w:eastAsia="arial" w:hAnsi="arial" w:cs="arial"/>
          <w:b/>
          <w:color w:val="000000"/>
          <w:sz w:val="20"/>
          <w:lang w:val="en-US" w:eastAsia="en-US" w:bidi="ar-SA"/>
        </w:rPr>
        <w:t>). [Voluntary intoxication is not a defense to (</w:t>
      </w:r>
      <w:r>
        <w:rPr>
          <w:rFonts w:ascii="arial" w:eastAsia="arial" w:hAnsi="arial" w:cs="arial"/>
          <w:b/>
          <w:color w:val="000000"/>
          <w:sz w:val="20"/>
          <w:u w:val="single"/>
          <w:lang w:val="en-US" w:eastAsia="en-US" w:bidi="ar-SA"/>
        </w:rPr>
        <w:t>offense not requiring a specific intent</w:t>
      </w:r>
      <w:r>
        <w:rPr>
          <w:rFonts w:ascii="arial" w:eastAsia="arial" w:hAnsi="arial" w:cs="arial"/>
          <w:b/>
          <w:color w:val="000000"/>
          <w:sz w:val="20"/>
          <w:lang w:val="en-US" w:eastAsia="en-US" w:bidi="ar-SA"/>
        </w:rPr>
        <w:t>), (</w:t>
      </w:r>
      <w:r>
        <w:rPr>
          <w:rFonts w:ascii="arial" w:eastAsia="arial" w:hAnsi="arial" w:cs="arial"/>
          <w:b/>
          <w:color w:val="000000"/>
          <w:sz w:val="20"/>
          <w:u w:val="single"/>
          <w:lang w:val="en-US" w:eastAsia="en-US" w:bidi="ar-SA"/>
        </w:rPr>
        <w:t>offense not requiring a specific intent</w:t>
      </w:r>
      <w:r>
        <w:rPr>
          <w:rFonts w:ascii="arial" w:eastAsia="arial" w:hAnsi="arial" w:cs="arial"/>
          <w:b/>
          <w:color w:val="000000"/>
          <w:sz w:val="20"/>
          <w:lang w:val="en-US" w:eastAsia="en-US" w:bidi="ar-SA"/>
        </w:rPr>
        <w:t>), and (</w:t>
      </w:r>
      <w:r>
        <w:rPr>
          <w:rFonts w:ascii="arial" w:eastAsia="arial" w:hAnsi="arial" w:cs="arial"/>
          <w:b/>
          <w:color w:val="000000"/>
          <w:sz w:val="20"/>
          <w:u w:val="single"/>
          <w:lang w:val="en-US" w:eastAsia="en-US" w:bidi="ar-SA"/>
        </w:rPr>
        <w:t>offense not requiring a specific intent</w:t>
      </w:r>
      <w:r>
        <w:rPr>
          <w:rFonts w:ascii="arial" w:eastAsia="arial" w:hAnsi="arial" w:cs="arial"/>
          <w:b/>
          <w:color w:val="000000"/>
          <w:sz w:val="20"/>
          <w:lang w:val="en-US" w:eastAsia="en-US" w:bidi="ar-SA"/>
        </w:rPr>
        <w:t>).]</w:t>
      </w:r>
    </w:p>
    <w:p>
      <w:pPr>
        <w:spacing w:before="200" w:line="260" w:lineRule="atLeast"/>
        <w:jc w:val="both"/>
        <w:rPr>
          <w:lang w:val="en-US" w:eastAsia="en-US" w:bidi="ar-SA"/>
        </w:rPr>
      </w:pPr>
      <w:r>
        <w:rPr>
          <w:rFonts w:ascii="arial" w:eastAsia="arial" w:hAnsi="arial" w:cs="arial"/>
          <w:b/>
          <w:color w:val="000000"/>
          <w:sz w:val="20"/>
          <w:lang w:val="en-US" w:eastAsia="en-US" w:bidi="ar-SA"/>
        </w:rPr>
        <w:t>In order to convict the defendant, the State must prove, beyond a reasonable doubt, that the degree of the intoxication did not prevent the defendant from acting with that specific intent. A person can be [drinking] [taking drugs] and can even be intoxicated, but still have the necessary mental faculties to act with a specific intent</w:t>
      </w:r>
      <w:r>
        <w:rPr>
          <w:rFonts w:ascii="arial" w:eastAsia="arial" w:hAnsi="arial" w:cs="arial"/>
          <w:color w:val="000000"/>
          <w:sz w:val="20"/>
          <w:lang w:val="en-US" w:eastAsia="en-US" w:bidi="ar-SA"/>
        </w:rPr>
        <w:t>.</w:t>
      </w:r>
    </w:p>
    <w:p>
      <w:pPr>
        <w:rPr>
          <w:lang w:val="en-US" w:eastAsia="en-US" w:bidi="ar-SA"/>
        </w:rPr>
      </w:pPr>
    </w:p>
    <w:tbl>
      <w:tblPr>
        <w:tblStyle w:val="TableNormal"/>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
      <w:tblGrid>
        <w:gridCol w:w="10240"/>
      </w:tblGrid>
      <w:tr>
        <w:tblPrEx>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Ex>
        <w:tc>
          <w:tcPr>
            <w:tcW w:w="10240" w:type="dxa"/>
            <w:vAlign w:val="center"/>
          </w:tcPr>
          <w:p>
            <w:pPr>
              <w:spacing w:before="240" w:line="260" w:lineRule="atLeast"/>
              <w:ind w:left="60" w:right="360"/>
              <w:rPr>
                <w:lang w:val="en-US" w:eastAsia="en-US" w:bidi="ar-SA"/>
              </w:rPr>
            </w:pPr>
            <w:r>
              <w:rPr>
                <w:rFonts w:ascii="arial" w:eastAsia="arial" w:hAnsi="arial" w:cs="arial"/>
                <w:b/>
                <w:color w:val="000000"/>
                <w:sz w:val="20"/>
                <w:lang w:val="en-US" w:eastAsia="en-US" w:bidi="ar-SA"/>
              </w:rPr>
              <w:t> </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COMMENT</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The following is a list of instructions for offenses that (1) have been judicially determined to be specific intent offenses by the Court of Appeals or Court of Special Appeals, or (2) contain plain statutory language clearly indicating a specific intent. Note: This may not be a complete list. MPJI-Cr 4:00 (Arson--Dwelling), MPJI-Cr 4:00.1 (Arson--Occupied Structure), MPJI-Cr 4:00.2 (Arson--Vehicle or Other Structure), MPJI-Cr 4:00.3 (Arson--Malicious Burning of Personal Property), MPJI-Cr 4:00.4 (Arson--Burning to Defraud), MPJI-Cr 4:01 (Second Degree Assault--Method A (Intent to Frighten)), MPJI-Cr 4:01.1 (First Degree Assault) (when the aggravating factor is the specific intent to cause serious physical injury), MPJI-Cr 4:02 (Attempt), MPJI-Cr 4:03 (Bad Check--Insufficient Funds), MPJI-Cr 4:03.1 (Bad Check--Stop Payment), MPJI-Cr 4:05 (Bribery and Attempted Bribery--Bribors), MPJI-Cr 4:05.1 (Bribery and Attempted Bribery--Bribees), MPJI-Cr 4:06 (Burglary--First Degree), MPJI-Cr 4:06.1 (Burglary--Second Degree), MPJI-Cr 4:06.2 (Burglary--Third Degree), MPJI-Cr 4:06.5 (Burglary--Fourth Degree (In or on Building with Intent)), MPJI-Cr 4:06.6 (Burglary--Fourth Degree (Rogue and Vagabond)), MPJI-Cr 4:06A (Burglary-Home Invasion), MPJI-Cr 4:08 (Conspiracy), MPJI-Cr 4:12 (Extortion by Verbal or Written Threat--Falsity not an Element), MPJI-Cr 4:12.1 (Extortion--Falsity an Element), MPJI-Cr 4:14 (Counterfeiting--False Making or Alteration), MPJI-Cr 4:14.1 (Counterfeiting--Issuing a Counterfeit Document), MPJI-Cr 4:14.2 (Counterfeiting a Credit Card), MPJI-Cr 4:14.3 (Fraud in Procuring Issuance of a Credit Card), MPJI-Cr 4:15 (Fraud--Medicaid), MPJI-Cr 4:15.1 (Fraud--Public Assistance), MPJI-Cr 4:19 (Kidnapping), MPJI-Cr 4:17.15 (Human Trafficking--Prostitution), MPJI-Cr 4:17.16 (Human Trafficking--Sexually Explicit Performance), MPJI-Cr 4:17.17 (Human Trafficking--Document Concealment or Destruction), MPJI-Cr 4:17.18 (Human Trafficking-Parent/Person with Care and Responsibility of Another), MPJI-Cr 4:17.19 (Human Trafficking--Minor), MPJI-Cr 4:19.1 (Kidnapping (Underlying Crime)), MPJI-Cr 4:20 (Malicious Destruction of Property), MPJI-Cr 4:22 (Misappropriation by a Fiduciary), MPJI-Cr 4:24.1 (Narcotics and Controlled Dangerous Substance--Possession with Intent to Distribute), MPJI-Cr 4:24.4 (Narcotics and Controlled Dangerous Substance--Drug Paraphernalia (Use or Possession)) (when the method is possession with intent to use), MPJI-Cr 4:24.5 (Narcotics and Controlled Dangerous Substance--Drug Paraphernalia (Delivery or Sale of Drug Paraphernalia)) (when the method is possession or manufacture with intent to deliver or sell), MPJI-Cr 4:24.7 (Narcotics and Controlled Dangerous Substance--Drug Paraphernalia (Possession or Distribution of Controlled Paraphernalia), MPJI-Cr 4:24.10 (Narcotics and Controlled Dangerous Substance--Drug Kingpin), MPJI-Cr 4:25 (Obstruction of Justice--Jurors or Officials), MPJI-Cr 4:26.2 (Perjury--Subornation--Testimonial), MPJI-Cr 4:26.4 (Perjury--Subornation--Affidavit), MPJI-Cr 4:28 (Robbery), MPJI-Cr 4:28.1 (Robbery with a Dangerous Weapon), MPJI-Cr 4:29.7 (Sexual Offenses--Third Degree Sexual Offense), MPJI-Cr 4:31 (Solicitation), MPJI-Cr 4:32 (Theft--Obtaining or Exerting Unauthorized Control), MPJI-Cr 4:32.1 (Theft--Obtaining Control by Deception), MPJI-Cr 4:32.2 (Theft--Possession of Stolen Property), MPJI-Cr 4:35 (Weapons--Carrying a Dangerous Weapon Openly with Intent to Injure), MPJI-Cr 4:32.5 (Credit Card Theft), and MPJI-Cr 4:35.3 (Weapons--Transporting a Handgun in a Vehicle with the Purpose of Killing or Injuring Another).</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When a crime requires a specific intent, voluntary intoxication may be considered in determining whether the accused possessed the requisite mental capacity to commit the crime. </w:t>
            </w:r>
            <w:hyperlink r:id="rId222" w:history="1">
              <w:r>
                <w:rPr>
                  <w:rFonts w:ascii="arial" w:eastAsia="arial" w:hAnsi="arial" w:cs="arial"/>
                  <w:i/>
                  <w:color w:val="0077CC"/>
                  <w:sz w:val="20"/>
                  <w:u w:val="single"/>
                  <w:lang w:val="en-US" w:eastAsia="en-US" w:bidi="ar-SA"/>
                </w:rPr>
                <w:t>Shell v. State, 307 Md. 46, 58-68, 512 A.2d 358, 364-69 (1986)</w:t>
              </w:r>
            </w:hyperlink>
            <w:r>
              <w:rPr>
                <w:rFonts w:ascii="arial" w:eastAsia="arial" w:hAnsi="arial" w:cs="arial"/>
                <w:color w:val="000000"/>
                <w:sz w:val="20"/>
                <w:lang w:val="en-US" w:eastAsia="en-US" w:bidi="ar-SA"/>
              </w:rPr>
              <w:t xml:space="preserve"> (defense to malicious destruction of property); </w:t>
            </w:r>
            <w:hyperlink r:id="rId223" w:history="1">
              <w:r>
                <w:rPr>
                  <w:rFonts w:ascii="arial" w:eastAsia="arial" w:hAnsi="arial" w:cs="arial"/>
                  <w:i/>
                  <w:color w:val="0077CC"/>
                  <w:sz w:val="20"/>
                  <w:u w:val="single"/>
                  <w:lang w:val="en-US" w:eastAsia="en-US" w:bidi="ar-SA"/>
                </w:rPr>
                <w:t>State v. Gover, 267 Md. 602, 298 A.2d 378 (1973)</w:t>
              </w:r>
            </w:hyperlink>
            <w:r>
              <w:rPr>
                <w:rFonts w:ascii="arial" w:eastAsia="arial" w:hAnsi="arial" w:cs="arial"/>
                <w:color w:val="000000"/>
                <w:sz w:val="20"/>
                <w:lang w:val="en-US" w:eastAsia="en-US" w:bidi="ar-SA"/>
              </w:rPr>
              <w:t xml:space="preserve"> (defense to robbery); </w:t>
            </w:r>
            <w:hyperlink r:id="rId224" w:history="1">
              <w:r>
                <w:rPr>
                  <w:rFonts w:ascii="arial" w:eastAsia="arial" w:hAnsi="arial" w:cs="arial"/>
                  <w:i/>
                  <w:color w:val="0077CC"/>
                  <w:sz w:val="20"/>
                  <w:u w:val="single"/>
                  <w:lang w:val="en-US" w:eastAsia="en-US" w:bidi="ar-SA"/>
                </w:rPr>
                <w:t>Avey v. State, 249 Md. 385, 240 A.2d 107 (1968)</w:t>
              </w:r>
            </w:hyperlink>
            <w:r>
              <w:rPr>
                <w:rFonts w:ascii="arial" w:eastAsia="arial" w:hAnsi="arial" w:cs="arial"/>
                <w:color w:val="000000"/>
                <w:sz w:val="20"/>
                <w:lang w:val="en-US" w:eastAsia="en-US" w:bidi="ar-SA"/>
              </w:rPr>
              <w:t xml:space="preserve"> (defense to assault with intent to murder and assault with intent to maim); </w:t>
            </w:r>
            <w:hyperlink r:id="rId225" w:history="1">
              <w:r>
                <w:rPr>
                  <w:rFonts w:ascii="arial" w:eastAsia="arial" w:hAnsi="arial" w:cs="arial"/>
                  <w:i/>
                  <w:color w:val="0077CC"/>
                  <w:sz w:val="20"/>
                  <w:u w:val="single"/>
                  <w:lang w:val="en-US" w:eastAsia="en-US" w:bidi="ar-SA"/>
                </w:rPr>
                <w:t>Bey v. State, 140 Md. App. 607, 781 A.2d 952 (2001)</w:t>
              </w:r>
            </w:hyperlink>
            <w:r>
              <w:rPr>
                <w:rFonts w:ascii="arial" w:eastAsia="arial" w:hAnsi="arial" w:cs="arial"/>
                <w:color w:val="000000"/>
                <w:sz w:val="20"/>
                <w:lang w:val="en-US" w:eastAsia="en-US" w:bidi="ar-SA"/>
              </w:rPr>
              <w:t xml:space="preserve"> (defense to first degree murder); </w:t>
            </w:r>
            <w:hyperlink r:id="rId189" w:history="1">
              <w:r>
                <w:rPr>
                  <w:rFonts w:ascii="arial" w:eastAsia="arial" w:hAnsi="arial" w:cs="arial"/>
                  <w:i/>
                  <w:color w:val="0077CC"/>
                  <w:sz w:val="20"/>
                  <w:u w:val="single"/>
                  <w:lang w:val="en-US" w:eastAsia="en-US" w:bidi="ar-SA"/>
                </w:rPr>
                <w:t>Bryant v. State, 83 Md. App. 237, 574 A.2d 29 (1990)</w:t>
              </w:r>
            </w:hyperlink>
            <w:r>
              <w:rPr>
                <w:rFonts w:ascii="arial" w:eastAsia="arial" w:hAnsi="arial" w:cs="arial"/>
                <w:color w:val="000000"/>
                <w:sz w:val="20"/>
                <w:lang w:val="en-US" w:eastAsia="en-US" w:bidi="ar-SA"/>
              </w:rPr>
              <w:t xml:space="preserve"> (statutory maiming under MD. CODE ANN., CRIMINAL LAW I § 3-202 (2012 &amp; Supp. 2018); </w:t>
            </w:r>
            <w:hyperlink r:id="rId226" w:history="1">
              <w:r>
                <w:rPr>
                  <w:rFonts w:ascii="arial" w:eastAsia="arial" w:hAnsi="arial" w:cs="arial"/>
                  <w:i/>
                  <w:color w:val="0077CC"/>
                  <w:sz w:val="20"/>
                  <w:u w:val="single"/>
                  <w:lang w:val="en-US" w:eastAsia="en-US" w:bidi="ar-SA"/>
                </w:rPr>
                <w:t>Lewis v. State, 79 Md. App. 1, 9 n.2, 555 A.2d 509, 512-13 n.2</w:t>
              </w:r>
            </w:hyperlink>
            <w:r>
              <w:rPr>
                <w:rFonts w:ascii="arial" w:eastAsia="arial" w:hAnsi="arial" w:cs="arial"/>
                <w:color w:val="000000"/>
                <w:sz w:val="20"/>
                <w:lang w:val="en-US" w:eastAsia="en-US" w:bidi="ar-SA"/>
              </w:rPr>
              <w:t xml:space="preserve"> (attempt),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316 Md. 549, 560 A.2d 1118 (1989);</w:t>
            </w:r>
            <w:r>
              <w:rPr>
                <w:rFonts w:ascii="arial" w:eastAsia="arial" w:hAnsi="arial" w:cs="arial"/>
                <w:color w:val="000000"/>
                <w:sz w:val="20"/>
                <w:lang w:val="en-US" w:eastAsia="en-US" w:bidi="ar-SA"/>
              </w:rPr>
              <w:t xml:space="preserve"> </w:t>
            </w:r>
            <w:hyperlink r:id="rId227" w:history="1">
              <w:r>
                <w:rPr>
                  <w:rFonts w:ascii="arial" w:eastAsia="arial" w:hAnsi="arial" w:cs="arial"/>
                  <w:i/>
                  <w:color w:val="0077CC"/>
                  <w:sz w:val="20"/>
                  <w:u w:val="single"/>
                  <w:lang w:val="en-US" w:eastAsia="en-US" w:bidi="ar-SA"/>
                </w:rPr>
                <w:t>Cirincione v. State, 75 Md. App. 166, 171 n.1, 540 A.2d 1151, 1154 n.1</w:t>
              </w:r>
            </w:hyperlink>
            <w:r>
              <w:rPr>
                <w:rFonts w:ascii="arial" w:eastAsia="arial" w:hAnsi="arial" w:cs="arial"/>
                <w:color w:val="000000"/>
                <w:sz w:val="20"/>
                <w:lang w:val="en-US" w:eastAsia="en-US" w:bidi="ar-SA"/>
              </w:rPr>
              <w:t xml:space="preserve"> (burglary),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hyperlink r:id="rId228" w:history="1">
              <w:r>
                <w:rPr>
                  <w:rFonts w:ascii="arial" w:eastAsia="arial" w:hAnsi="arial" w:cs="arial"/>
                  <w:i/>
                  <w:color w:val="0077CC"/>
                  <w:sz w:val="20"/>
                  <w:u w:val="single"/>
                  <w:lang w:val="en-US" w:eastAsia="en-US" w:bidi="ar-SA"/>
                </w:rPr>
                <w:t>313 Md. 611, 547 A.2d 188 (1988);</w:t>
              </w:r>
            </w:hyperlink>
            <w:r>
              <w:rPr>
                <w:rFonts w:ascii="arial" w:eastAsia="arial" w:hAnsi="arial" w:cs="arial"/>
                <w:color w:val="000000"/>
                <w:sz w:val="20"/>
                <w:lang w:val="en-US" w:eastAsia="en-US" w:bidi="ar-SA"/>
              </w:rPr>
              <w:t xml:space="preserve"> </w:t>
            </w:r>
            <w:hyperlink r:id="rId229" w:history="1">
              <w:r>
                <w:rPr>
                  <w:rFonts w:ascii="arial" w:eastAsia="arial" w:hAnsi="arial" w:cs="arial"/>
                  <w:i/>
                  <w:color w:val="0077CC"/>
                  <w:sz w:val="20"/>
                  <w:u w:val="single"/>
                  <w:lang w:val="en-US" w:eastAsia="en-US" w:bidi="ar-SA"/>
                </w:rPr>
                <w:t>Clarke v. State, 3 Md. App. 447, 240 A.2d 291 (1968)</w:t>
              </w:r>
            </w:hyperlink>
            <w:r>
              <w:rPr>
                <w:rFonts w:ascii="arial" w:eastAsia="arial" w:hAnsi="arial" w:cs="arial"/>
                <w:color w:val="000000"/>
                <w:sz w:val="20"/>
                <w:lang w:val="en-US" w:eastAsia="en-US" w:bidi="ar-SA"/>
              </w:rPr>
              <w:t xml:space="preserve"> (defense to larceny). However, it is not a defense to a general intent crime. </w:t>
            </w:r>
            <w:r>
              <w:rPr>
                <w:rFonts w:ascii="arial" w:eastAsia="arial" w:hAnsi="arial" w:cs="arial"/>
                <w:i/>
                <w:color w:val="000000"/>
                <w:sz w:val="20"/>
                <w:lang w:val="en-US" w:eastAsia="en-US" w:bidi="ar-SA"/>
              </w:rPr>
              <w:t xml:space="preserve">E.g., </w:t>
            </w:r>
            <w:hyperlink r:id="rId230" w:history="1">
              <w:r>
                <w:rPr>
                  <w:rFonts w:ascii="arial" w:eastAsia="arial" w:hAnsi="arial" w:cs="arial"/>
                  <w:i/>
                  <w:color w:val="0077CC"/>
                  <w:sz w:val="20"/>
                  <w:u w:val="single"/>
                  <w:lang w:val="en-US" w:eastAsia="en-US" w:bidi="ar-SA"/>
                </w:rPr>
                <w:t>Harris v. State, 353 Md. 596, 728 A.2d 180 (1999)</w:t>
              </w:r>
            </w:hyperlink>
            <w:r>
              <w:rPr>
                <w:rFonts w:ascii="arial" w:eastAsia="arial" w:hAnsi="arial" w:cs="arial"/>
                <w:color w:val="000000"/>
                <w:sz w:val="20"/>
                <w:lang w:val="en-US" w:eastAsia="en-US" w:bidi="ar-SA"/>
              </w:rPr>
              <w:t xml:space="preserve"> (not a defense to carjacking); </w:t>
            </w:r>
            <w:hyperlink r:id="rId222" w:history="1">
              <w:r>
                <w:rPr>
                  <w:rFonts w:ascii="arial" w:eastAsia="arial" w:hAnsi="arial" w:cs="arial"/>
                  <w:i/>
                  <w:color w:val="0077CC"/>
                  <w:sz w:val="20"/>
                  <w:u w:val="single"/>
                  <w:lang w:val="en-US" w:eastAsia="en-US" w:bidi="ar-SA"/>
                </w:rPr>
                <w:t>Shell, 307 Md. at 68-70, 512 A.2d at 369-70</w:t>
              </w:r>
            </w:hyperlink>
            <w:r>
              <w:rPr>
                <w:rFonts w:ascii="arial" w:eastAsia="arial" w:hAnsi="arial" w:cs="arial"/>
                <w:color w:val="000000"/>
                <w:sz w:val="20"/>
                <w:lang w:val="en-US" w:eastAsia="en-US" w:bidi="ar-SA"/>
              </w:rPr>
              <w:t xml:space="preserve"> (not a defense to knowingly transporting a handgun in a vehicle); </w:t>
            </w:r>
            <w:hyperlink r:id="rId189" w:history="1">
              <w:r>
                <w:rPr>
                  <w:rFonts w:ascii="arial" w:eastAsia="arial" w:hAnsi="arial" w:cs="arial"/>
                  <w:i/>
                  <w:color w:val="0077CC"/>
                  <w:sz w:val="20"/>
                  <w:u w:val="single"/>
                  <w:lang w:val="en-US" w:eastAsia="en-US" w:bidi="ar-SA"/>
                </w:rPr>
                <w:t>Bryant, 83 Md. App. at 237, 574 A.2d at 29</w:t>
              </w:r>
            </w:hyperlink>
            <w:r>
              <w:rPr>
                <w:rFonts w:ascii="arial" w:eastAsia="arial" w:hAnsi="arial" w:cs="arial"/>
                <w:color w:val="000000"/>
                <w:sz w:val="20"/>
                <w:lang w:val="en-US" w:eastAsia="en-US" w:bidi="ar-SA"/>
              </w:rPr>
              <w:t xml:space="preserve"> (not a defense to assault and battery); </w:t>
            </w:r>
            <w:hyperlink r:id="rId231" w:history="1">
              <w:r>
                <w:rPr>
                  <w:rFonts w:ascii="arial" w:eastAsia="arial" w:hAnsi="arial" w:cs="arial"/>
                  <w:i/>
                  <w:color w:val="0077CC"/>
                  <w:sz w:val="20"/>
                  <w:u w:val="single"/>
                  <w:lang w:val="en-US" w:eastAsia="en-US" w:bidi="ar-SA"/>
                </w:rPr>
                <w:t>Biggs v. State, 56 Md. App. 638, 468 A.2d 669 (1983)</w:t>
              </w:r>
            </w:hyperlink>
            <w:r>
              <w:rPr>
                <w:rFonts w:ascii="arial" w:eastAsia="arial" w:hAnsi="arial" w:cs="arial"/>
                <w:color w:val="000000"/>
                <w:sz w:val="20"/>
                <w:lang w:val="en-US" w:eastAsia="en-US" w:bidi="ar-SA"/>
              </w:rPr>
              <w:t xml:space="preserve"> (not a defense to the use of a handgun in the commission of a felony or crime of violence),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299 Md. 425, 474 A.2d 218 (1984);</w:t>
            </w:r>
            <w:r>
              <w:rPr>
                <w:rFonts w:ascii="arial" w:eastAsia="arial" w:hAnsi="arial" w:cs="arial"/>
                <w:color w:val="000000"/>
                <w:sz w:val="20"/>
                <w:lang w:val="en-US" w:eastAsia="en-US" w:bidi="ar-SA"/>
              </w:rPr>
              <w:t xml:space="preserve"> </w:t>
            </w:r>
            <w:hyperlink r:id="rId232" w:history="1">
              <w:r>
                <w:rPr>
                  <w:rFonts w:ascii="arial" w:eastAsia="arial" w:hAnsi="arial" w:cs="arial"/>
                  <w:i/>
                  <w:color w:val="0077CC"/>
                  <w:sz w:val="20"/>
                  <w:u w:val="single"/>
                  <w:lang w:val="en-US" w:eastAsia="en-US" w:bidi="ar-SA"/>
                </w:rPr>
                <w:t>Frank v. State, 6 Md. App. 332, 251 A.2d 249 (1969)</w:t>
              </w:r>
            </w:hyperlink>
            <w:r>
              <w:rPr>
                <w:rFonts w:ascii="arial" w:eastAsia="arial" w:hAnsi="arial" w:cs="arial"/>
                <w:color w:val="000000"/>
                <w:sz w:val="20"/>
                <w:lang w:val="en-US" w:eastAsia="en-US" w:bidi="ar-SA"/>
              </w:rPr>
              <w:t xml:space="preserve"> (not a defense to rape); </w:t>
            </w:r>
            <w:hyperlink r:id="rId233" w:history="1">
              <w:r>
                <w:rPr>
                  <w:rFonts w:ascii="arial" w:eastAsia="arial" w:hAnsi="arial" w:cs="arial"/>
                  <w:i/>
                  <w:color w:val="0077CC"/>
                  <w:sz w:val="20"/>
                  <w:u w:val="single"/>
                  <w:lang w:val="en-US" w:eastAsia="en-US" w:bidi="ar-SA"/>
                </w:rPr>
                <w:t>Smith v. State, 41 Md. App. 277, 398 A.2d 426 (1979)</w:t>
              </w:r>
            </w:hyperlink>
            <w:r>
              <w:rPr>
                <w:rFonts w:ascii="arial" w:eastAsia="arial" w:hAnsi="arial" w:cs="arial"/>
                <w:color w:val="000000"/>
                <w:sz w:val="20"/>
                <w:lang w:val="en-US" w:eastAsia="en-US" w:bidi="ar-SA"/>
              </w:rPr>
              <w:t xml:space="preserve"> (explanation of specific intent versus general intent).</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Voluntary intoxication requires the defendant to be so intoxicated as to render him incapable of forming the requisite specific intent. </w:t>
            </w:r>
            <w:hyperlink r:id="rId222" w:history="1">
              <w:r>
                <w:rPr>
                  <w:rFonts w:ascii="arial" w:eastAsia="arial" w:hAnsi="arial" w:cs="arial"/>
                  <w:i/>
                  <w:color w:val="0077CC"/>
                  <w:sz w:val="20"/>
                  <w:u w:val="single"/>
                  <w:lang w:val="en-US" w:eastAsia="en-US" w:bidi="ar-SA"/>
                </w:rPr>
                <w:t>Shell, 307 Md. at 61-65, 512 A.2d at 365-67;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see </w:t>
            </w:r>
            <w:hyperlink r:id="rId234" w:history="1">
              <w:r>
                <w:rPr>
                  <w:rFonts w:ascii="arial" w:eastAsia="arial" w:hAnsi="arial" w:cs="arial"/>
                  <w:i/>
                  <w:color w:val="0077CC"/>
                  <w:sz w:val="20"/>
                  <w:u w:val="single"/>
                  <w:lang w:val="en-US" w:eastAsia="en-US" w:bidi="ar-SA"/>
                </w:rPr>
                <w:t>Smith v. State, 69 Md. App. 115, 117-22, 516 A.2d 985, 987-89 (1986)</w:t>
              </w:r>
            </w:hyperlink>
            <w:r>
              <w:rPr>
                <w:rFonts w:ascii="arial" w:eastAsia="arial" w:hAnsi="arial" w:cs="arial"/>
                <w:color w:val="000000"/>
                <w:sz w:val="20"/>
                <w:lang w:val="en-US" w:eastAsia="en-US" w:bidi="ar-SA"/>
              </w:rPr>
              <w:t xml:space="preserve"> (discussing the amount of intoxication needed to generate the issue). The amount of intoxicant consumed, standing alone, cannot establish intoxication without evidence of its effect on the defendant. </w:t>
            </w:r>
            <w:hyperlink r:id="rId226" w:history="1">
              <w:r>
                <w:rPr>
                  <w:rFonts w:ascii="arial" w:eastAsia="arial" w:hAnsi="arial" w:cs="arial"/>
                  <w:i/>
                  <w:color w:val="0077CC"/>
                  <w:sz w:val="20"/>
                  <w:u w:val="single"/>
                  <w:lang w:val="en-US" w:eastAsia="en-US" w:bidi="ar-SA"/>
                </w:rPr>
                <w:t>Lewis, 79 Md. App. at 12-13, 555 A.2d at 514-15</w:t>
              </w:r>
            </w:hyperlink>
            <w:r>
              <w:rPr>
                <w:rFonts w:ascii="arial" w:eastAsia="arial" w:hAnsi="arial" w:cs="arial"/>
                <w:color w:val="000000"/>
                <w:sz w:val="20"/>
                <w:lang w:val="en-US" w:eastAsia="en-US" w:bidi="ar-SA"/>
              </w:rPr>
              <w:t xml:space="preserve"> (defendant's testimony was that he knew what he was doing). The impulse to commit the crime must arise subsequent to the intoxication. </w:t>
            </w:r>
            <w:r>
              <w:rPr>
                <w:rFonts w:ascii="arial" w:eastAsia="arial" w:hAnsi="arial" w:cs="arial"/>
                <w:i/>
                <w:color w:val="000000"/>
                <w:sz w:val="20"/>
                <w:lang w:val="en-US" w:eastAsia="en-US" w:bidi="ar-SA"/>
              </w:rPr>
              <w:t xml:space="preserve">See </w:t>
            </w:r>
            <w:hyperlink r:id="rId223" w:history="1">
              <w:r>
                <w:rPr>
                  <w:rFonts w:ascii="arial" w:eastAsia="arial" w:hAnsi="arial" w:cs="arial"/>
                  <w:i/>
                  <w:color w:val="0077CC"/>
                  <w:sz w:val="20"/>
                  <w:u w:val="single"/>
                  <w:lang w:val="en-US" w:eastAsia="en-US" w:bidi="ar-SA"/>
                </w:rPr>
                <w:t>Gover, 267 Md. at 602, 298 A.2d at 378;</w:t>
              </w:r>
            </w:hyperlink>
            <w:r>
              <w:rPr>
                <w:rFonts w:ascii="arial" w:eastAsia="arial" w:hAnsi="arial" w:cs="arial"/>
                <w:color w:val="000000"/>
                <w:sz w:val="20"/>
                <w:lang w:val="en-US" w:eastAsia="en-US" w:bidi="ar-SA"/>
              </w:rPr>
              <w:t xml:space="preserve"> </w:t>
            </w:r>
            <w:hyperlink r:id="rId235" w:history="1">
              <w:r>
                <w:rPr>
                  <w:rFonts w:ascii="arial" w:eastAsia="arial" w:hAnsi="arial" w:cs="arial"/>
                  <w:i/>
                  <w:color w:val="0077CC"/>
                  <w:sz w:val="20"/>
                  <w:u w:val="single"/>
                  <w:lang w:val="en-US" w:eastAsia="en-US" w:bidi="ar-SA"/>
                </w:rPr>
                <w:t>Myers v. State, 58 Md. App. 211, 472 A.2d 1027,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300 Md. 484, 479 A.2d 373 (1984).</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See generally</w:t>
            </w:r>
            <w:r>
              <w:rPr>
                <w:rFonts w:ascii="arial" w:eastAsia="arial" w:hAnsi="arial" w:cs="arial"/>
                <w:color w:val="000000"/>
                <w:sz w:val="20"/>
                <w:lang w:val="en-US" w:eastAsia="en-US" w:bidi="ar-SA"/>
              </w:rPr>
              <w:t xml:space="preserve"> ROLLIN M. PERKINS &amp; RONALD N. BOYCE, CRIMINAL LAW 1007-10 (3d ed. 1982).</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Voluntary intoxication can have the exculpatory effect on any crime requiring a specific intent. Thus, voluntary intoxication could negate guilt for criminal homicide of the specific-intent-to-kill variety at all levels of blameworthiness--first-degree murder, second-degree murder, and voluntary manslaughter. If voluntary intoxication has destroyed the capacity to form a specific intent to kill, and thereby precluded a conviction of a specific-intent-to-kill homicide, the defendant may still be convicted of depraved heart second-degree murder. The negation of the specific intent to kill does not take one down from a higher degree to a low degree of the same kind of murder, but rather it takes one down and over to a different kind of murder. </w:t>
            </w:r>
            <w:hyperlink r:id="rId236" w:history="1">
              <w:r>
                <w:rPr>
                  <w:rFonts w:ascii="arial" w:eastAsia="arial" w:hAnsi="arial" w:cs="arial"/>
                  <w:i/>
                  <w:color w:val="0077CC"/>
                  <w:sz w:val="20"/>
                  <w:u w:val="single"/>
                  <w:lang w:val="en-US" w:eastAsia="en-US" w:bidi="ar-SA"/>
                </w:rPr>
                <w:t>Hook v. State, 315 Md. 25, 29, 553 A.2d 233, 235 (1989);</w:t>
              </w:r>
            </w:hyperlink>
            <w:r>
              <w:rPr>
                <w:rFonts w:ascii="arial" w:eastAsia="arial" w:hAnsi="arial" w:cs="arial"/>
                <w:color w:val="000000"/>
                <w:sz w:val="20"/>
                <w:lang w:val="en-US" w:eastAsia="en-US" w:bidi="ar-SA"/>
              </w:rPr>
              <w:t xml:space="preserve"> </w:t>
            </w:r>
            <w:hyperlink r:id="rId237" w:history="1">
              <w:r>
                <w:rPr>
                  <w:rFonts w:ascii="arial" w:eastAsia="arial" w:hAnsi="arial" w:cs="arial"/>
                  <w:i/>
                  <w:color w:val="0077CC"/>
                  <w:sz w:val="20"/>
                  <w:u w:val="single"/>
                  <w:lang w:val="en-US" w:eastAsia="en-US" w:bidi="ar-SA"/>
                </w:rPr>
                <w:t>Chisley v. State, 202 Md. 87, 95 A.2d 577 (1953);</w:t>
              </w:r>
            </w:hyperlink>
            <w:r>
              <w:rPr>
                <w:rFonts w:ascii="arial" w:eastAsia="arial" w:hAnsi="arial" w:cs="arial"/>
                <w:color w:val="000000"/>
                <w:sz w:val="20"/>
                <w:lang w:val="en-US" w:eastAsia="en-US" w:bidi="ar-SA"/>
              </w:rPr>
              <w:t xml:space="preserve"> </w:t>
            </w:r>
            <w:hyperlink r:id="rId225" w:history="1">
              <w:r>
                <w:rPr>
                  <w:rFonts w:ascii="arial" w:eastAsia="arial" w:hAnsi="arial" w:cs="arial"/>
                  <w:i/>
                  <w:color w:val="0077CC"/>
                  <w:sz w:val="20"/>
                  <w:u w:val="single"/>
                  <w:lang w:val="en-US" w:eastAsia="en-US" w:bidi="ar-SA"/>
                </w:rPr>
                <w:t>Bey, 140 Md. App. at 607, 781 A.2d at 952;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see </w:t>
            </w:r>
            <w:hyperlink r:id="rId238" w:history="1">
              <w:r>
                <w:rPr>
                  <w:rFonts w:ascii="arial" w:eastAsia="arial" w:hAnsi="arial" w:cs="arial"/>
                  <w:i/>
                  <w:color w:val="0077CC"/>
                  <w:sz w:val="20"/>
                  <w:u w:val="single"/>
                  <w:lang w:val="en-US" w:eastAsia="en-US" w:bidi="ar-SA"/>
                </w:rPr>
                <w:t>Brown v. State, 90 Md. App. 220, 225-34, 600 A.2d 1126, 1128-33,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hyperlink r:id="rId239" w:history="1">
              <w:r>
                <w:rPr>
                  <w:rFonts w:ascii="arial" w:eastAsia="arial" w:hAnsi="arial" w:cs="arial"/>
                  <w:i/>
                  <w:color w:val="0077CC"/>
                  <w:sz w:val="20"/>
                  <w:u w:val="single"/>
                  <w:lang w:val="en-US" w:eastAsia="en-US" w:bidi="ar-SA"/>
                </w:rPr>
                <w:t>326 Md. 661, 607 A.2d 6 (1992);</w:t>
              </w:r>
            </w:hyperlink>
            <w:r>
              <w:rPr>
                <w:rFonts w:ascii="arial" w:eastAsia="arial" w:hAnsi="arial" w:cs="arial"/>
                <w:color w:val="000000"/>
                <w:sz w:val="20"/>
                <w:lang w:val="en-US" w:eastAsia="en-US" w:bidi="ar-SA"/>
              </w:rPr>
              <w:t xml:space="preserve"> </w:t>
            </w:r>
            <w:hyperlink r:id="rId240" w:history="1">
              <w:r>
                <w:rPr>
                  <w:rFonts w:ascii="arial" w:eastAsia="arial" w:hAnsi="arial" w:cs="arial"/>
                  <w:i/>
                  <w:color w:val="0077CC"/>
                  <w:sz w:val="20"/>
                  <w:u w:val="single"/>
                  <w:lang w:val="en-US" w:eastAsia="en-US" w:bidi="ar-SA"/>
                </w:rPr>
                <w:t>Jones v. State, 37 Md. App. 511, 378 A.2d 9 (1977);</w:t>
              </w:r>
            </w:hyperlink>
            <w:r>
              <w:rPr>
                <w:rFonts w:ascii="arial" w:eastAsia="arial" w:hAnsi="arial" w:cs="arial"/>
                <w:color w:val="000000"/>
                <w:sz w:val="20"/>
                <w:lang w:val="en-US" w:eastAsia="en-US" w:bidi="ar-SA"/>
              </w:rPr>
              <w:t xml:space="preserve"> </w:t>
            </w:r>
            <w:hyperlink r:id="rId241" w:history="1">
              <w:r>
                <w:rPr>
                  <w:rFonts w:ascii="arial" w:eastAsia="arial" w:hAnsi="arial" w:cs="arial"/>
                  <w:i/>
                  <w:color w:val="0077CC"/>
                  <w:sz w:val="20"/>
                  <w:u w:val="single"/>
                  <w:lang w:val="en-US" w:eastAsia="en-US" w:bidi="ar-SA"/>
                </w:rPr>
                <w:t>Bateman v. State, 10 Md. App. 630, 272 A.2d 64 (1971).</w:t>
              </w:r>
            </w:hyperlink>
            <w:r>
              <w:rPr>
                <w:rFonts w:ascii="arial" w:eastAsia="arial" w:hAnsi="arial" w:cs="arial"/>
                <w:color w:val="000000"/>
                <w:sz w:val="20"/>
                <w:lang w:val="en-US" w:eastAsia="en-US" w:bidi="ar-SA"/>
              </w:rPr>
              <w:t xml:space="preserve"> Judge Moylan suggested the following doctrinal explanation: Intoxication can negate any specific intent including the specific intent to kill and the specific intent to inflict grievous bodily harm. However, in murder, such conduct demonstrates the degree of consciousness of risk that establishes depraved heart murder, which is a general intent crime. </w:t>
            </w:r>
            <w:hyperlink r:id="rId227" w:history="1">
              <w:r>
                <w:rPr>
                  <w:rFonts w:ascii="arial" w:eastAsia="arial" w:hAnsi="arial" w:cs="arial"/>
                  <w:i/>
                  <w:color w:val="0077CC"/>
                  <w:sz w:val="20"/>
                  <w:u w:val="single"/>
                  <w:lang w:val="en-US" w:eastAsia="en-US" w:bidi="ar-SA"/>
                </w:rPr>
                <w:t>Cirincione, 75 Md. App. at 170 n.1, 540 A.2d at 1153-54 n.1.</w:t>
              </w:r>
            </w:hyperlink>
            <w:r>
              <w:rPr>
                <w:rFonts w:ascii="arial" w:eastAsia="arial" w:hAnsi="arial" w:cs="arial"/>
                <w:color w:val="000000"/>
                <w:sz w:val="20"/>
                <w:lang w:val="en-US" w:eastAsia="en-US" w:bidi="ar-SA"/>
              </w:rPr>
              <w:t xml:space="preserve"> Voluntary intoxication can serve as a defense to felony murder when the underlying felony is a specific intent crime. </w:t>
            </w:r>
            <w:hyperlink r:id="rId236" w:history="1">
              <w:r>
                <w:rPr>
                  <w:rFonts w:ascii="arial" w:eastAsia="arial" w:hAnsi="arial" w:cs="arial"/>
                  <w:i/>
                  <w:color w:val="0077CC"/>
                  <w:sz w:val="20"/>
                  <w:u w:val="single"/>
                  <w:lang w:val="en-US" w:eastAsia="en-US" w:bidi="ar-SA"/>
                </w:rPr>
                <w:t>Hook, 315 Md. at 30, 553 A.2d at 236.</w:t>
              </w:r>
            </w:hyperlink>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What follows is an analysis of the specific intent requirements for particular crimes in the order those crimes appear in Chapter Four of these Pattern Jury Instructions.</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Assault and battery are a mixture of specific and general intent crimes. </w:t>
            </w:r>
            <w:r>
              <w:rPr>
                <w:rFonts w:ascii="arial" w:eastAsia="arial" w:hAnsi="arial" w:cs="arial"/>
                <w:i/>
                <w:color w:val="000000"/>
                <w:sz w:val="20"/>
                <w:lang w:val="en-US" w:eastAsia="en-US" w:bidi="ar-SA"/>
              </w:rPr>
              <w:t xml:space="preserve">See </w:t>
            </w:r>
            <w:hyperlink r:id="rId242" w:history="1">
              <w:r>
                <w:rPr>
                  <w:rFonts w:ascii="arial" w:eastAsia="arial" w:hAnsi="arial" w:cs="arial"/>
                  <w:i/>
                  <w:color w:val="0077CC"/>
                  <w:sz w:val="20"/>
                  <w:u w:val="single"/>
                  <w:lang w:val="en-US" w:eastAsia="en-US" w:bidi="ar-SA"/>
                </w:rPr>
                <w:t>Wieland v. State, 101 Md. App. 1, 38, 643 A.2d 446, 464 (1994)</w:t>
              </w:r>
            </w:hyperlink>
            <w:r>
              <w:rPr>
                <w:rFonts w:ascii="arial" w:eastAsia="arial" w:hAnsi="arial" w:cs="arial"/>
                <w:color w:val="000000"/>
                <w:sz w:val="20"/>
                <w:lang w:val="en-US" w:eastAsia="en-US" w:bidi="ar-SA"/>
              </w:rPr>
              <w:t xml:space="preserve"> ("assault of the intentional frightening variety is a specific intent crime," specifically, the intent to cause apprehension of immediate bodily harm). Attempted battery is a general intent crime. </w:t>
            </w:r>
            <w:hyperlink r:id="rId242" w:history="1">
              <w:r>
                <w:rPr>
                  <w:rFonts w:ascii="arial" w:eastAsia="arial" w:hAnsi="arial" w:cs="arial"/>
                  <w:i/>
                  <w:color w:val="0077CC"/>
                  <w:sz w:val="20"/>
                  <w:u w:val="single"/>
                  <w:lang w:val="en-US" w:eastAsia="en-US" w:bidi="ar-SA"/>
                </w:rPr>
                <w:t>Id. at 27, 38-40, 643 A.2d at 459, 464-65</w:t>
              </w:r>
            </w:hyperlink>
            <w:r>
              <w:rPr>
                <w:rFonts w:ascii="arial" w:eastAsia="arial" w:hAnsi="arial" w:cs="arial"/>
                <w:color w:val="000000"/>
                <w:sz w:val="20"/>
                <w:lang w:val="en-US" w:eastAsia="en-US" w:bidi="ar-SA"/>
              </w:rPr>
              <w:t xml:space="preserve"> ("Since an intended battery is a general intent crime, the antecedent attempt to commit such a battery--one of the forms of assault--is also a general intent crime … . We hereby repudiate that brief dictum [in </w:t>
            </w:r>
            <w:hyperlink r:id="rId243" w:history="1">
              <w:r>
                <w:rPr>
                  <w:rFonts w:ascii="arial" w:eastAsia="arial" w:hAnsi="arial" w:cs="arial"/>
                  <w:i/>
                  <w:color w:val="0077CC"/>
                  <w:sz w:val="20"/>
                  <w:u w:val="single"/>
                  <w:lang w:val="en-US" w:eastAsia="en-US" w:bidi="ar-SA"/>
                </w:rPr>
                <w:t>Lamb v. State, 93 Md. App. 422, 443, 613 A.2d 402, 412 (1992),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329 Md. 110, 617 A.2d 1055 (1993),</w:t>
            </w:r>
            <w:r>
              <w:rPr>
                <w:rFonts w:ascii="arial" w:eastAsia="arial" w:hAnsi="arial" w:cs="arial"/>
                <w:color w:val="000000"/>
                <w:sz w:val="20"/>
                <w:lang w:val="en-US" w:eastAsia="en-US" w:bidi="ar-SA"/>
              </w:rPr>
              <w:t xml:space="preserve"> stating that assault of the attempted battery variety is a specific intent crime,] as having been overly broad and overly simplistic … The intent element of an attempted battery involves nothing more than the intent to do the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xml:space="preserve"> itself. That, by definition, is a general intent."). </w:t>
            </w:r>
            <w:r>
              <w:rPr>
                <w:rFonts w:ascii="arial" w:eastAsia="arial" w:hAnsi="arial" w:cs="arial"/>
                <w:i/>
                <w:color w:val="000000"/>
                <w:sz w:val="20"/>
                <w:lang w:val="en-US" w:eastAsia="en-US" w:bidi="ar-SA"/>
              </w:rPr>
              <w:t xml:space="preserve">See </w:t>
            </w:r>
            <w:hyperlink r:id="rId244" w:history="1">
              <w:r>
                <w:rPr>
                  <w:rFonts w:ascii="arial" w:eastAsia="arial" w:hAnsi="arial" w:cs="arial"/>
                  <w:i/>
                  <w:color w:val="0077CC"/>
                  <w:sz w:val="20"/>
                  <w:u w:val="single"/>
                  <w:lang w:val="en-US" w:eastAsia="en-US" w:bidi="ar-SA"/>
                </w:rPr>
                <w:t>Elias v. State, 339 Md. 169, 183-84, 661 A.2d 702, 709 (1995)</w:t>
              </w:r>
            </w:hyperlink>
            <w:r>
              <w:rPr>
                <w:rFonts w:ascii="arial" w:eastAsia="arial" w:hAnsi="arial" w:cs="arial"/>
                <w:color w:val="000000"/>
                <w:sz w:val="20"/>
                <w:lang w:val="en-US" w:eastAsia="en-US" w:bidi="ar-SA"/>
              </w:rPr>
              <w:t xml:space="preserve"> (battery is a general intent crime). First degree assault includes second degree assault, plus two disjunctive aggravators. The aggravator of "intentionally cause or attempt to cause serious physical injury to another," under CRIM. LAW I § 3-202, requires "the intent 'to cause serious physical injury'… ." </w:t>
            </w:r>
            <w:hyperlink r:id="rId245" w:history="1">
              <w:r>
                <w:rPr>
                  <w:rFonts w:ascii="arial" w:eastAsia="arial" w:hAnsi="arial" w:cs="arial"/>
                  <w:i/>
                  <w:color w:val="0077CC"/>
                  <w:sz w:val="20"/>
                  <w:u w:val="single"/>
                  <w:lang w:val="en-US" w:eastAsia="en-US" w:bidi="ar-SA"/>
                </w:rPr>
                <w:t>Dixon v. State, 133 Md. App. 325, 345, 755 A.2d 560, 571 (2000).</w:t>
              </w:r>
            </w:hyperlink>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Attempt requires a specific intent to commit the conduct that constitutes a particular crime. </w:t>
            </w:r>
            <w:hyperlink r:id="rId246" w:history="1">
              <w:r>
                <w:rPr>
                  <w:rFonts w:ascii="arial" w:eastAsia="arial" w:hAnsi="arial" w:cs="arial"/>
                  <w:i/>
                  <w:color w:val="0077CC"/>
                  <w:sz w:val="20"/>
                  <w:u w:val="single"/>
                  <w:lang w:val="en-US" w:eastAsia="en-US" w:bidi="ar-SA"/>
                </w:rPr>
                <w:t>State v. North, 356 Md. 308, 312, 739 A.2d 33, 35 (1999)</w:t>
              </w:r>
            </w:hyperlink>
            <w:r>
              <w:rPr>
                <w:rFonts w:ascii="arial" w:eastAsia="arial" w:hAnsi="arial" w:cs="arial"/>
                <w:color w:val="000000"/>
                <w:sz w:val="20"/>
                <w:lang w:val="en-US" w:eastAsia="en-US" w:bidi="ar-SA"/>
              </w:rPr>
              <w:t xml:space="preserve"> (attempt requires "the intent to commit [the] substantive offense" attempted); </w:t>
            </w:r>
            <w:hyperlink r:id="rId247" w:history="1">
              <w:r>
                <w:rPr>
                  <w:rFonts w:ascii="arial" w:eastAsia="arial" w:hAnsi="arial" w:cs="arial"/>
                  <w:i/>
                  <w:color w:val="0077CC"/>
                  <w:sz w:val="20"/>
                  <w:u w:val="single"/>
                  <w:lang w:val="en-US" w:eastAsia="en-US" w:bidi="ar-SA"/>
                </w:rPr>
                <w:t>In re Caitlin N., 192 Md. App. 251, 276, 994 A.2d 454, 468 (2010).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But see </w:t>
            </w:r>
            <w:hyperlink r:id="rId242" w:history="1">
              <w:r>
                <w:rPr>
                  <w:rFonts w:ascii="arial" w:eastAsia="arial" w:hAnsi="arial" w:cs="arial"/>
                  <w:i/>
                  <w:color w:val="0077CC"/>
                  <w:sz w:val="20"/>
                  <w:u w:val="single"/>
                  <w:lang w:val="en-US" w:eastAsia="en-US" w:bidi="ar-SA"/>
                </w:rPr>
                <w:t>Wieland, 101 Md. App. at 39-40, 643 A.2d at 465</w:t>
              </w:r>
            </w:hyperlink>
            <w:r>
              <w:rPr>
                <w:rFonts w:ascii="arial" w:eastAsia="arial" w:hAnsi="arial" w:cs="arial"/>
                <w:color w:val="000000"/>
                <w:sz w:val="20"/>
                <w:lang w:val="en-US" w:eastAsia="en-US" w:bidi="ar-SA"/>
              </w:rPr>
              <w:t xml:space="preserve"> ("It is a mistake to speak of attempts generally as having a single monolithic intent element. Some attempts, to be sure, require a specific intent. Other attempts, however, require only a general intent. An attempt to commit a specific intent crime requires the same ultimate specific intent as would the consummated crime. An attempt to commit a general intent crime, on the other hand, requires nothing more than that general intent.").</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The "bad check" crimes based on "insufficient funds" and "stopping payment" are specific intent crimes. The former has a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of knowledge of the insufficiency and an intent or belief that payment would be refused, requiring a specific intent that payment be refused. </w:t>
            </w:r>
            <w:hyperlink r:id="rId248" w:history="1">
              <w:r>
                <w:rPr>
                  <w:rFonts w:ascii="arial" w:eastAsia="arial" w:hAnsi="arial" w:cs="arial"/>
                  <w:i/>
                  <w:color w:val="0077CC"/>
                  <w:sz w:val="20"/>
                  <w:u w:val="single"/>
                  <w:lang w:val="en-US" w:eastAsia="en-US" w:bidi="ar-SA"/>
                </w:rPr>
                <w:t>Ferguson Trenching Co. v. Kiehne, 329 Md. 169, 180-81, 618 A.2d 735, 740 (1993)</w:t>
              </w:r>
            </w:hyperlink>
            <w:r>
              <w:rPr>
                <w:rFonts w:ascii="arial" w:eastAsia="arial" w:hAnsi="arial" w:cs="arial"/>
                <w:color w:val="000000"/>
                <w:sz w:val="20"/>
                <w:lang w:val="en-US" w:eastAsia="en-US" w:bidi="ar-SA"/>
              </w:rPr>
              <w:t xml:space="preserve"> ("intent to cheat or defraud"). The latter requires, as to a defendant drawer or representative drawer, that the defendant "intends, without the consent of the payee, to stop or countermand the payment of the check… ." CRIM. LAW II § 8-103(b)(1).</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Bribery has a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of the corrupt purpose of influencing, requiring a specific intent to improperly influence official action. </w:t>
            </w:r>
            <w:hyperlink r:id="rId249" w:history="1">
              <w:r>
                <w:rPr>
                  <w:rFonts w:ascii="arial" w:eastAsia="arial" w:hAnsi="arial" w:cs="arial"/>
                  <w:i/>
                  <w:color w:val="0077CC"/>
                  <w:sz w:val="20"/>
                  <w:u w:val="single"/>
                  <w:lang w:val="en-US" w:eastAsia="en-US" w:bidi="ar-SA"/>
                </w:rPr>
                <w:t>Spector v. State, 289 Md. 407, 433, 425 A.2d 197, 209</w:t>
              </w:r>
            </w:hyperlink>
            <w:r>
              <w:rPr>
                <w:rFonts w:ascii="arial" w:eastAsia="arial" w:hAnsi="arial" w:cs="arial"/>
                <w:color w:val="000000"/>
                <w:sz w:val="20"/>
                <w:lang w:val="en-US" w:eastAsia="en-US" w:bidi="ar-SA"/>
              </w:rPr>
              <w:t xml:space="preserve"> (stating bribery requires "the intent to influence the conduct of the public servant in relation to his position, employment, or duty"),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452 U.S. 906 (1981).</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A number of forms of burglary have specific intent requirements. First degree burglary requires a specific intent to commit theft and/or an enumerated crime of violence. </w:t>
            </w:r>
            <w:hyperlink r:id="rId230" w:history="1">
              <w:r>
                <w:rPr>
                  <w:rFonts w:ascii="arial" w:eastAsia="arial" w:hAnsi="arial" w:cs="arial"/>
                  <w:i/>
                  <w:color w:val="0077CC"/>
                  <w:sz w:val="20"/>
                  <w:u w:val="single"/>
                  <w:lang w:val="en-US" w:eastAsia="en-US" w:bidi="ar-SA"/>
                </w:rPr>
                <w:t>Harris, 353 Md. at 606 n.3, 728 A.2d at 185 n.3</w:t>
              </w:r>
            </w:hyperlink>
            <w:r>
              <w:rPr>
                <w:rFonts w:ascii="arial" w:eastAsia="arial" w:hAnsi="arial" w:cs="arial"/>
                <w:color w:val="000000"/>
                <w:sz w:val="20"/>
                <w:lang w:val="en-US" w:eastAsia="en-US" w:bidi="ar-SA"/>
              </w:rPr>
              <w:t xml:space="preserve"> (burglary in the first degree is a specific intent crime). Burglary in the second degree requires a specific intent to commit theft, an enumerated crime of violence, and/or arson. </w:t>
            </w:r>
            <w:r>
              <w:rPr>
                <w:rFonts w:ascii="arial" w:eastAsia="arial" w:hAnsi="arial" w:cs="arial"/>
                <w:i/>
                <w:color w:val="000000"/>
                <w:sz w:val="20"/>
                <w:lang w:val="en-US" w:eastAsia="en-US" w:bidi="ar-SA"/>
              </w:rPr>
              <w:t>Id.</w:t>
            </w:r>
            <w:r>
              <w:rPr>
                <w:rFonts w:ascii="arial" w:eastAsia="arial" w:hAnsi="arial" w:cs="arial"/>
                <w:color w:val="000000"/>
                <w:sz w:val="20"/>
                <w:lang w:val="en-US" w:eastAsia="en-US" w:bidi="ar-SA"/>
              </w:rPr>
              <w:t xml:space="preserve"> Burglary in the third degree requires a specific intent to commit a crime inside a dwelling. </w:t>
            </w:r>
            <w:r>
              <w:rPr>
                <w:rFonts w:ascii="arial" w:eastAsia="arial" w:hAnsi="arial" w:cs="arial"/>
                <w:i/>
                <w:color w:val="000000"/>
                <w:sz w:val="20"/>
                <w:lang w:val="en-US" w:eastAsia="en-US" w:bidi="ar-SA"/>
              </w:rPr>
              <w:t>Id.</w:t>
            </w:r>
            <w:r>
              <w:rPr>
                <w:rFonts w:ascii="arial" w:eastAsia="arial" w:hAnsi="arial" w:cs="arial"/>
                <w:color w:val="000000"/>
                <w:sz w:val="20"/>
                <w:lang w:val="en-US" w:eastAsia="en-US" w:bidi="ar-SA"/>
              </w:rPr>
              <w:t xml:space="preserve"> Burglary in the fourth degree can be committed in four ways, two of which require specific intent and two of which do not. Burglary in or on a building with the intent to commit a theft, CRIM. LAW I § 6-205(c), and the rogue and vagabond form of burglary require specific intent. </w:t>
            </w:r>
            <w:r>
              <w:rPr>
                <w:rFonts w:ascii="arial" w:eastAsia="arial" w:hAnsi="arial" w:cs="arial"/>
                <w:i/>
                <w:color w:val="000000"/>
                <w:sz w:val="20"/>
                <w:lang w:val="en-US" w:eastAsia="en-US" w:bidi="ar-SA"/>
              </w:rPr>
              <w:t>See</w:t>
            </w:r>
            <w:r>
              <w:rPr>
                <w:rFonts w:ascii="arial" w:eastAsia="arial" w:hAnsi="arial" w:cs="arial"/>
                <w:color w:val="000000"/>
                <w:sz w:val="20"/>
                <w:lang w:val="en-US" w:eastAsia="en-US" w:bidi="ar-SA"/>
              </w:rPr>
              <w:t xml:space="preserve"> CRIM. LAW I § 6-205(d); </w:t>
            </w:r>
            <w:hyperlink r:id="rId250" w:history="1">
              <w:r>
                <w:rPr>
                  <w:rFonts w:ascii="arial" w:eastAsia="arial" w:hAnsi="arial" w:cs="arial"/>
                  <w:i/>
                  <w:color w:val="0077CC"/>
                  <w:sz w:val="20"/>
                  <w:u w:val="single"/>
                  <w:lang w:val="en-US" w:eastAsia="en-US" w:bidi="ar-SA"/>
                </w:rPr>
                <w:t>Crossland v. State, 252 Md. 70, 73, 249 A.2d 153, 155 (1969)</w:t>
              </w:r>
            </w:hyperlink>
            <w:r>
              <w:rPr>
                <w:rFonts w:ascii="arial" w:eastAsia="arial" w:hAnsi="arial" w:cs="arial"/>
                <w:color w:val="000000"/>
                <w:sz w:val="20"/>
                <w:lang w:val="en-US" w:eastAsia="en-US" w:bidi="ar-SA"/>
              </w:rPr>
              <w:t xml:space="preserve"> ("[I]t is an essential element of [rogue and vagabond] that the accused have the intent to commit a crime."). The fourth degree burglaries that do not have specific intent requirements are two forms of simple breaking and entering. </w:t>
            </w:r>
            <w:r>
              <w:rPr>
                <w:rFonts w:ascii="arial" w:eastAsia="arial" w:hAnsi="arial" w:cs="arial"/>
                <w:i/>
                <w:color w:val="000000"/>
                <w:sz w:val="20"/>
                <w:lang w:val="en-US" w:eastAsia="en-US" w:bidi="ar-SA"/>
              </w:rPr>
              <w:t xml:space="preserve">See </w:t>
            </w:r>
            <w:hyperlink r:id="rId251" w:history="1">
              <w:r>
                <w:rPr>
                  <w:rFonts w:ascii="arial" w:eastAsia="arial" w:hAnsi="arial" w:cs="arial"/>
                  <w:i/>
                  <w:color w:val="0077CC"/>
                  <w:sz w:val="20"/>
                  <w:u w:val="single"/>
                  <w:lang w:val="en-US" w:eastAsia="en-US" w:bidi="ar-SA"/>
                </w:rPr>
                <w:t>Warfield v. State, 315 Md. 474, 497-98, 554 A.2d 1238, 1249-50 (1989);</w:t>
              </w:r>
            </w:hyperlink>
            <w:r>
              <w:rPr>
                <w:rFonts w:ascii="arial" w:eastAsia="arial" w:hAnsi="arial" w:cs="arial"/>
                <w:color w:val="000000"/>
                <w:sz w:val="20"/>
                <w:lang w:val="en-US" w:eastAsia="en-US" w:bidi="ar-SA"/>
              </w:rPr>
              <w:t xml:space="preserve"> </w:t>
            </w:r>
            <w:hyperlink r:id="rId252" w:history="1">
              <w:r>
                <w:rPr>
                  <w:rFonts w:ascii="arial" w:eastAsia="arial" w:hAnsi="arial" w:cs="arial"/>
                  <w:i/>
                  <w:color w:val="0077CC"/>
                  <w:sz w:val="20"/>
                  <w:u w:val="single"/>
                  <w:lang w:val="en-US" w:eastAsia="en-US" w:bidi="ar-SA"/>
                </w:rPr>
                <w:t>Herd v. State, 125 Md. App. 77, 84 n.3, 90, 724 A.2d 693, 697 n.3, 700 (1999)</w:t>
              </w:r>
            </w:hyperlink>
            <w:r>
              <w:rPr>
                <w:rFonts w:ascii="arial" w:eastAsia="arial" w:hAnsi="arial" w:cs="arial"/>
                <w:color w:val="000000"/>
                <w:sz w:val="20"/>
                <w:lang w:val="en-US" w:eastAsia="en-US" w:bidi="ar-SA"/>
              </w:rPr>
              <w:t xml:space="preserve"> (noting each crime "does not embrace a specific intent but does require a general criminal intent to break and enter"). Conspiracy requires the "specific intent to commit the offense which is the object of the conspiracy." </w:t>
            </w:r>
            <w:hyperlink r:id="rId253" w:history="1">
              <w:r>
                <w:rPr>
                  <w:rFonts w:ascii="arial" w:eastAsia="arial" w:hAnsi="arial" w:cs="arial"/>
                  <w:i/>
                  <w:color w:val="0077CC"/>
                  <w:sz w:val="20"/>
                  <w:u w:val="single"/>
                  <w:lang w:val="en-US" w:eastAsia="en-US" w:bidi="ar-SA"/>
                </w:rPr>
                <w:t>Alston v. State, 414 Md. 92, 114-15, 994 A.2d 896, 909 (2010);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see </w:t>
            </w:r>
            <w:hyperlink r:id="rId254" w:history="1">
              <w:r>
                <w:rPr>
                  <w:rFonts w:ascii="arial" w:eastAsia="arial" w:hAnsi="arial" w:cs="arial"/>
                  <w:i/>
                  <w:color w:val="0077CC"/>
                  <w:sz w:val="20"/>
                  <w:u w:val="single"/>
                  <w:lang w:val="en-US" w:eastAsia="en-US" w:bidi="ar-SA"/>
                </w:rPr>
                <w:t>Mitchell v. State, 363 Md. 130, 146, 767 A.2d 844, 853 (2001).</w:t>
              </w:r>
            </w:hyperlink>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Extortion requires an intent to gain money, goods, or anything of value. </w:t>
            </w:r>
            <w:hyperlink r:id="rId255" w:history="1">
              <w:r>
                <w:rPr>
                  <w:rFonts w:ascii="arial" w:eastAsia="arial" w:hAnsi="arial" w:cs="arial"/>
                  <w:i/>
                  <w:color w:val="0077CC"/>
                  <w:sz w:val="20"/>
                  <w:u w:val="single"/>
                  <w:lang w:val="en-US" w:eastAsia="en-US" w:bidi="ar-SA"/>
                </w:rPr>
                <w:t>Iozzi v. State, 5 Md. App. 415, 419, 247 A.2d 758, 760 (1968)</w:t>
              </w:r>
            </w:hyperlink>
            <w:r>
              <w:rPr>
                <w:rFonts w:ascii="arial" w:eastAsia="arial" w:hAnsi="arial" w:cs="arial"/>
                <w:color w:val="000000"/>
                <w:sz w:val="20"/>
                <w:lang w:val="en-US" w:eastAsia="en-US" w:bidi="ar-SA"/>
              </w:rPr>
              <w:t xml:space="preserve"> ("[T]he making of the threat is with the view to extort or gain anything of value."),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253 Md. 734 (1969).</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Counterfeiting requires an intent to cheat or defraud. </w:t>
            </w:r>
            <w:hyperlink r:id="rId256" w:history="1">
              <w:r>
                <w:rPr>
                  <w:rFonts w:ascii="arial" w:eastAsia="arial" w:hAnsi="arial" w:cs="arial"/>
                  <w:i/>
                  <w:color w:val="0077CC"/>
                  <w:sz w:val="20"/>
                  <w:u w:val="single"/>
                  <w:lang w:val="en-US" w:eastAsia="en-US" w:bidi="ar-SA"/>
                </w:rPr>
                <w:t>Nelson v. State, 224 Md. 374, 378, 167 A.2d 871, 873 (1961)</w:t>
              </w:r>
            </w:hyperlink>
            <w:r>
              <w:rPr>
                <w:rFonts w:ascii="arial" w:eastAsia="arial" w:hAnsi="arial" w:cs="arial"/>
                <w:color w:val="000000"/>
                <w:sz w:val="20"/>
                <w:lang w:val="en-US" w:eastAsia="en-US" w:bidi="ar-SA"/>
              </w:rPr>
              <w:t xml:space="preserve"> (noting forgery requires an "intent to defraud"); </w:t>
            </w:r>
            <w:hyperlink r:id="rId257" w:history="1">
              <w:r>
                <w:rPr>
                  <w:rFonts w:ascii="arial" w:eastAsia="arial" w:hAnsi="arial" w:cs="arial"/>
                  <w:i/>
                  <w:color w:val="0077CC"/>
                  <w:sz w:val="20"/>
                  <w:u w:val="single"/>
                  <w:lang w:val="en-US" w:eastAsia="en-US" w:bidi="ar-SA"/>
                </w:rPr>
                <w:t>Pearson v. State, 8 Md. App. 79, 83-88, 258 A.2d 917, 919-22 (1969)</w:t>
              </w:r>
            </w:hyperlink>
            <w:r>
              <w:rPr>
                <w:rFonts w:ascii="arial" w:eastAsia="arial" w:hAnsi="arial" w:cs="arial"/>
                <w:color w:val="000000"/>
                <w:sz w:val="20"/>
                <w:lang w:val="en-US" w:eastAsia="en-US" w:bidi="ar-SA"/>
              </w:rPr>
              <w:t xml:space="preserve"> (noting uttering requires an "intent to defraud").</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Both Medicaid and public assistance fraud require a specific intent to defraud. </w:t>
            </w:r>
            <w:hyperlink r:id="rId258" w:history="1">
              <w:r>
                <w:rPr>
                  <w:rFonts w:ascii="arial" w:eastAsia="arial" w:hAnsi="arial" w:cs="arial"/>
                  <w:i/>
                  <w:color w:val="0077CC"/>
                  <w:sz w:val="20"/>
                  <w:u w:val="single"/>
                  <w:lang w:val="en-US" w:eastAsia="en-US" w:bidi="ar-SA"/>
                </w:rPr>
                <w:t>Greco v. State, 65 Md. App. 56, 66, 499 A.2d 209, 214 (1985)</w:t>
              </w:r>
            </w:hyperlink>
            <w:r>
              <w:rPr>
                <w:rFonts w:ascii="arial" w:eastAsia="arial" w:hAnsi="arial" w:cs="arial"/>
                <w:color w:val="000000"/>
                <w:sz w:val="20"/>
                <w:lang w:val="en-US" w:eastAsia="en-US" w:bidi="ar-SA"/>
              </w:rPr>
              <w:t xml:space="preserve"> ("[A] crime perpetrated by fraud is a specific intent crime irrespective of whether the word 'intent' is embraced within the definition of the offense."), </w:t>
            </w:r>
            <w:r>
              <w:rPr>
                <w:rFonts w:ascii="arial" w:eastAsia="arial" w:hAnsi="arial" w:cs="arial"/>
                <w:i/>
                <w:color w:val="000000"/>
                <w:sz w:val="20"/>
                <w:lang w:val="en-US" w:eastAsia="en-US" w:bidi="ar-SA"/>
              </w:rPr>
              <w:t>aff'd</w:t>
            </w:r>
            <w:r>
              <w:rPr>
                <w:rFonts w:ascii="arial" w:eastAsia="arial" w:hAnsi="arial" w:cs="arial"/>
                <w:color w:val="000000"/>
                <w:sz w:val="20"/>
                <w:lang w:val="en-US" w:eastAsia="en-US" w:bidi="ar-SA"/>
              </w:rPr>
              <w:t xml:space="preserve">, </w:t>
            </w:r>
            <w:hyperlink r:id="rId259" w:history="1">
              <w:r>
                <w:rPr>
                  <w:rFonts w:ascii="arial" w:eastAsia="arial" w:hAnsi="arial" w:cs="arial"/>
                  <w:i/>
                  <w:color w:val="0077CC"/>
                  <w:sz w:val="20"/>
                  <w:u w:val="single"/>
                  <w:lang w:val="en-US" w:eastAsia="en-US" w:bidi="ar-SA"/>
                </w:rPr>
                <w:t>307 Md. 470, 515 A.2d 220 (1986).</w:t>
              </w:r>
            </w:hyperlink>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Even when they are specific intent offenses, homicides have specialized rules for voluntary intoxication. </w:t>
            </w:r>
            <w:r>
              <w:rPr>
                <w:rFonts w:ascii="arial" w:eastAsia="arial" w:hAnsi="arial" w:cs="arial"/>
                <w:i/>
                <w:color w:val="000000"/>
                <w:sz w:val="20"/>
                <w:lang w:val="en-US" w:eastAsia="en-US" w:bidi="ar-SA"/>
              </w:rPr>
              <w:t>See</w:t>
            </w:r>
            <w:r>
              <w:rPr>
                <w:rFonts w:ascii="arial" w:eastAsia="arial" w:hAnsi="arial" w:cs="arial"/>
                <w:color w:val="000000"/>
                <w:sz w:val="20"/>
                <w:lang w:val="en-US" w:eastAsia="en-US" w:bidi="ar-SA"/>
              </w:rPr>
              <w:t xml:space="preserve"> Comment to MPJI-Cr 4:17.1 (Homicide--First Degree Premeditated Murder and Second Degree Specific Intent Murder (Voluntary Intoxication, But No Justification or Mitigation Generated)).</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Kidnapping and kidnapping as part of an underlying crime each requires an intent to carry or conceal. </w:t>
            </w:r>
            <w:hyperlink r:id="rId260" w:history="1">
              <w:r>
                <w:rPr>
                  <w:rFonts w:ascii="arial" w:eastAsia="arial" w:hAnsi="arial" w:cs="arial"/>
                  <w:i/>
                  <w:color w:val="0077CC"/>
                  <w:sz w:val="20"/>
                  <w:u w:val="single"/>
                  <w:lang w:val="en-US" w:eastAsia="en-US" w:bidi="ar-SA"/>
                </w:rPr>
                <w:t>State v. Stouffer, 352 Md. 97, 105, 721 A.2d 207, 211 (1998).</w:t>
              </w:r>
            </w:hyperlink>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Malicious destruction of property requires a specific intent to damage, destroy, or deface someone else's property. </w:t>
            </w:r>
            <w:r>
              <w:rPr>
                <w:rFonts w:ascii="arial" w:eastAsia="arial" w:hAnsi="arial" w:cs="arial"/>
                <w:i/>
                <w:color w:val="000000"/>
                <w:sz w:val="20"/>
                <w:lang w:val="en-US" w:eastAsia="en-US" w:bidi="ar-SA"/>
              </w:rPr>
              <w:t xml:space="preserve">See </w:t>
            </w:r>
            <w:hyperlink r:id="rId261" w:history="1">
              <w:r>
                <w:rPr>
                  <w:rFonts w:ascii="arial" w:eastAsia="arial" w:hAnsi="arial" w:cs="arial"/>
                  <w:i/>
                  <w:color w:val="0077CC"/>
                  <w:sz w:val="20"/>
                  <w:u w:val="single"/>
                  <w:lang w:val="en-US" w:eastAsia="en-US" w:bidi="ar-SA"/>
                </w:rPr>
                <w:t>In re Taka C., 331 Md. 80, 83, 626 A.2d 366, 368 (1993)</w:t>
              </w:r>
            </w:hyperlink>
            <w:r>
              <w:rPr>
                <w:rFonts w:ascii="arial" w:eastAsia="arial" w:hAnsi="arial" w:cs="arial"/>
                <w:color w:val="000000"/>
                <w:sz w:val="20"/>
                <w:lang w:val="en-US" w:eastAsia="en-US" w:bidi="ar-SA"/>
              </w:rPr>
              <w:t xml:space="preserve"> (stating malicious destruction of property is a specific intent crime, requiring that the defendant "have intended to cause damage, not merely to do the act which caused the damage"); </w:t>
            </w:r>
            <w:hyperlink r:id="rId222" w:history="1">
              <w:r>
                <w:rPr>
                  <w:rFonts w:ascii="arial" w:eastAsia="arial" w:hAnsi="arial" w:cs="arial"/>
                  <w:i/>
                  <w:color w:val="0077CC"/>
                  <w:sz w:val="20"/>
                  <w:u w:val="single"/>
                  <w:lang w:val="en-US" w:eastAsia="en-US" w:bidi="ar-SA"/>
                </w:rPr>
                <w:t>Shell, 307 Md. at 68, 512 A.2d at 369</w:t>
              </w:r>
            </w:hyperlink>
            <w:r>
              <w:rPr>
                <w:rFonts w:ascii="arial" w:eastAsia="arial" w:hAnsi="arial" w:cs="arial"/>
                <w:color w:val="000000"/>
                <w:sz w:val="20"/>
                <w:lang w:val="en-US" w:eastAsia="en-US" w:bidi="ar-SA"/>
              </w:rPr>
              <w:t xml:space="preserve"> (noting malicious destruction of property is a specific intent crime that "requires both a deliberate intention to injure the property of another and malice").</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Misappropriation by a fiduciary requires a specific intent to defraud. </w:t>
            </w:r>
            <w:hyperlink r:id="rId262" w:history="1">
              <w:r>
                <w:rPr>
                  <w:rFonts w:ascii="arial" w:eastAsia="arial" w:hAnsi="arial" w:cs="arial"/>
                  <w:i/>
                  <w:color w:val="0077CC"/>
                  <w:sz w:val="20"/>
                  <w:u w:val="single"/>
                  <w:lang w:val="en-US" w:eastAsia="en-US" w:bidi="ar-SA"/>
                </w:rPr>
                <w:t>Schwartz v. State, 103 Md. App. 378, 385-86, 390-91, 653 A.2d 958, 961-62, 964 (1995)</w:t>
              </w:r>
            </w:hyperlink>
            <w:r>
              <w:rPr>
                <w:rFonts w:ascii="arial" w:eastAsia="arial" w:hAnsi="arial" w:cs="arial"/>
                <w:color w:val="000000"/>
                <w:sz w:val="20"/>
                <w:lang w:val="en-US" w:eastAsia="en-US" w:bidi="ar-SA"/>
              </w:rPr>
              <w:t xml:space="preserve"> (noting misappropriation by a fiduciary requires "a specific intent of fraud and willfulness"),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339 Md. 168, 661 A.2d 701 (1995);</w:t>
            </w:r>
            <w:r>
              <w:rPr>
                <w:rFonts w:ascii="arial" w:eastAsia="arial" w:hAnsi="arial" w:cs="arial"/>
                <w:color w:val="000000"/>
                <w:sz w:val="20"/>
                <w:lang w:val="en-US" w:eastAsia="en-US" w:bidi="ar-SA"/>
              </w:rPr>
              <w:t xml:space="preserve"> </w:t>
            </w:r>
            <w:hyperlink r:id="rId263" w:history="1">
              <w:r>
                <w:rPr>
                  <w:rFonts w:ascii="arial" w:eastAsia="arial" w:hAnsi="arial" w:cs="arial"/>
                  <w:i/>
                  <w:color w:val="0077CC"/>
                  <w:sz w:val="20"/>
                  <w:u w:val="single"/>
                  <w:lang w:val="en-US" w:eastAsia="en-US" w:bidi="ar-SA"/>
                </w:rPr>
                <w:t>Andresen v. State, 24 Md. App. 128, 151, 331 A.2d 78, 95 (1975)</w:t>
              </w:r>
            </w:hyperlink>
            <w:r>
              <w:rPr>
                <w:rFonts w:ascii="arial" w:eastAsia="arial" w:hAnsi="arial" w:cs="arial"/>
                <w:color w:val="000000"/>
                <w:sz w:val="20"/>
                <w:lang w:val="en-US" w:eastAsia="en-US" w:bidi="ar-SA"/>
              </w:rPr>
              <w:t xml:space="preserve"> ("willful and fraudulent"), </w:t>
            </w:r>
            <w:r>
              <w:rPr>
                <w:rFonts w:ascii="arial" w:eastAsia="arial" w:hAnsi="arial" w:cs="arial"/>
                <w:i/>
                <w:color w:val="000000"/>
                <w:sz w:val="20"/>
                <w:lang w:val="en-US" w:eastAsia="en-US" w:bidi="ar-SA"/>
              </w:rPr>
              <w:t>aff'd</w:t>
            </w:r>
            <w:r>
              <w:rPr>
                <w:rFonts w:ascii="arial" w:eastAsia="arial" w:hAnsi="arial" w:cs="arial"/>
                <w:color w:val="000000"/>
                <w:sz w:val="20"/>
                <w:lang w:val="en-US" w:eastAsia="en-US" w:bidi="ar-SA"/>
              </w:rPr>
              <w:t xml:space="preserve">, </w:t>
            </w:r>
            <w:hyperlink r:id="rId264" w:history="1">
              <w:r>
                <w:rPr>
                  <w:rFonts w:ascii="arial" w:eastAsia="arial" w:hAnsi="arial" w:cs="arial"/>
                  <w:i/>
                  <w:color w:val="0077CC"/>
                  <w:sz w:val="20"/>
                  <w:u w:val="single"/>
                  <w:lang w:val="en-US" w:eastAsia="en-US" w:bidi="ar-SA"/>
                </w:rPr>
                <w:t>427 U.S. 463 (1976).</w:t>
              </w:r>
            </w:hyperlink>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A number of narcotics crimes have specific intent requirements, including possession of narcotics with intent to distribute, </w:t>
            </w:r>
            <w:r>
              <w:rPr>
                <w:rFonts w:ascii="arial" w:eastAsia="arial" w:hAnsi="arial" w:cs="arial"/>
                <w:i/>
                <w:color w:val="000000"/>
                <w:sz w:val="20"/>
                <w:lang w:val="en-US" w:eastAsia="en-US" w:bidi="ar-SA"/>
              </w:rPr>
              <w:t xml:space="preserve">see </w:t>
            </w:r>
            <w:hyperlink r:id="rId265" w:history="1">
              <w:r>
                <w:rPr>
                  <w:rFonts w:ascii="arial" w:eastAsia="arial" w:hAnsi="arial" w:cs="arial"/>
                  <w:i/>
                  <w:color w:val="0077CC"/>
                  <w:sz w:val="20"/>
                  <w:u w:val="single"/>
                  <w:lang w:val="en-US" w:eastAsia="en-US" w:bidi="ar-SA"/>
                </w:rPr>
                <w:t>Ricks v. State, 70 Md. App. 287, 295-96, 520 A.2d 1136, 1140-41 (1987),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aff'd on other grounds</w:t>
            </w:r>
            <w:r>
              <w:rPr>
                <w:rFonts w:ascii="arial" w:eastAsia="arial" w:hAnsi="arial" w:cs="arial"/>
                <w:color w:val="000000"/>
                <w:sz w:val="20"/>
                <w:lang w:val="en-US" w:eastAsia="en-US" w:bidi="ar-SA"/>
              </w:rPr>
              <w:t xml:space="preserve">, </w:t>
            </w:r>
            <w:hyperlink r:id="rId266" w:history="1">
              <w:r>
                <w:rPr>
                  <w:rFonts w:ascii="arial" w:eastAsia="arial" w:hAnsi="arial" w:cs="arial"/>
                  <w:i/>
                  <w:color w:val="0077CC"/>
                  <w:sz w:val="20"/>
                  <w:u w:val="single"/>
                  <w:lang w:val="en-US" w:eastAsia="en-US" w:bidi="ar-SA"/>
                </w:rPr>
                <w:t>312 Md. 11, 537 A.2d 612,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488 U.S. 832 (1988);</w:t>
            </w:r>
            <w:r>
              <w:rPr>
                <w:rFonts w:ascii="arial" w:eastAsia="arial" w:hAnsi="arial" w:cs="arial"/>
                <w:color w:val="000000"/>
                <w:sz w:val="20"/>
                <w:lang w:val="en-US" w:eastAsia="en-US" w:bidi="ar-SA"/>
              </w:rPr>
              <w:t xml:space="preserve"> possession of drug paraphernalia with the intent to administer, manufacture, distribute, or dispense an illegal drug, </w:t>
            </w:r>
            <w:r>
              <w:rPr>
                <w:rFonts w:ascii="arial" w:eastAsia="arial" w:hAnsi="arial" w:cs="arial"/>
                <w:i/>
                <w:color w:val="000000"/>
                <w:sz w:val="20"/>
                <w:lang w:val="en-US" w:eastAsia="en-US" w:bidi="ar-SA"/>
              </w:rPr>
              <w:t xml:space="preserve">see </w:t>
            </w:r>
            <w:hyperlink r:id="rId267" w:history="1">
              <w:r>
                <w:rPr>
                  <w:rFonts w:ascii="arial" w:eastAsia="arial" w:hAnsi="arial" w:cs="arial"/>
                  <w:i/>
                  <w:color w:val="0077CC"/>
                  <w:sz w:val="20"/>
                  <w:u w:val="single"/>
                  <w:lang w:val="en-US" w:eastAsia="en-US" w:bidi="ar-SA"/>
                </w:rPr>
                <w:t>Russell v. State, 69 Md. App. 554, 561-62, 518 A.2d 1081, 1084-85 (1987);</w:t>
              </w:r>
            </w:hyperlink>
            <w:r>
              <w:rPr>
                <w:rFonts w:ascii="arial" w:eastAsia="arial" w:hAnsi="arial" w:cs="arial"/>
                <w:color w:val="000000"/>
                <w:sz w:val="20"/>
                <w:lang w:val="en-US" w:eastAsia="en-US" w:bidi="ar-SA"/>
              </w:rPr>
              <w:t xml:space="preserve"> possession or manufacture of drug paraphernalia with intent to deliver or sell it, CRIM. LAW I § 5-619(d)(1); and the "drug kingpin" crime, which requires an intent to manufacture, distribute, dispense, bring into, or transport in the State an enumerated controlled dangerous substance. </w:t>
            </w:r>
            <w:hyperlink r:id="rId268" w:history="1">
              <w:r>
                <w:rPr>
                  <w:rFonts w:ascii="arial" w:eastAsia="arial" w:hAnsi="arial" w:cs="arial"/>
                  <w:i/>
                  <w:color w:val="0077CC"/>
                  <w:sz w:val="20"/>
                  <w:u w:val="single"/>
                  <w:lang w:val="en-US" w:eastAsia="en-US" w:bidi="ar-SA"/>
                </w:rPr>
                <w:t>Lewis v. State, 348 Md. 648, 655, 705 A.2d 1128, 1131 (1998).</w:t>
              </w:r>
            </w:hyperlink>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Obstruction of justice requires an intent to influence, frighten, or impede any juror, witness, or court officer. </w:t>
            </w:r>
            <w:hyperlink r:id="rId269" w:history="1">
              <w:r>
                <w:rPr>
                  <w:rFonts w:ascii="arial" w:eastAsia="arial" w:hAnsi="arial" w:cs="arial"/>
                  <w:i/>
                  <w:color w:val="0077CC"/>
                  <w:sz w:val="20"/>
                  <w:u w:val="single"/>
                  <w:lang w:val="en-US" w:eastAsia="en-US" w:bidi="ar-SA"/>
                </w:rPr>
                <w:t>Pennington v. State, 308 Md. 727, 521 A.2d 1216 (1987).</w:t>
              </w:r>
            </w:hyperlink>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The subornation of perjury requires a specific intent to influence the outcome of the proceeding. CRIM. LAW II § 9-101.</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Robbery and robbery with a dangerous weapon each require a specific intent to deprive another of property. CRIM. LAW I §§ 3-401-3-403; </w:t>
            </w:r>
            <w:hyperlink r:id="rId270" w:history="1">
              <w:r>
                <w:rPr>
                  <w:rFonts w:ascii="arial" w:eastAsia="arial" w:hAnsi="arial" w:cs="arial"/>
                  <w:i/>
                  <w:color w:val="0077CC"/>
                  <w:sz w:val="20"/>
                  <w:u w:val="single"/>
                  <w:lang w:val="en-US" w:eastAsia="en-US" w:bidi="ar-SA"/>
                </w:rPr>
                <w:t>Metheny v. State, 359 Md. 576, 755 A.2d 1088 (2000).</w:t>
              </w:r>
            </w:hyperlink>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Third degree sexual offense requires a specific intent to sexually arouse, gratify, or abuse either party. </w:t>
            </w:r>
            <w:hyperlink r:id="rId271" w:history="1">
              <w:r>
                <w:rPr>
                  <w:rFonts w:ascii="arial" w:eastAsia="arial" w:hAnsi="arial" w:cs="arial"/>
                  <w:i/>
                  <w:color w:val="0077CC"/>
                  <w:sz w:val="20"/>
                  <w:u w:val="single"/>
                  <w:lang w:val="en-US" w:eastAsia="en-US" w:bidi="ar-SA"/>
                </w:rPr>
                <w:t>Dillsworth v. State, 66 Md. App. 263, 270, 503 A.2d 734, 737 (1986)</w:t>
              </w:r>
            </w:hyperlink>
            <w:r>
              <w:rPr>
                <w:rFonts w:ascii="arial" w:eastAsia="arial" w:hAnsi="arial" w:cs="arial"/>
                <w:color w:val="000000"/>
                <w:sz w:val="20"/>
                <w:lang w:val="en-US" w:eastAsia="en-US" w:bidi="ar-SA"/>
              </w:rPr>
              <w:t xml:space="preserve"> ("The three 'purposes' are in the disjunctive."), </w:t>
            </w:r>
            <w:r>
              <w:rPr>
                <w:rFonts w:ascii="arial" w:eastAsia="arial" w:hAnsi="arial" w:cs="arial"/>
                <w:i/>
                <w:color w:val="000000"/>
                <w:sz w:val="20"/>
                <w:lang w:val="en-US" w:eastAsia="en-US" w:bidi="ar-SA"/>
              </w:rPr>
              <w:t>aff'd</w:t>
            </w:r>
            <w:r>
              <w:rPr>
                <w:rFonts w:ascii="arial" w:eastAsia="arial" w:hAnsi="arial" w:cs="arial"/>
                <w:color w:val="000000"/>
                <w:sz w:val="20"/>
                <w:lang w:val="en-US" w:eastAsia="en-US" w:bidi="ar-SA"/>
              </w:rPr>
              <w:t xml:space="preserve">, </w:t>
            </w:r>
            <w:hyperlink r:id="rId272" w:history="1">
              <w:r>
                <w:rPr>
                  <w:rFonts w:ascii="arial" w:eastAsia="arial" w:hAnsi="arial" w:cs="arial"/>
                  <w:i/>
                  <w:color w:val="0077CC"/>
                  <w:sz w:val="20"/>
                  <w:u w:val="single"/>
                  <w:lang w:val="en-US" w:eastAsia="en-US" w:bidi="ar-SA"/>
                </w:rPr>
                <w:t>308 Md. 354, 519 A.2d 1269 (1987);</w:t>
              </w:r>
            </w:hyperlink>
            <w:r>
              <w:rPr>
                <w:rFonts w:ascii="arial" w:eastAsia="arial" w:hAnsi="arial" w:cs="arial"/>
                <w:color w:val="000000"/>
                <w:sz w:val="20"/>
                <w:lang w:val="en-US" w:eastAsia="en-US" w:bidi="ar-SA"/>
              </w:rPr>
              <w:t xml:space="preserve"> </w:t>
            </w:r>
            <w:hyperlink r:id="rId273" w:history="1">
              <w:r>
                <w:rPr>
                  <w:rFonts w:ascii="arial" w:eastAsia="arial" w:hAnsi="arial" w:cs="arial"/>
                  <w:i/>
                  <w:color w:val="0077CC"/>
                  <w:sz w:val="20"/>
                  <w:u w:val="single"/>
                  <w:lang w:val="en-US" w:eastAsia="en-US" w:bidi="ar-SA"/>
                </w:rPr>
                <w:t>Holt v. State, 50 Md. App. 578, 580-81, 438 A.2d 1386, 1388 (1982)</w:t>
              </w:r>
            </w:hyperlink>
            <w:r>
              <w:rPr>
                <w:rFonts w:ascii="arial" w:eastAsia="arial" w:hAnsi="arial" w:cs="arial"/>
                <w:color w:val="000000"/>
                <w:sz w:val="20"/>
                <w:lang w:val="en-US" w:eastAsia="en-US" w:bidi="ar-SA"/>
              </w:rPr>
              <w:t xml:space="preserve"> (noting third degree sexual offense is a specific intent crime).</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Solicitation requires a specific intent that someone else commit a felony or breach of the peace misdemeanor. </w:t>
            </w:r>
            <w:hyperlink r:id="rId274" w:history="1">
              <w:r>
                <w:rPr>
                  <w:rFonts w:ascii="arial" w:eastAsia="arial" w:hAnsi="arial" w:cs="arial"/>
                  <w:i/>
                  <w:color w:val="0077CC"/>
                  <w:sz w:val="20"/>
                  <w:u w:val="single"/>
                  <w:lang w:val="en-US" w:eastAsia="en-US" w:bidi="ar-SA"/>
                </w:rPr>
                <w:t>Allen v. State, 91 Md. App. 705, 736, 605 A.2d 960, 975,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hyperlink r:id="rId275" w:history="1">
              <w:r>
                <w:rPr>
                  <w:rFonts w:ascii="arial" w:eastAsia="arial" w:hAnsi="arial" w:cs="arial"/>
                  <w:i/>
                  <w:color w:val="0077CC"/>
                  <w:sz w:val="20"/>
                  <w:u w:val="single"/>
                  <w:lang w:val="en-US" w:eastAsia="en-US" w:bidi="ar-SA"/>
                </w:rPr>
                <w:t>327 Md. 625, 612 A.2d 256 (1992),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dissaproved of on other grounds</w:t>
            </w:r>
            <w:r>
              <w:rPr>
                <w:rFonts w:ascii="arial" w:eastAsia="arial" w:hAnsi="arial" w:cs="arial"/>
                <w:color w:val="000000"/>
                <w:sz w:val="20"/>
                <w:lang w:val="en-US" w:eastAsia="en-US" w:bidi="ar-SA"/>
              </w:rPr>
              <w:t xml:space="preserve">, </w:t>
            </w:r>
            <w:hyperlink r:id="rId276" w:history="1">
              <w:r>
                <w:rPr>
                  <w:rFonts w:ascii="arial" w:eastAsia="arial" w:hAnsi="arial" w:cs="arial"/>
                  <w:i/>
                  <w:color w:val="0077CC"/>
                  <w:sz w:val="20"/>
                  <w:u w:val="single"/>
                  <w:lang w:val="en-US" w:eastAsia="en-US" w:bidi="ar-SA"/>
                </w:rPr>
                <w:t>404 Md. 187, 946 A.2d 444 (2008).</w:t>
              </w:r>
            </w:hyperlink>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Theft by unauthorized control, by deception, and by possession of stolen property, each require a specific intent to deprive the owner of property. </w:t>
            </w:r>
            <w:hyperlink r:id="rId176" w:history="1">
              <w:r>
                <w:rPr>
                  <w:rFonts w:ascii="arial" w:eastAsia="arial" w:hAnsi="arial" w:cs="arial"/>
                  <w:i/>
                  <w:color w:val="0077CC"/>
                  <w:sz w:val="20"/>
                  <w:u w:val="single"/>
                  <w:lang w:val="en-US" w:eastAsia="en-US" w:bidi="ar-SA"/>
                </w:rPr>
                <w:t>Sibert v. State, 301 Md. 141, 147, 482 A.2d 483, 486 (1984)</w:t>
              </w:r>
            </w:hyperlink>
            <w:r>
              <w:rPr>
                <w:rFonts w:ascii="arial" w:eastAsia="arial" w:hAnsi="arial" w:cs="arial"/>
                <w:color w:val="000000"/>
                <w:sz w:val="20"/>
                <w:lang w:val="en-US" w:eastAsia="en-US" w:bidi="ar-SA"/>
              </w:rPr>
              <w:t xml:space="preserve"> (noting larceny and theft require a specific intent); </w:t>
            </w:r>
            <w:hyperlink r:id="rId262" w:history="1">
              <w:r>
                <w:rPr>
                  <w:rFonts w:ascii="arial" w:eastAsia="arial" w:hAnsi="arial" w:cs="arial"/>
                  <w:i/>
                  <w:color w:val="0077CC"/>
                  <w:sz w:val="20"/>
                  <w:u w:val="single"/>
                  <w:lang w:val="en-US" w:eastAsia="en-US" w:bidi="ar-SA"/>
                </w:rPr>
                <w:t>Schwartz, 103 Md. App. at 391-93, 653 A.2d at 964-65</w:t>
              </w:r>
            </w:hyperlink>
            <w:r>
              <w:rPr>
                <w:rFonts w:ascii="arial" w:eastAsia="arial" w:hAnsi="arial" w:cs="arial"/>
                <w:color w:val="000000"/>
                <w:sz w:val="20"/>
                <w:lang w:val="en-US" w:eastAsia="en-US" w:bidi="ar-SA"/>
              </w:rPr>
              <w:t xml:space="preserve"> (stating theft requires that the defendant "willfully intended to deprive"),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339 Md. 168, 661 A.2d 701 (1995);</w:t>
            </w:r>
            <w:r>
              <w:rPr>
                <w:rFonts w:ascii="arial" w:eastAsia="arial" w:hAnsi="arial" w:cs="arial"/>
                <w:color w:val="000000"/>
                <w:sz w:val="20"/>
                <w:lang w:val="en-US" w:eastAsia="en-US" w:bidi="ar-SA"/>
              </w:rPr>
              <w:t xml:space="preserve"> </w:t>
            </w:r>
            <w:hyperlink r:id="rId277" w:history="1">
              <w:r>
                <w:rPr>
                  <w:rFonts w:ascii="arial" w:eastAsia="arial" w:hAnsi="arial" w:cs="arial"/>
                  <w:i/>
                  <w:color w:val="0077CC"/>
                  <w:sz w:val="20"/>
                  <w:u w:val="single"/>
                  <w:lang w:val="en-US" w:eastAsia="en-US" w:bidi="ar-SA"/>
                </w:rPr>
                <w:t>Cardin v. State, 73 Md. App. 200, 222-23, 533 A.2d 928, 939 (1987)</w:t>
              </w:r>
            </w:hyperlink>
            <w:r>
              <w:rPr>
                <w:rFonts w:ascii="arial" w:eastAsia="arial" w:hAnsi="arial" w:cs="arial"/>
                <w:color w:val="000000"/>
                <w:sz w:val="20"/>
                <w:lang w:val="en-US" w:eastAsia="en-US" w:bidi="ar-SA"/>
              </w:rPr>
              <w:t xml:space="preserve"> (noting theft by deception requires the "intent to mislead"), </w:t>
            </w:r>
            <w:r>
              <w:rPr>
                <w:rFonts w:ascii="arial" w:eastAsia="arial" w:hAnsi="arial" w:cs="arial"/>
                <w:i/>
                <w:color w:val="000000"/>
                <w:sz w:val="20"/>
                <w:lang w:val="en-US" w:eastAsia="en-US" w:bidi="ar-SA"/>
              </w:rPr>
              <w:t>cert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312 Md. 126, 538 A.2d 777,</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488 U.S. 827,</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reh'g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488 U.S. 935 (1988).</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Carrying a dangerous weapon openly with intent to injure requires a specific intent to injure another person. CRIM. LAW I § 4-101(c)(2); </w:t>
            </w:r>
            <w:hyperlink r:id="rId242" w:history="1">
              <w:r>
                <w:rPr>
                  <w:rFonts w:ascii="arial" w:eastAsia="arial" w:hAnsi="arial" w:cs="arial"/>
                  <w:i/>
                  <w:color w:val="0077CC"/>
                  <w:sz w:val="20"/>
                  <w:u w:val="single"/>
                  <w:lang w:val="en-US" w:eastAsia="en-US" w:bidi="ar-SA"/>
                </w:rPr>
                <w:t>Wieland, 101 Md. App. at 32, 643 A.2d at 461</w:t>
              </w:r>
            </w:hyperlink>
            <w:r>
              <w:rPr>
                <w:rFonts w:ascii="arial" w:eastAsia="arial" w:hAnsi="arial" w:cs="arial"/>
                <w:color w:val="000000"/>
                <w:sz w:val="20"/>
                <w:lang w:val="en-US" w:eastAsia="en-US" w:bidi="ar-SA"/>
              </w:rPr>
              <w:t xml:space="preserve"> (noting carrying a handgun with the intent to injure has the specific-intent-to-injure element).</w:t>
            </w:r>
          </w:p>
          <w:p>
            <w:pPr>
              <w:spacing w:after="120"/>
              <w:rPr>
                <w:lang w:val="en-US" w:eastAsia="en-US" w:bidi="ar-SA"/>
              </w:rPr>
            </w:pPr>
          </w:p>
        </w:tc>
      </w:tr>
    </w:tbl>
    <w:p>
      <w:pPr>
        <w:spacing w:before="60" w:line="260" w:lineRule="atLeast"/>
        <w:ind w:left="720"/>
        <w:jc w:val="both"/>
        <w:rPr>
          <w:lang w:val="en-US" w:eastAsia="en-US" w:bidi="ar-SA"/>
        </w:rPr>
      </w:pPr>
      <w:r>
        <w:rPr>
          <w:rFonts w:ascii="arial" w:eastAsia="arial" w:hAnsi="arial" w:cs="arial"/>
          <w:color w:val="000000"/>
          <w:sz w:val="20"/>
          <w:lang w:val="en-US" w:eastAsia="en-US" w:bidi="ar-SA"/>
        </w:rPr>
        <w:t>#MICPEL#</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Reference</w:t>
      </w:r>
    </w:p>
    <w:p>
      <w:pPr>
        <w:spacing w:line="60" w:lineRule="exact"/>
        <w:rPr>
          <w:lang w:val="en-US" w:eastAsia="en-US" w:bidi="ar-SA"/>
        </w:rPr>
      </w:pPr>
      <w:r>
        <w:pict>
          <v:line id="_x0000_s1063" style="position:absolute;z-index:251680768" from="0,2pt" to="512pt,2pt" strokecolor="#009ddb" strokeweight="2pt">
            <v:stroke linestyle="single"/>
            <w10:wrap type="topAndBottom"/>
          </v:line>
        </w:pict>
      </w:r>
    </w:p>
    <w:p>
      <w:pPr>
        <w:spacing w:line="120" w:lineRule="exact"/>
        <w:rPr>
          <w:lang w:val="en-US" w:eastAsia="en-US" w:bidi="ar-SA"/>
        </w:rPr>
      </w:pPr>
    </w:p>
    <w:p>
      <w:pPr>
        <w:spacing w:before="120" w:line="260" w:lineRule="atLeast"/>
        <w:rPr>
          <w:lang w:val="en-US" w:eastAsia="en-US" w:bidi="ar-SA"/>
        </w:rPr>
      </w:pPr>
      <w:r>
        <w:rPr>
          <w:rFonts w:ascii="arial" w:eastAsia="arial" w:hAnsi="arial" w:cs="arial"/>
          <w:color w:val="000000"/>
          <w:sz w:val="20"/>
          <w:lang w:val="en-US" w:eastAsia="en-US" w:bidi="ar-SA"/>
        </w:rPr>
        <w:t>MPJI-Cr 4:17.1.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Source:</w:t>
      </w:r>
      <w:r>
        <w:rPr>
          <w:rFonts w:ascii="arial" w:eastAsia="arial" w:hAnsi="arial" w:cs="arial"/>
          <w:color w:val="000000"/>
          <w:sz w:val="20"/>
          <w:lang w:val="en-US" w:eastAsia="en-US" w:bidi="ar-SA"/>
        </w:rPr>
        <w:t> MICPEL</w:t>
      </w:r>
    </w:p>
    <w:p>
      <w:pPr>
        <w:spacing w:before="240" w:line="220" w:lineRule="atLeast"/>
        <w:rPr>
          <w:lang w:val="en-US" w:eastAsia="en-US" w:bidi="ar-SA"/>
        </w:rPr>
      </w:pPr>
      <w:r>
        <w:rPr>
          <w:rFonts w:ascii="arial" w:eastAsia="arial" w:hAnsi="arial" w:cs="arial"/>
          <w:color w:val="000000"/>
          <w:sz w:val="16"/>
          <w:lang w:val="en-US" w:eastAsia="en-US" w:bidi="ar-SA"/>
        </w:rPr>
        <w:t>Maryland Criminal Pattern Jury Instructions</w:t>
      </w:r>
    </w:p>
    <w:p>
      <w:pPr>
        <w:spacing w:line="220" w:lineRule="atLeast"/>
        <w:rPr>
          <w:lang w:val="en-US" w:eastAsia="en-US" w:bidi="ar-SA"/>
        </w:rPr>
      </w:pPr>
      <w:r>
        <w:rPr>
          <w:rFonts w:ascii="arial" w:eastAsia="arial" w:hAnsi="arial" w:cs="arial"/>
          <w:color w:val="000000"/>
          <w:sz w:val="16"/>
          <w:lang w:val="en-US" w:eastAsia="en-US" w:bidi="ar-SA"/>
        </w:rPr>
        <w:t>Copyright 2018 by The Maryland State Bar Association, Inc.</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6879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8"/>
          <w:headerReference w:type="default" r:id="rId279"/>
          <w:footerReference w:type="even" r:id="rId280"/>
          <w:footerReference w:type="default" r:id="rId281"/>
          <w:headerReference w:type="first" r:id="rId282"/>
          <w:footerReference w:type="first" r:id="rId283"/>
          <w:type w:val="nextPage"/>
          <w:pgSz w:w="12240" w:h="15840"/>
          <w:pgMar w:top="840" w:right="1000" w:bottom="840" w:left="1000" w:header="400" w:footer="400"/>
          <w:pgNumType w:fmt="decimal"/>
          <w:cols w:space="720"/>
          <w:titlePg/>
        </w:sectPr>
      </w:pPr>
    </w:p>
    <w:p>
      <w:pPr>
        <w:rPr>
          <w:lang w:val="en-US" w:eastAsia="en-US" w:bidi="ar-SA"/>
        </w:rPr>
      </w:pPr>
      <w:bookmarkStart w:id="11" w:name="Bookmark_12"/>
      <w:bookmarkEnd w:id="11"/>
    </w:p>
    <w:p>
      <w:pPr>
        <w:rPr>
          <w:lang w:val="en-US" w:eastAsia="en-US" w:bidi="ar-SA"/>
        </w:rPr>
      </w:pPr>
      <w:r>
        <w:pict>
          <v:shape id="_x0000_i1065" type="#_x0000_t75" alt="LexisNexis®" style="width:147.77pt;height:30pt">
            <v:imagedata r:id="rId4" o:title=""/>
          </v:shape>
        </w:pict>
      </w:r>
      <w:r>
        <w:rPr>
          <w:lang w:val="en-US" w:eastAsia="en-US" w:bidi="ar-SA"/>
        </w:rPr>
        <w:cr/>
      </w:r>
    </w:p>
    <w:p>
      <w:pPr>
        <w:spacing w:before="240" w:after="200" w:line="340" w:lineRule="atLeast"/>
        <w:jc w:val="center"/>
        <w:outlineLvl w:val="0"/>
        <w:rPr>
          <w:rFonts w:ascii="Arial" w:hAnsi="Arial" w:cs="Arial"/>
          <w:b/>
          <w:bCs/>
          <w:kern w:val="32"/>
          <w:sz w:val="32"/>
          <w:szCs w:val="32"/>
          <w:lang w:val="en-US" w:eastAsia="en-US" w:bidi="ar-SA"/>
        </w:rPr>
      </w:pPr>
      <w:hyperlink r:id="rId284" w:history="1">
        <w:r>
          <w:rPr>
            <w:rFonts w:ascii="arial" w:eastAsia="arial" w:hAnsi="arial" w:cs="arial"/>
            <w:b/>
            <w:bCs/>
            <w:i/>
            <w:color w:val="0077CC"/>
            <w:kern w:val="32"/>
            <w:sz w:val="28"/>
            <w:szCs w:val="32"/>
            <w:u w:val="single"/>
            <w:lang w:val="en-US" w:eastAsia="en-US" w:bidi="ar-SA"/>
          </w:rPr>
          <w:t>MPJI-Cr 5:09</w:t>
        </w:r>
      </w:hyperlink>
    </w:p>
    <w:p>
      <w:pPr>
        <w:spacing w:line="240" w:lineRule="atLeast"/>
        <w:jc w:val="both"/>
        <w:rPr>
          <w:lang w:val="en-US" w:eastAsia="en-US" w:bidi="ar-SA"/>
        </w:rPr>
      </w:pPr>
    </w:p>
    <w:p>
      <w:pPr>
        <w:spacing w:before="200" w:line="280" w:lineRule="atLeast"/>
        <w:rPr>
          <w:lang w:val="en-US" w:eastAsia="en-US" w:bidi="ar-SA"/>
        </w:rPr>
      </w:pPr>
      <w:r>
        <w:rPr>
          <w:rFonts w:ascii="arial" w:eastAsia="arial" w:hAnsi="arial" w:cs="arial"/>
          <w:b/>
          <w:i/>
          <w:color w:val="000000"/>
          <w:sz w:val="22"/>
          <w:lang w:val="en-US" w:eastAsia="en-US" w:bidi="ar-SA"/>
        </w:rPr>
        <w:t>Maryland Criminal Pattern Jury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CHAPTER 5 DEFENSES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TERRITORIAL JURISDICTION</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5:09Territorial Jurisdiction</w:t>
      </w:r>
    </w:p>
    <w:p>
      <w:pPr>
        <w:spacing w:line="60" w:lineRule="exact"/>
        <w:rPr>
          <w:lang w:val="en-US" w:eastAsia="en-US" w:bidi="ar-SA"/>
        </w:rPr>
      </w:pPr>
      <w:r>
        <w:pict>
          <v:line id="_x0000_s1066" style="position:absolute;z-index:2516695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color w:val="000000"/>
          <w:sz w:val="20"/>
          <w:lang w:val="en-US" w:eastAsia="en-US" w:bidi="ar-SA"/>
        </w:rPr>
        <w:t>You have heard evidence that the crime of (</w:t>
      </w:r>
      <w:r>
        <w:rPr>
          <w:rFonts w:ascii="arial" w:eastAsia="arial" w:hAnsi="arial" w:cs="arial"/>
          <w:b/>
          <w:color w:val="000000"/>
          <w:sz w:val="20"/>
          <w:u w:val="single"/>
          <w:lang w:val="en-US" w:eastAsia="en-US" w:bidi="ar-SA"/>
        </w:rPr>
        <w:t>offense</w:t>
      </w:r>
      <w:r>
        <w:rPr>
          <w:rFonts w:ascii="arial" w:eastAsia="arial" w:hAnsi="arial" w:cs="arial"/>
          <w:b/>
          <w:color w:val="000000"/>
          <w:sz w:val="20"/>
          <w:lang w:val="en-US" w:eastAsia="en-US" w:bidi="ar-SA"/>
        </w:rPr>
        <w:t>) was not committed in the State of Maryland. While not all of the elements of the crime of (</w:t>
      </w:r>
      <w:r>
        <w:rPr>
          <w:rFonts w:ascii="arial" w:eastAsia="arial" w:hAnsi="arial" w:cs="arial"/>
          <w:b/>
          <w:color w:val="000000"/>
          <w:sz w:val="20"/>
          <w:u w:val="single"/>
          <w:lang w:val="en-US" w:eastAsia="en-US" w:bidi="ar-SA"/>
        </w:rPr>
        <w:t>offense</w:t>
      </w:r>
      <w:r>
        <w:rPr>
          <w:rFonts w:ascii="arial" w:eastAsia="arial" w:hAnsi="arial" w:cs="arial"/>
          <w:b/>
          <w:color w:val="000000"/>
          <w:sz w:val="20"/>
          <w:lang w:val="en-US" w:eastAsia="en-US" w:bidi="ar-SA"/>
        </w:rPr>
        <w:t>) must occur in Maryland, in order to convict the defendant, the State must prove, beyond a reasonable doubt, that at least one of the following elements of the crime occurred in Maryland: (essential element(s) for territorial jurisdiction)</w:t>
      </w:r>
      <w:r>
        <w:rPr>
          <w:rFonts w:ascii="arial" w:eastAsia="arial" w:hAnsi="arial" w:cs="arial"/>
          <w:color w:val="000000"/>
          <w:sz w:val="20"/>
          <w:lang w:val="en-US" w:eastAsia="en-US" w:bidi="ar-SA"/>
        </w:rPr>
        <w:t>.</w:t>
      </w:r>
    </w:p>
    <w:p>
      <w:pPr>
        <w:rPr>
          <w:lang w:val="en-US" w:eastAsia="en-US" w:bidi="ar-SA"/>
        </w:rPr>
      </w:pPr>
    </w:p>
    <w:tbl>
      <w:tblPr>
        <w:tblStyle w:val="TableNormal"/>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
      <w:tblGrid>
        <w:gridCol w:w="10240"/>
      </w:tblGrid>
      <w:tr>
        <w:tblPrEx>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Ex>
        <w:tc>
          <w:tcPr>
            <w:tcW w:w="10240" w:type="dxa"/>
            <w:vAlign w:val="center"/>
          </w:tcPr>
          <w:p>
            <w:pPr>
              <w:spacing w:before="240" w:line="260" w:lineRule="atLeast"/>
              <w:ind w:left="60" w:right="360"/>
              <w:rPr>
                <w:lang w:val="en-US" w:eastAsia="en-US" w:bidi="ar-SA"/>
              </w:rPr>
            </w:pPr>
            <w:r>
              <w:rPr>
                <w:rFonts w:ascii="arial" w:eastAsia="arial" w:hAnsi="arial" w:cs="arial"/>
                <w:b/>
                <w:color w:val="000000"/>
                <w:sz w:val="20"/>
                <w:lang w:val="en-US" w:eastAsia="en-US" w:bidi="ar-SA"/>
              </w:rPr>
              <w:t> </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COMMENT</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Territorial jurisdiction addresses the requirement that, in order for a sovereign to prosecute criminal conduct, the crime must have occurred in that sovereign. </w:t>
            </w:r>
            <w:hyperlink r:id="rId285" w:history="1">
              <w:r>
                <w:rPr>
                  <w:rFonts w:ascii="arial" w:eastAsia="arial" w:hAnsi="arial" w:cs="arial"/>
                  <w:i/>
                  <w:color w:val="0077CC"/>
                  <w:sz w:val="20"/>
                  <w:u w:val="single"/>
                  <w:lang w:val="en-US" w:eastAsia="en-US" w:bidi="ar-SA"/>
                </w:rPr>
                <w:t>State v. Adams, 406 Md. 240, 958 A.2d 295 (2008);</w:t>
              </w:r>
            </w:hyperlink>
            <w:r>
              <w:rPr>
                <w:rFonts w:ascii="arial" w:eastAsia="arial" w:hAnsi="arial" w:cs="arial"/>
                <w:color w:val="000000"/>
                <w:sz w:val="20"/>
                <w:lang w:val="en-US" w:eastAsia="en-US" w:bidi="ar-SA"/>
              </w:rPr>
              <w:t xml:space="preserve"> </w:t>
            </w:r>
            <w:hyperlink r:id="rId286" w:history="1">
              <w:r>
                <w:rPr>
                  <w:rFonts w:ascii="arial" w:eastAsia="arial" w:hAnsi="arial" w:cs="arial"/>
                  <w:i/>
                  <w:color w:val="0077CC"/>
                  <w:sz w:val="20"/>
                  <w:u w:val="single"/>
                  <w:lang w:val="en-US" w:eastAsia="en-US" w:bidi="ar-SA"/>
                </w:rPr>
                <w:t>Khalifa v. State, 382 Md. 400, 855 A.2d 1175 (2004);</w:t>
              </w:r>
            </w:hyperlink>
            <w:r>
              <w:rPr>
                <w:rFonts w:ascii="arial" w:eastAsia="arial" w:hAnsi="arial" w:cs="arial"/>
                <w:color w:val="000000"/>
                <w:sz w:val="20"/>
                <w:lang w:val="en-US" w:eastAsia="en-US" w:bidi="ar-SA"/>
              </w:rPr>
              <w:t xml:space="preserve"> </w:t>
            </w:r>
            <w:hyperlink r:id="rId287" w:history="1">
              <w:r>
                <w:rPr>
                  <w:rFonts w:ascii="arial" w:eastAsia="arial" w:hAnsi="arial" w:cs="arial"/>
                  <w:i/>
                  <w:color w:val="0077CC"/>
                  <w:sz w:val="20"/>
                  <w:u w:val="single"/>
                  <w:lang w:val="en-US" w:eastAsia="en-US" w:bidi="ar-SA"/>
                </w:rPr>
                <w:t>State v. Butler, 353 Md. 67, 72-73, 724 A.2d 657, 660 (1999).</w:t>
              </w:r>
            </w:hyperlink>
            <w:r>
              <w:rPr>
                <w:rFonts w:ascii="arial" w:eastAsia="arial" w:hAnsi="arial" w:cs="arial"/>
                <w:color w:val="000000"/>
                <w:sz w:val="20"/>
                <w:lang w:val="en-US" w:eastAsia="en-US" w:bidi="ar-SA"/>
              </w:rPr>
              <w:t xml:space="preserve"> When the evidence generates a genuine dispute concerning whether Maryland has territorial jurisdiction over the crime, the State must prove territorial jurisdiction beyond a reasonable doubt. </w:t>
            </w:r>
            <w:hyperlink r:id="rId288" w:history="1">
              <w:r>
                <w:rPr>
                  <w:rFonts w:ascii="arial" w:eastAsia="arial" w:hAnsi="arial" w:cs="arial"/>
                  <w:i/>
                  <w:color w:val="0077CC"/>
                  <w:sz w:val="20"/>
                  <w:u w:val="single"/>
                  <w:lang w:val="en-US" w:eastAsia="en-US" w:bidi="ar-SA"/>
                </w:rPr>
                <w:t>West v. State, 369 Md. 150, 158-59, 797 A.2d 1278, 1283 (2002);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accord </w:t>
            </w:r>
            <w:hyperlink r:id="rId287" w:history="1">
              <w:r>
                <w:rPr>
                  <w:rFonts w:ascii="arial" w:eastAsia="arial" w:hAnsi="arial" w:cs="arial"/>
                  <w:i/>
                  <w:color w:val="0077CC"/>
                  <w:sz w:val="20"/>
                  <w:u w:val="single"/>
                  <w:lang w:val="en-US" w:eastAsia="en-US" w:bidi="ar-SA"/>
                </w:rPr>
                <w:t>Butler, 353 Md. at 79-81, 724 A.2d at 663-64.</w:t>
              </w:r>
            </w:hyperlink>
            <w:r>
              <w:rPr>
                <w:rFonts w:ascii="arial" w:eastAsia="arial" w:hAnsi="arial" w:cs="arial"/>
                <w:color w:val="000000"/>
                <w:sz w:val="20"/>
                <w:lang w:val="en-US" w:eastAsia="en-US" w:bidi="ar-SA"/>
              </w:rPr>
              <w:t xml:space="preserve"> Maryland follows the common law rule of territorial jurisdiction, requiring more than just "any element" to take place in Maryland. Under this rule, the "essential," "key," or "vital" element must take place in Maryland in order to give Maryland territorial jurisdiction. </w:t>
            </w:r>
            <w:hyperlink r:id="rId288" w:history="1">
              <w:r>
                <w:rPr>
                  <w:rFonts w:ascii="arial" w:eastAsia="arial" w:hAnsi="arial" w:cs="arial"/>
                  <w:i/>
                  <w:color w:val="0077CC"/>
                  <w:sz w:val="20"/>
                  <w:u w:val="single"/>
                  <w:lang w:val="en-US" w:eastAsia="en-US" w:bidi="ar-SA"/>
                </w:rPr>
                <w:t>West, 369 Md. at 158-59, 797 A.2d at 1283.</w:t>
              </w:r>
            </w:hyperlink>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In </w:t>
            </w:r>
            <w:hyperlink r:id="rId269" w:history="1">
              <w:r>
                <w:rPr>
                  <w:rFonts w:ascii="arial" w:eastAsia="arial" w:hAnsi="arial" w:cs="arial"/>
                  <w:i/>
                  <w:color w:val="0077CC"/>
                  <w:sz w:val="20"/>
                  <w:u w:val="single"/>
                  <w:lang w:val="en-US" w:eastAsia="en-US" w:bidi="ar-SA"/>
                </w:rPr>
                <w:t>Pennington v. State, 308 Md. 727, 521 A.2d 1216 (1987),</w:t>
              </w:r>
            </w:hyperlink>
            <w:r>
              <w:rPr>
                <w:rFonts w:ascii="arial" w:eastAsia="arial" w:hAnsi="arial" w:cs="arial"/>
                <w:color w:val="000000"/>
                <w:sz w:val="20"/>
                <w:lang w:val="en-US" w:eastAsia="en-US" w:bidi="ar-SA"/>
              </w:rPr>
              <w:t xml:space="preserve"> the Court of Appeals analyzed the key elements of various offenses, for purposes of territorial jurisdiction, as follows:</w:t>
            </w:r>
          </w:p>
          <w:p>
            <w:pPr>
              <w:spacing w:before="240" w:line="260" w:lineRule="atLeast"/>
              <w:ind w:left="460" w:right="360"/>
              <w:jc w:val="both"/>
              <w:rPr>
                <w:lang w:val="en-US" w:eastAsia="en-US" w:bidi="ar-SA"/>
              </w:rPr>
            </w:pPr>
            <w:hyperlink r:id="rId289" w:history="1">
              <w:r>
                <w:rPr>
                  <w:rFonts w:ascii="arial" w:eastAsia="arial" w:hAnsi="arial" w:cs="arial"/>
                  <w:i/>
                  <w:color w:val="0077CC"/>
                  <w:sz w:val="20"/>
                  <w:u w:val="single"/>
                  <w:lang w:val="en-US" w:eastAsia="en-US" w:bidi="ar-SA"/>
                </w:rPr>
                <w:t>Urciolo v. State, 272 Md. 607, 325 A.2d 878</w:t>
              </w:r>
            </w:hyperlink>
            <w:r>
              <w:rPr>
                <w:rFonts w:ascii="arial" w:eastAsia="arial" w:hAnsi="arial" w:cs="arial"/>
                <w:color w:val="000000"/>
                <w:sz w:val="20"/>
                <w:lang w:val="en-US" w:eastAsia="en-US" w:bidi="ar-SA"/>
              </w:rPr>
              <w:t xml:space="preserve"> [(1974)] (jurisdiction over embezzlement; there must be some act by the accused or his agent within the state); </w:t>
            </w:r>
            <w:hyperlink r:id="rId290" w:history="1">
              <w:r>
                <w:rPr>
                  <w:rFonts w:ascii="arial" w:eastAsia="arial" w:hAnsi="arial" w:cs="arial"/>
                  <w:i/>
                  <w:color w:val="0077CC"/>
                  <w:sz w:val="20"/>
                  <w:u w:val="single"/>
                  <w:lang w:val="en-US" w:eastAsia="en-US" w:bidi="ar-SA"/>
                </w:rPr>
                <w:t>Goodman v. State, 237 Md. 64, 205 A.2d 53</w:t>
              </w:r>
            </w:hyperlink>
            <w:r>
              <w:rPr>
                <w:rFonts w:ascii="arial" w:eastAsia="arial" w:hAnsi="arial" w:cs="arial"/>
                <w:color w:val="000000"/>
                <w:sz w:val="20"/>
                <w:lang w:val="en-US" w:eastAsia="en-US" w:bidi="ar-SA"/>
              </w:rPr>
              <w:t xml:space="preserve"> [(1964)] (no territorial jurisdiction over unlawfully obtaining narcotic drug by misrepresentation where the misrepresentation was made in Maryland but the prescription was filled in the District of Columbia); </w:t>
            </w:r>
            <w:hyperlink r:id="rId291" w:history="1">
              <w:r>
                <w:rPr>
                  <w:rFonts w:ascii="arial" w:eastAsia="arial" w:hAnsi="arial" w:cs="arial"/>
                  <w:i/>
                  <w:color w:val="0077CC"/>
                  <w:sz w:val="20"/>
                  <w:u w:val="single"/>
                  <w:lang w:val="en-US" w:eastAsia="en-US" w:bidi="ar-SA"/>
                </w:rPr>
                <w:t>Medley v. Warden, 210 Md. 649, 123 A.2d 595</w:t>
              </w:r>
            </w:hyperlink>
            <w:r>
              <w:rPr>
                <w:rFonts w:ascii="arial" w:eastAsia="arial" w:hAnsi="arial" w:cs="arial"/>
                <w:color w:val="000000"/>
                <w:sz w:val="20"/>
                <w:lang w:val="en-US" w:eastAsia="en-US" w:bidi="ar-SA"/>
              </w:rPr>
              <w:t xml:space="preserve"> (forgery committed at place where the false instrument is uttered; fact that instrument was made in Virginia no bar to prosecution in Maryland),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352 U.S. 858 (1956);</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Bowen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 State</w:t>
            </w:r>
            <w:r>
              <w:rPr>
                <w:rFonts w:ascii="arial" w:eastAsia="arial" w:hAnsi="arial" w:cs="arial"/>
                <w:color w:val="000000"/>
                <w:sz w:val="20"/>
                <w:lang w:val="en-US" w:eastAsia="en-US" w:bidi="ar-SA"/>
              </w:rPr>
              <w:t xml:space="preserve">], </w:t>
            </w:r>
            <w:hyperlink r:id="rId292" w:history="1">
              <w:r>
                <w:rPr>
                  <w:rFonts w:ascii="arial" w:eastAsia="arial" w:hAnsi="arial" w:cs="arial"/>
                  <w:i/>
                  <w:color w:val="0077CC"/>
                  <w:sz w:val="20"/>
                  <w:u w:val="single"/>
                  <w:lang w:val="en-US" w:eastAsia="en-US" w:bidi="ar-SA"/>
                </w:rPr>
                <w:t>206 Md. 368, 111 A.2d 844</w:t>
              </w:r>
            </w:hyperlink>
            <w:r>
              <w:rPr>
                <w:rFonts w:ascii="arial" w:eastAsia="arial" w:hAnsi="arial" w:cs="arial"/>
                <w:color w:val="000000"/>
                <w:sz w:val="20"/>
                <w:lang w:val="en-US" w:eastAsia="en-US" w:bidi="ar-SA"/>
              </w:rPr>
              <w:t xml:space="preserve"> [(1955)] (larceny after trust and embezzlement; there can be no prosecution in Maryland of larceny after trust or embezzlement absent some act of conversion or appropriation within the jurisdiction); </w:t>
            </w:r>
            <w:r>
              <w:rPr>
                <w:rFonts w:ascii="arial" w:eastAsia="arial" w:hAnsi="arial" w:cs="arial"/>
                <w:i/>
                <w:color w:val="000000"/>
                <w:sz w:val="20"/>
                <w:lang w:val="en-US" w:eastAsia="en-US" w:bidi="ar-SA"/>
              </w:rPr>
              <w:t>Stout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 State</w:t>
            </w:r>
            <w:r>
              <w:rPr>
                <w:rFonts w:ascii="arial" w:eastAsia="arial" w:hAnsi="arial" w:cs="arial"/>
                <w:color w:val="000000"/>
                <w:sz w:val="20"/>
                <w:lang w:val="en-US" w:eastAsia="en-US" w:bidi="ar-SA"/>
              </w:rPr>
              <w:t xml:space="preserve">], </w:t>
            </w:r>
            <w:hyperlink r:id="rId293" w:history="1">
              <w:r>
                <w:rPr>
                  <w:rFonts w:ascii="arial" w:eastAsia="arial" w:hAnsi="arial" w:cs="arial"/>
                  <w:i/>
                  <w:color w:val="0077CC"/>
                  <w:sz w:val="20"/>
                  <w:u w:val="single"/>
                  <w:lang w:val="en-US" w:eastAsia="en-US" w:bidi="ar-SA"/>
                </w:rPr>
                <w:t>76 Md. 317, 25 A. 299</w:t>
              </w:r>
            </w:hyperlink>
            <w:r>
              <w:rPr>
                <w:rFonts w:ascii="arial" w:eastAsia="arial" w:hAnsi="arial" w:cs="arial"/>
                <w:color w:val="000000"/>
                <w:sz w:val="20"/>
                <w:lang w:val="en-US" w:eastAsia="en-US" w:bidi="ar-SA"/>
              </w:rPr>
              <w:t xml:space="preserve"> [(1892)] (jurisdiction over murder prosecution exists in the state where the mortal blow was inflicted, notwithstanding fact that the victim died in another state); </w:t>
            </w:r>
            <w:hyperlink r:id="rId294" w:history="1">
              <w:r>
                <w:rPr>
                  <w:rFonts w:ascii="arial" w:eastAsia="arial" w:hAnsi="arial" w:cs="arial"/>
                  <w:i/>
                  <w:color w:val="0077CC"/>
                  <w:sz w:val="20"/>
                  <w:u w:val="single"/>
                  <w:lang w:val="en-US" w:eastAsia="en-US" w:bidi="ar-SA"/>
                </w:rPr>
                <w:t>Grindstaff v. State, 57 Md. App. 412, 470 A.2d 809</w:t>
              </w:r>
            </w:hyperlink>
            <w:r>
              <w:rPr>
                <w:rFonts w:ascii="arial" w:eastAsia="arial" w:hAnsi="arial" w:cs="arial"/>
                <w:color w:val="000000"/>
                <w:sz w:val="20"/>
                <w:lang w:val="en-US" w:eastAsia="en-US" w:bidi="ar-SA"/>
              </w:rPr>
              <w:t xml:space="preserve"> [(1984)] (jurisdiction exists over bribery prosecution where the duties sought to be affected by the bribe offer were to be performed in Maryland, although the offer and payment occurred outside of Maryland),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299 Md. 655, 474 A.2d 1344 (1984);</w:t>
            </w:r>
            <w:r>
              <w:rPr>
                <w:rFonts w:ascii="arial" w:eastAsia="arial" w:hAnsi="arial" w:cs="arial"/>
                <w:color w:val="000000"/>
                <w:sz w:val="20"/>
                <w:lang w:val="en-US" w:eastAsia="en-US" w:bidi="ar-SA"/>
              </w:rPr>
              <w:t xml:space="preserve"> </w:t>
            </w:r>
            <w:hyperlink r:id="rId295" w:history="1">
              <w:r>
                <w:rPr>
                  <w:rFonts w:ascii="arial" w:eastAsia="arial" w:hAnsi="arial" w:cs="arial"/>
                  <w:i/>
                  <w:color w:val="0077CC"/>
                  <w:sz w:val="20"/>
                  <w:u w:val="single"/>
                  <w:lang w:val="en-US" w:eastAsia="en-US" w:bidi="ar-SA"/>
                </w:rPr>
                <w:t>State v. Jones, 51 Md. App. 321, 443 A.2d 967 (1982)</w:t>
              </w:r>
            </w:hyperlink>
            <w:r>
              <w:rPr>
                <w:rFonts w:ascii="arial" w:eastAsia="arial" w:hAnsi="arial" w:cs="arial"/>
                <w:color w:val="000000"/>
                <w:sz w:val="20"/>
                <w:lang w:val="en-US" w:eastAsia="en-US" w:bidi="ar-SA"/>
              </w:rPr>
              <w:t xml:space="preserve"> (jurisdiction exists over first degree rape prosecution where intercourse occurred outside of Maryland yet other essential elements occurred within Maryland), </w:t>
            </w:r>
            <w:r>
              <w:rPr>
                <w:rFonts w:ascii="arial" w:eastAsia="arial" w:hAnsi="arial" w:cs="arial"/>
                <w:i/>
                <w:color w:val="000000"/>
                <w:sz w:val="20"/>
                <w:lang w:val="en-US" w:eastAsia="en-US" w:bidi="ar-SA"/>
              </w:rPr>
              <w:t>vacated on other grounds</w:t>
            </w:r>
            <w:r>
              <w:rPr>
                <w:rFonts w:ascii="arial" w:eastAsia="arial" w:hAnsi="arial" w:cs="arial"/>
                <w:color w:val="000000"/>
                <w:sz w:val="20"/>
                <w:lang w:val="en-US" w:eastAsia="en-US" w:bidi="ar-SA"/>
              </w:rPr>
              <w:t xml:space="preserve">, </w:t>
            </w:r>
            <w:hyperlink r:id="rId296" w:history="1">
              <w:r>
                <w:rPr>
                  <w:rFonts w:ascii="arial" w:eastAsia="arial" w:hAnsi="arial" w:cs="arial"/>
                  <w:i/>
                  <w:color w:val="0077CC"/>
                  <w:sz w:val="20"/>
                  <w:u w:val="single"/>
                  <w:lang w:val="en-US" w:eastAsia="en-US" w:bidi="ar-SA"/>
                </w:rPr>
                <w:t>298 Md. 634, 471 A.2d 1055 (1984).</w:t>
              </w:r>
            </w:hyperlink>
          </w:p>
          <w:p>
            <w:pPr>
              <w:spacing w:before="200" w:line="260" w:lineRule="atLeast"/>
              <w:ind w:left="60" w:right="360"/>
              <w:jc w:val="both"/>
              <w:rPr>
                <w:lang w:val="en-US" w:eastAsia="en-US" w:bidi="ar-SA"/>
              </w:rPr>
            </w:pPr>
            <w:r>
              <w:rPr>
                <w:rFonts w:ascii="arial" w:eastAsia="arial" w:hAnsi="arial" w:cs="arial"/>
                <w:i/>
                <w:color w:val="000000"/>
                <w:sz w:val="20"/>
                <w:lang w:val="en-US" w:eastAsia="en-US" w:bidi="ar-SA"/>
              </w:rPr>
              <w:t>Id.</w:t>
            </w:r>
            <w:r>
              <w:rPr>
                <w:rFonts w:ascii="arial" w:eastAsia="arial" w:hAnsi="arial" w:cs="arial"/>
                <w:color w:val="000000"/>
                <w:sz w:val="20"/>
                <w:lang w:val="en-US" w:eastAsia="en-US" w:bidi="ar-SA"/>
              </w:rPr>
              <w:t xml:space="preserve"> at 730-32, 521 A.2d at 1217-18. Many states have expanded territorial criminal jurisdiction by statute, such that if any element of an offense takes place in the state, the state would have jurisdiction. Maryland, however, has not enacted such a statute. </w:t>
            </w:r>
            <w:r>
              <w:rPr>
                <w:rFonts w:ascii="arial" w:eastAsia="arial" w:hAnsi="arial" w:cs="arial"/>
                <w:i/>
                <w:color w:val="000000"/>
                <w:sz w:val="20"/>
                <w:lang w:val="en-US" w:eastAsia="en-US" w:bidi="ar-SA"/>
              </w:rPr>
              <w:t>Id.</w:t>
            </w:r>
            <w:r>
              <w:rPr>
                <w:rFonts w:ascii="arial" w:eastAsia="arial" w:hAnsi="arial" w:cs="arial"/>
                <w:color w:val="000000"/>
                <w:sz w:val="20"/>
                <w:lang w:val="en-US" w:eastAsia="en-US" w:bidi="ar-SA"/>
              </w:rPr>
              <w:t xml:space="preserve"> at 728-29 n.2, 521 A.2d at 1216-17 n.2.</w:t>
            </w:r>
          </w:p>
          <w:p>
            <w:pPr>
              <w:spacing w:after="120"/>
              <w:rPr>
                <w:lang w:val="en-US" w:eastAsia="en-US" w:bidi="ar-SA"/>
              </w:rPr>
            </w:pPr>
          </w:p>
        </w:tc>
      </w:tr>
    </w:tbl>
    <w:p>
      <w:pPr>
        <w:spacing w:before="60" w:line="260" w:lineRule="atLeast"/>
        <w:ind w:left="720"/>
        <w:jc w:val="both"/>
        <w:rPr>
          <w:lang w:val="en-US" w:eastAsia="en-US" w:bidi="ar-SA"/>
        </w:rPr>
      </w:pPr>
      <w:r>
        <w:rPr>
          <w:rFonts w:ascii="arial" w:eastAsia="arial" w:hAnsi="arial" w:cs="arial"/>
          <w:color w:val="000000"/>
          <w:sz w:val="20"/>
          <w:lang w:val="en-US" w:eastAsia="en-US" w:bidi="ar-SA"/>
        </w:rPr>
        <w:t>#MICPEL#</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Source:</w:t>
      </w:r>
      <w:r>
        <w:rPr>
          <w:rFonts w:ascii="arial" w:eastAsia="arial" w:hAnsi="arial" w:cs="arial"/>
          <w:color w:val="000000"/>
          <w:sz w:val="20"/>
          <w:lang w:val="en-US" w:eastAsia="en-US" w:bidi="ar-SA"/>
        </w:rPr>
        <w:t> MICPEL</w:t>
      </w:r>
    </w:p>
    <w:p>
      <w:pPr>
        <w:spacing w:before="240" w:line="220" w:lineRule="atLeast"/>
        <w:rPr>
          <w:lang w:val="en-US" w:eastAsia="en-US" w:bidi="ar-SA"/>
        </w:rPr>
      </w:pPr>
      <w:r>
        <w:rPr>
          <w:rFonts w:ascii="arial" w:eastAsia="arial" w:hAnsi="arial" w:cs="arial"/>
          <w:color w:val="000000"/>
          <w:sz w:val="16"/>
          <w:lang w:val="en-US" w:eastAsia="en-US" w:bidi="ar-SA"/>
        </w:rPr>
        <w:t>Maryland Criminal Pattern Jury Instructions</w:t>
      </w:r>
    </w:p>
    <w:p>
      <w:pPr>
        <w:spacing w:line="220" w:lineRule="atLeast"/>
        <w:rPr>
          <w:lang w:val="en-US" w:eastAsia="en-US" w:bidi="ar-SA"/>
        </w:rPr>
      </w:pPr>
      <w:r>
        <w:rPr>
          <w:rFonts w:ascii="arial" w:eastAsia="arial" w:hAnsi="arial" w:cs="arial"/>
          <w:color w:val="000000"/>
          <w:sz w:val="16"/>
          <w:lang w:val="en-US" w:eastAsia="en-US" w:bidi="ar-SA"/>
        </w:rPr>
        <w:t>Copyright 2018 by The Maryland State Bar Association, Inc.</w:t>
      </w:r>
    </w:p>
    <w:p>
      <w:pPr>
        <w:rPr>
          <w:lang w:val="en-US" w:eastAsia="en-US" w:bidi="ar-SA"/>
        </w:rPr>
      </w:pPr>
    </w:p>
    <w:p>
      <w:pPr>
        <w:ind w:left="200"/>
        <w:rPr>
          <w:lang w:val="en-US" w:eastAsia="en-US" w:bidi="ar-SA"/>
        </w:rPr>
      </w:pPr>
      <w:r>
        <w:rPr>
          <w:lang w:val="en-US" w:eastAsia="en-US" w:bidi="ar-SA"/>
        </w:rPr>
        <w:br/>
      </w:r>
      <w:r>
        <w:pict>
          <v:line id="_x0000_s1067" style="position:absolute;z-index:251681792"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97pt;height:15.92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vertAlign w:val="baseline"/>
              </w:rPr>
              <w:t>Copyright © 2018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Michael Fiorenza</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Michael Fiorenza</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Michael Fiorenza</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Michael Fiorenza</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Michael Fiorenza</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Michael Fiorenza</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Michael Fiorenza</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Michael Fiorenza</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Michael Fiorenza</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Michael Fiorenza</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Michael Fiorenza</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Michael Fiorenza</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Michael Fiorenza</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Michael Fiorenza</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Michael Fiorenza</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Michael Fiorenza</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Michael Fiorenza</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Michael Fiorenza</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Michael Fiorenza</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Michael Fiorenza</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Michael Fiorenza</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Michael Fiorenza</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Michael Fiorenza</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Michael Fiorenza</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Michael Fiorenza</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MPJI-Cr 5:00</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MPJI-Cr 5:01</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MPJI-Cr 5:02</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MPJI-Cr 5:02.1</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MPJI-Cr 5:03</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MPJI-Cr 5:04</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MPJI-Cr 5:05</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MPJI-Cr 5:05.1</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MPJI-Cr 5:06</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MPJI-Cr 5:07</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MPJI-Cr 5:08</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MPJI-Cr 5:09</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T0Y-CDN0-01KN-B081-00000-00&amp;idtype=PID&amp;context=1000516" TargetMode="External" /><Relationship Id="rId100" Type="http://schemas.openxmlformats.org/officeDocument/2006/relationships/header" Target="header20.xml" /><Relationship Id="rId101" Type="http://schemas.openxmlformats.org/officeDocument/2006/relationships/footer" Target="footer19.xml" /><Relationship Id="rId102" Type="http://schemas.openxmlformats.org/officeDocument/2006/relationships/footer" Target="footer20.xml" /><Relationship Id="rId103" Type="http://schemas.openxmlformats.org/officeDocument/2006/relationships/header" Target="header21.xml" /><Relationship Id="rId104" Type="http://schemas.openxmlformats.org/officeDocument/2006/relationships/footer" Target="footer21.xml" /><Relationship Id="rId105" Type="http://schemas.openxmlformats.org/officeDocument/2006/relationships/hyperlink" Target="https://advance.lexis.com/api/document?collection=jury-instructions&amp;id=urn:contentItem:5T0Y-CDN0-01KN-B081-00000-00&amp;context=" TargetMode="External" /><Relationship Id="rId106" Type="http://schemas.openxmlformats.org/officeDocument/2006/relationships/hyperlink" Target="https://advance.lexis.com/api/document?collection=cases&amp;id=urn:contentItem:3RX4-B8X0-003G-230C-00000-00&amp;context=" TargetMode="External" /><Relationship Id="rId107" Type="http://schemas.openxmlformats.org/officeDocument/2006/relationships/hyperlink" Target="https://advance.lexis.com/api/document?collection=cases&amp;id=urn:contentItem:4VJ1-36W0-TXFT-C20X-00000-00&amp;context=" TargetMode="External" /><Relationship Id="rId108" Type="http://schemas.openxmlformats.org/officeDocument/2006/relationships/hyperlink" Target="https://advance.lexis.com/api/document?collection=cases&amp;id=urn:contentItem:3RX4-9370-003G-202Y-00000-00&amp;context=" TargetMode="External" /><Relationship Id="rId109" Type="http://schemas.openxmlformats.org/officeDocument/2006/relationships/hyperlink" Target="https://advance.lexis.com/api/document?collection=cases&amp;id=urn:contentItem:3S65-KHP0-003B-R40S-00000-00&amp;context=" TargetMode="External" /><Relationship Id="rId11" Type="http://schemas.openxmlformats.org/officeDocument/2006/relationships/hyperlink" Target="https://advance.lexis.com/api/document?id=urn:contentItem:5T0Y-CDN0-01KN-B082-00000-00&amp;idtype=PID&amp;context=1000516" TargetMode="External" /><Relationship Id="rId110" Type="http://schemas.openxmlformats.org/officeDocument/2006/relationships/hyperlink" Target="https://advance.lexis.com/api/document?collection=cases&amp;id=urn:contentItem:3S4X-CP50-003B-72WH-00000-00&amp;context=" TargetMode="External" /><Relationship Id="rId111" Type="http://schemas.openxmlformats.org/officeDocument/2006/relationships/hyperlink" Target="https://advance.lexis.com/api/document?collection=cases&amp;id=urn:contentItem:3RX4-CNW0-003G-2187-00000-00&amp;context=" TargetMode="External" /><Relationship Id="rId112" Type="http://schemas.openxmlformats.org/officeDocument/2006/relationships/hyperlink" Target="https://advance.lexis.com/api/document?collection=cases&amp;id=urn:contentItem:3S12-35D0-003D-Y4NG-00000-00&amp;context=" TargetMode="External" /><Relationship Id="rId113" Type="http://schemas.openxmlformats.org/officeDocument/2006/relationships/hyperlink" Target="https://advance.lexis.com/api/document?collection=cases&amp;id=urn:contentItem:3RX4-79B0-003G-20FM-00000-00&amp;context=" TargetMode="External" /><Relationship Id="rId114" Type="http://schemas.openxmlformats.org/officeDocument/2006/relationships/hyperlink" Target="https://advance.lexis.com/api/document?collection=cases&amp;id=urn:contentItem:3S4W-YX50-003B-03BH-00000-00&amp;context=" TargetMode="External" /><Relationship Id="rId115" Type="http://schemas.openxmlformats.org/officeDocument/2006/relationships/hyperlink" Target="https://advance.lexis.com/api/document?collection=cases&amp;id=urn:contentItem:3S4X-J3D0-003B-S0BD-00000-00&amp;context=" TargetMode="External" /><Relationship Id="rId116" Type="http://schemas.openxmlformats.org/officeDocument/2006/relationships/hyperlink" Target="https://advance.lexis.com/api/document?collection=cases&amp;id=urn:contentItem:3RX4-9T30-003G-21SK-00000-00&amp;context=" TargetMode="External" /><Relationship Id="rId117" Type="http://schemas.openxmlformats.org/officeDocument/2006/relationships/hyperlink" Target="https://advance.lexis.com/api/document?collection=cases&amp;id=urn:contentItem:3RX4-C230-003G-24VB-00000-00&amp;context=" TargetMode="External" /><Relationship Id="rId118" Type="http://schemas.openxmlformats.org/officeDocument/2006/relationships/hyperlink" Target="https://advance.lexis.com/api/document?collection=cases&amp;id=urn:contentItem:3S4X-GG90-008H-V3P3-00000-00&amp;context=" TargetMode="External" /><Relationship Id="rId119" Type="http://schemas.openxmlformats.org/officeDocument/2006/relationships/hyperlink" Target="https://advance.lexis.com/api/document?collection=cases&amp;id=urn:contentItem:3RX4-9XC0-003G-2229-00000-00&amp;context=" TargetMode="External" /><Relationship Id="rId12" Type="http://schemas.openxmlformats.org/officeDocument/2006/relationships/hyperlink" Target="https://advance.lexis.com/api/document?id=urn:contentItem:5T0Y-CDN0-01KN-B083-00000-00&amp;idtype=PID&amp;context=1000516" TargetMode="External" /><Relationship Id="rId120" Type="http://schemas.openxmlformats.org/officeDocument/2006/relationships/header" Target="header22.xml" /><Relationship Id="rId121" Type="http://schemas.openxmlformats.org/officeDocument/2006/relationships/header" Target="header23.xml" /><Relationship Id="rId122" Type="http://schemas.openxmlformats.org/officeDocument/2006/relationships/footer" Target="footer22.xml" /><Relationship Id="rId123" Type="http://schemas.openxmlformats.org/officeDocument/2006/relationships/footer" Target="footer23.xml" /><Relationship Id="rId124" Type="http://schemas.openxmlformats.org/officeDocument/2006/relationships/header" Target="header24.xml" /><Relationship Id="rId125" Type="http://schemas.openxmlformats.org/officeDocument/2006/relationships/footer" Target="footer24.xml" /><Relationship Id="rId126" Type="http://schemas.openxmlformats.org/officeDocument/2006/relationships/hyperlink" Target="https://advance.lexis.com/api/document?collection=jury-instructions&amp;id=urn:contentItem:5T0Y-CDN0-01KN-B082-00000-00&amp;context=" TargetMode="External" /><Relationship Id="rId127" Type="http://schemas.openxmlformats.org/officeDocument/2006/relationships/hyperlink" Target="https://advance.lexis.com/api/document?collection=cases&amp;id=urn:contentItem:3RX4-B5C0-003G-22NV-00000-00&amp;context=" TargetMode="External" /><Relationship Id="rId128" Type="http://schemas.openxmlformats.org/officeDocument/2006/relationships/hyperlink" Target="https://advance.lexis.com/api/document?collection=cases&amp;id=urn:contentItem:3RX4-4WW0-003G-24BT-00000-00&amp;context=" TargetMode="External" /><Relationship Id="rId129" Type="http://schemas.openxmlformats.org/officeDocument/2006/relationships/hyperlink" Target="https://advance.lexis.com/api/document?collection=cases&amp;id=urn:contentItem:3RX4-4F10-003G-23DV-00000-00&amp;context=" TargetMode="External" /><Relationship Id="rId13" Type="http://schemas.openxmlformats.org/officeDocument/2006/relationships/hyperlink" Target="https://advance.lexis.com/api/document?id=urn:contentItem:5T0Y-CDN0-01KN-B084-00000-00&amp;idtype=PID&amp;context=1000516" TargetMode="External" /><Relationship Id="rId130" Type="http://schemas.openxmlformats.org/officeDocument/2006/relationships/hyperlink" Target="https://advance.lexis.com/api/document?collection=cases&amp;id=urn:contentItem:3RX4-4TV0-003G-246J-00000-00&amp;context=" TargetMode="External" /><Relationship Id="rId131" Type="http://schemas.openxmlformats.org/officeDocument/2006/relationships/hyperlink" Target="https://advance.lexis.com/api/document?collection=cases&amp;id=urn:contentItem:3RX4-4M20-003G-23TG-00000-00&amp;context=" TargetMode="External" /><Relationship Id="rId132" Type="http://schemas.openxmlformats.org/officeDocument/2006/relationships/hyperlink" Target="https://advance.lexis.com/api/document?collection=cases&amp;id=urn:contentItem:4K47-JSH0-0039-43PW-00000-00&amp;context=" TargetMode="External" /><Relationship Id="rId133" Type="http://schemas.openxmlformats.org/officeDocument/2006/relationships/hyperlink" Target="https://advance.lexis.com/api/document?collection=cases&amp;id=urn:contentItem:3RX4-3V40-003G-224J-00000-00&amp;context=" TargetMode="External" /><Relationship Id="rId134" Type="http://schemas.openxmlformats.org/officeDocument/2006/relationships/hyperlink" Target="https://advance.lexis.com/api/document?collection=cases&amp;id=urn:contentItem:3RX4-3WG0-003G-2273-00000-00&amp;context=" TargetMode="External" /><Relationship Id="rId135" Type="http://schemas.openxmlformats.org/officeDocument/2006/relationships/hyperlink" Target="https://advance.lexis.com/api/document?collection=cases&amp;id=urn:contentItem:4TFF-FK10-TX4N-G124-00000-00&amp;context=" TargetMode="External" /><Relationship Id="rId136" Type="http://schemas.openxmlformats.org/officeDocument/2006/relationships/hyperlink" Target="https://advance.lexis.com/api/document?collection=cases&amp;id=urn:contentItem:3RX4-3GD0-003G-21DV-00000-00&amp;context=" TargetMode="External" /><Relationship Id="rId137" Type="http://schemas.openxmlformats.org/officeDocument/2006/relationships/hyperlink" Target="https://advance.lexis.com/api/document?collection=cases&amp;id=urn:contentItem:3RX4-CR30-003G-21D8-00000-00&amp;context=" TargetMode="External" /><Relationship Id="rId138" Type="http://schemas.openxmlformats.org/officeDocument/2006/relationships/hyperlink" Target="https://advance.lexis.com/api/document?collection=cases&amp;id=urn:contentItem:3RX4-3S20-003G-220K-00000-00&amp;context=" TargetMode="External" /><Relationship Id="rId139" Type="http://schemas.openxmlformats.org/officeDocument/2006/relationships/hyperlink" Target="https://advance.lexis.com/api/document?collection=cases&amp;id=urn:contentItem:3RX4-3HR0-003G-21HR-00000-00&amp;context=" TargetMode="External" /><Relationship Id="rId14" Type="http://schemas.openxmlformats.org/officeDocument/2006/relationships/hyperlink" Target="https://advance.lexis.com/api/document?id=urn:contentItem:5T0Y-CDN0-01KN-B085-00000-00&amp;idtype=PID&amp;context=1000516" TargetMode="External" /><Relationship Id="rId140" Type="http://schemas.openxmlformats.org/officeDocument/2006/relationships/hyperlink" Target="https://advance.lexis.com/api/document?collection=cases&amp;id=urn:contentItem:3RX4-31T0-003G-20HK-00000-00&amp;context=" TargetMode="External" /><Relationship Id="rId141" Type="http://schemas.openxmlformats.org/officeDocument/2006/relationships/hyperlink" Target="https://advance.lexis.com/api/document?collection=cases&amp;id=urn:contentItem:3RX4-9HJ0-003G-2149-00000-00&amp;context=" TargetMode="External" /><Relationship Id="rId142" Type="http://schemas.openxmlformats.org/officeDocument/2006/relationships/hyperlink" Target="https://advance.lexis.com/api/document?collection=cases&amp;id=urn:contentItem:3RX4-C050-003G-24NV-00000-00&amp;context=" TargetMode="External" /><Relationship Id="rId143" Type="http://schemas.openxmlformats.org/officeDocument/2006/relationships/hyperlink" Target="https://advance.lexis.com/api/document?collection=cases&amp;id=urn:contentItem:3RX4-B9M0-003G-2329-00000-00&amp;context=" TargetMode="External" /><Relationship Id="rId144" Type="http://schemas.openxmlformats.org/officeDocument/2006/relationships/hyperlink" Target="https://advance.lexis.com/api/document?collection=cases&amp;id=urn:contentItem:3RX4-CNT0-003G-217Y-00000-00&amp;context=" TargetMode="External" /><Relationship Id="rId145" Type="http://schemas.openxmlformats.org/officeDocument/2006/relationships/hyperlink" Target="https://advance.lexis.com/api/document?collection=analytical-materials&amp;id=urn:contentItem:3S3V-2JV0-00CW-G14J-00000-00&amp;context=" TargetMode="External" /><Relationship Id="rId146" Type="http://schemas.openxmlformats.org/officeDocument/2006/relationships/hyperlink" Target="https://advance.lexis.com/api/document?collection=cases&amp;id=urn:contentItem:3RX4-3MX0-003G-21S9-00000-00&amp;context=" TargetMode="External" /><Relationship Id="rId147" Type="http://schemas.openxmlformats.org/officeDocument/2006/relationships/hyperlink" Target="https://advance.lexis.com/api/document?collection=cases&amp;id=urn:contentItem:3RX4-3R00-003G-21XC-00000-00&amp;context=" TargetMode="External" /><Relationship Id="rId148" Type="http://schemas.openxmlformats.org/officeDocument/2006/relationships/hyperlink" Target="https://advance.lexis.com/api/document?collection=cases&amp;id=urn:contentItem:3S4W-TY70-003B-0362-00000-00&amp;context=" TargetMode="External" /><Relationship Id="rId149" Type="http://schemas.openxmlformats.org/officeDocument/2006/relationships/hyperlink" Target="https://advance.lexis.com/api/document?collection=cases&amp;id=urn:contentItem:3RX4-9CJ0-003G-20SC-00000-00&amp;context=" TargetMode="External" /><Relationship Id="rId15" Type="http://schemas.openxmlformats.org/officeDocument/2006/relationships/hyperlink" Target="https://advance.lexis.com/api/document?id=urn:contentItem:5T0Y-CDN0-01KN-B086-00000-00&amp;idtype=PID&amp;context=1000516" TargetMode="External" /><Relationship Id="rId150" Type="http://schemas.openxmlformats.org/officeDocument/2006/relationships/header" Target="header25.xml" /><Relationship Id="rId151" Type="http://schemas.openxmlformats.org/officeDocument/2006/relationships/header" Target="header26.xml" /><Relationship Id="rId152" Type="http://schemas.openxmlformats.org/officeDocument/2006/relationships/footer" Target="footer25.xml" /><Relationship Id="rId153" Type="http://schemas.openxmlformats.org/officeDocument/2006/relationships/footer" Target="footer26.xml" /><Relationship Id="rId154" Type="http://schemas.openxmlformats.org/officeDocument/2006/relationships/header" Target="header27.xml" /><Relationship Id="rId155" Type="http://schemas.openxmlformats.org/officeDocument/2006/relationships/footer" Target="footer27.xml" /><Relationship Id="rId156" Type="http://schemas.openxmlformats.org/officeDocument/2006/relationships/hyperlink" Target="https://advance.lexis.com/api/document?collection=jury-instructions&amp;id=urn:contentItem:5T0Y-CDN0-01KN-B083-00000-00&amp;context=" TargetMode="External" /><Relationship Id="rId157" Type="http://schemas.openxmlformats.org/officeDocument/2006/relationships/hyperlink" Target="https://advance.lexis.com/api/document?collection=cases&amp;id=urn:contentItem:3RX4-3TF0-003G-2237-00000-00&amp;context=" TargetMode="External" /><Relationship Id="rId158" Type="http://schemas.openxmlformats.org/officeDocument/2006/relationships/hyperlink" Target="https://advance.lexis.com/api/document?collection=cases&amp;id=urn:contentItem:3RX4-95W0-003G-2095-00000-00&amp;context=" TargetMode="External" /><Relationship Id="rId159" Type="http://schemas.openxmlformats.org/officeDocument/2006/relationships/header" Target="header28.xml" /><Relationship Id="rId16" Type="http://schemas.openxmlformats.org/officeDocument/2006/relationships/hyperlink" Target="https://advance.lexis.com/api/document?id=urn:contentItem:5T0Y-CDN0-01KN-B087-00000-00&amp;idtype=PID&amp;context=1000516" TargetMode="External" /><Relationship Id="rId160" Type="http://schemas.openxmlformats.org/officeDocument/2006/relationships/header" Target="header29.xml" /><Relationship Id="rId161" Type="http://schemas.openxmlformats.org/officeDocument/2006/relationships/footer" Target="footer28.xml" /><Relationship Id="rId162" Type="http://schemas.openxmlformats.org/officeDocument/2006/relationships/footer" Target="footer29.xml" /><Relationship Id="rId163" Type="http://schemas.openxmlformats.org/officeDocument/2006/relationships/header" Target="header30.xml" /><Relationship Id="rId164" Type="http://schemas.openxmlformats.org/officeDocument/2006/relationships/footer" Target="footer30.xml" /><Relationship Id="rId165" Type="http://schemas.openxmlformats.org/officeDocument/2006/relationships/hyperlink" Target="https://advance.lexis.com/api/document?collection=jury-instructions&amp;id=urn:contentItem:5T0Y-CDN0-01KN-B084-00000-00&amp;context=" TargetMode="External" /><Relationship Id="rId166" Type="http://schemas.openxmlformats.org/officeDocument/2006/relationships/hyperlink" Target="https://advance.lexis.com/api/document?collection=cases&amp;id=urn:contentItem:44XD-9VW0-0039-4407-00000-00&amp;context=" TargetMode="External" /><Relationship Id="rId167" Type="http://schemas.openxmlformats.org/officeDocument/2006/relationships/hyperlink" Target="https://advance.lexis.com/api/document?collection=cases&amp;id=urn:contentItem:3S12-2BD0-003D-Y141-00000-00&amp;context=" TargetMode="External" /><Relationship Id="rId168" Type="http://schemas.openxmlformats.org/officeDocument/2006/relationships/hyperlink" Target="https://advance.lexis.com/api/document?collection=cases&amp;id=urn:contentItem:3RX4-CMR0-003G-2147-00000-00&amp;context=" TargetMode="External" /><Relationship Id="rId169" Type="http://schemas.openxmlformats.org/officeDocument/2006/relationships/hyperlink" Target="https://advance.lexis.com/api/document?collection=cases&amp;id=urn:contentItem:42HR-74C0-0039-40HD-00000-00&amp;context=" TargetMode="External" /><Relationship Id="rId17" Type="http://schemas.openxmlformats.org/officeDocument/2006/relationships/header" Target="header1.xml" /><Relationship Id="rId170" Type="http://schemas.openxmlformats.org/officeDocument/2006/relationships/hyperlink" Target="https://advance.lexis.com/api/document?collection=cases&amp;id=urn:contentItem:3RX4-35J0-003G-20T3-00000-00&amp;context=" TargetMode="External" /><Relationship Id="rId171" Type="http://schemas.openxmlformats.org/officeDocument/2006/relationships/hyperlink" Target="https://advance.lexis.com/api/document?collection=analytical-materials&amp;id=urn:contentItem:5T9P-80F0-00CR-64N8-00000-00&amp;context=" TargetMode="External" /><Relationship Id="rId172" Type="http://schemas.openxmlformats.org/officeDocument/2006/relationships/hyperlink" Target="https://advance.lexis.com/api/document?collection=cases&amp;id=urn:contentItem:3RX4-33V0-003G-20NV-00000-00&amp;context=" TargetMode="External" /><Relationship Id="rId173" Type="http://schemas.openxmlformats.org/officeDocument/2006/relationships/hyperlink" Target="https://advance.lexis.com/api/document?collection=cases&amp;id=urn:contentItem:3S12-2VY0-003D-Y3D0-00000-00&amp;context=" TargetMode="External" /><Relationship Id="rId174" Type="http://schemas.openxmlformats.org/officeDocument/2006/relationships/hyperlink" Target="https://advance.lexis.com/api/document?collection=cases&amp;id=urn:contentItem:3RRS-C050-003C-F3F3-00000-00&amp;context=" TargetMode="External" /><Relationship Id="rId175" Type="http://schemas.openxmlformats.org/officeDocument/2006/relationships/hyperlink" Target="https://advance.lexis.com/api/document?collection=cases&amp;id=urn:contentItem:3RRK-P4G0-003C-H3NM-00000-00&amp;context=" TargetMode="External" /><Relationship Id="rId176" Type="http://schemas.openxmlformats.org/officeDocument/2006/relationships/hyperlink" Target="https://advance.lexis.com/api/document?collection=cases&amp;id=urn:contentItem:3RX4-49D0-003G-2353-00000-00&amp;context=" TargetMode="External" /><Relationship Id="rId177" Type="http://schemas.openxmlformats.org/officeDocument/2006/relationships/hyperlink" Target="https://advance.lexis.com/api/document?collection=cases&amp;id=urn:contentItem:3RX4-C880-003G-203T-00000-00&amp;context=" TargetMode="External" /><Relationship Id="rId178" Type="http://schemas.openxmlformats.org/officeDocument/2006/relationships/hyperlink" Target="https://advance.lexis.com/api/document?collection=cases&amp;id=urn:contentItem:3S12-3BP0-003D-Y06H-00000-00&amp;context=" TargetMode="External" /><Relationship Id="rId179" Type="http://schemas.openxmlformats.org/officeDocument/2006/relationships/hyperlink" Target="https://advance.lexis.com/api/document?collection=cases&amp;id=urn:contentItem:4H2N-DW30-0039-419Y-00000-00&amp;context=" TargetMode="External" /><Relationship Id="rId18" Type="http://schemas.openxmlformats.org/officeDocument/2006/relationships/header" Target="header2.xml" /><Relationship Id="rId180" Type="http://schemas.openxmlformats.org/officeDocument/2006/relationships/header" Target="header31.xml" /><Relationship Id="rId181" Type="http://schemas.openxmlformats.org/officeDocument/2006/relationships/header" Target="header32.xml" /><Relationship Id="rId182" Type="http://schemas.openxmlformats.org/officeDocument/2006/relationships/footer" Target="footer31.xml" /><Relationship Id="rId183" Type="http://schemas.openxmlformats.org/officeDocument/2006/relationships/footer" Target="footer32.xml" /><Relationship Id="rId184" Type="http://schemas.openxmlformats.org/officeDocument/2006/relationships/header" Target="header33.xml" /><Relationship Id="rId185" Type="http://schemas.openxmlformats.org/officeDocument/2006/relationships/footer" Target="footer33.xml" /><Relationship Id="rId186" Type="http://schemas.openxmlformats.org/officeDocument/2006/relationships/hyperlink" Target="https://advance.lexis.com/api/document?collection=jury-instructions&amp;id=urn:contentItem:5T0Y-CDN0-01KN-B085-00000-00&amp;context=" TargetMode="External" /><Relationship Id="rId187" Type="http://schemas.openxmlformats.org/officeDocument/2006/relationships/hyperlink" Target="https://advance.lexis.com/api/document?collection=cases&amp;id=urn:contentItem:83GS-0SY1-652M-603C-00000-00&amp;context=" TargetMode="External" /><Relationship Id="rId188" Type="http://schemas.openxmlformats.org/officeDocument/2006/relationships/hyperlink" Target="https://advance.lexis.com/api/document?collection=cases&amp;id=urn:contentItem:3YHG-RNH0-0039-40K7-00000-00&amp;context=" TargetMode="External" /><Relationship Id="rId189" Type="http://schemas.openxmlformats.org/officeDocument/2006/relationships/hyperlink" Target="https://advance.lexis.com/api/document?collection=cases&amp;id=urn:contentItem:3RX4-99B0-003G-20K3-00000-00&amp;context=" TargetMode="External" /><Relationship Id="rId19" Type="http://schemas.openxmlformats.org/officeDocument/2006/relationships/footer" Target="footer1.xml" /><Relationship Id="rId190" Type="http://schemas.openxmlformats.org/officeDocument/2006/relationships/hyperlink" Target="https://advance.lexis.com/api/document?collection=cases&amp;id=urn:contentItem:3RX4-B1V0-003G-22C0-00000-00&amp;context=" TargetMode="External" /><Relationship Id="rId191" Type="http://schemas.openxmlformats.org/officeDocument/2006/relationships/hyperlink" Target="https://advance.lexis.com/api/document?collection=cases&amp;id=urn:contentItem:3S12-29R0-003D-Y111-00000-00&amp;context=" TargetMode="External" /><Relationship Id="rId192" Type="http://schemas.openxmlformats.org/officeDocument/2006/relationships/hyperlink" Target="https://advance.lexis.com/api/document?collection=cases&amp;id=urn:contentItem:3S12-2600-003D-Y0G0-00000-00&amp;context=" TargetMode="External" /><Relationship Id="rId193" Type="http://schemas.openxmlformats.org/officeDocument/2006/relationships/hyperlink" Target="https://advance.lexis.com/api/document?collection=cases&amp;id=urn:contentItem:3RX4-B760-003G-22V2-00000-00&amp;context=" TargetMode="External" /><Relationship Id="rId194" Type="http://schemas.openxmlformats.org/officeDocument/2006/relationships/hyperlink" Target="https://advance.lexis.com/api/document?collection=cases&amp;id=urn:contentItem:57WW-1XX1-F04G-S05B-00000-00&amp;context=" TargetMode="External" /><Relationship Id="rId195" Type="http://schemas.openxmlformats.org/officeDocument/2006/relationships/hyperlink" Target="https://advance.lexis.com/api/document?collection=cases&amp;id=urn:contentItem:3RX4-8PV0-003G-24G1-00000-00&amp;context=" TargetMode="External" /><Relationship Id="rId196" Type="http://schemas.openxmlformats.org/officeDocument/2006/relationships/hyperlink" Target="https://advance.lexis.com/api/document?collection=cases&amp;id=urn:contentItem:3RX4-CNC0-003G-216H-00000-00&amp;context=" TargetMode="External" /><Relationship Id="rId197" Type="http://schemas.openxmlformats.org/officeDocument/2006/relationships/hyperlink" Target="https://advance.lexis.com/api/document?collection=cases&amp;id=urn:contentItem:3RX4-9P40-003G-21HD-00000-00&amp;context=" TargetMode="External" /><Relationship Id="rId198" Type="http://schemas.openxmlformats.org/officeDocument/2006/relationships/hyperlink" Target="https://advance.lexis.com/api/document?collection=cases&amp;id=urn:contentItem:3RX4-3WX0-003G-227Y-00000-00&amp;context=" TargetMode="External" /><Relationship Id="rId199" Type="http://schemas.openxmlformats.org/officeDocument/2006/relationships/hyperlink" Target="https://advance.lexis.com/api/document?collection=cases&amp;id=urn:contentItem:3RX6-DYT0-003G-2251-00000-00&amp;context=" TargetMode="External" /><Relationship Id="rId2" Type="http://schemas.openxmlformats.org/officeDocument/2006/relationships/webSettings" Target="webSettings.xml" /><Relationship Id="rId20" Type="http://schemas.openxmlformats.org/officeDocument/2006/relationships/footer" Target="footer2.xml" /><Relationship Id="rId200" Type="http://schemas.openxmlformats.org/officeDocument/2006/relationships/hyperlink" Target="https://advance.lexis.com/api/document?collection=cases&amp;id=urn:contentItem:3RX4-9DM0-003G-20W9-00000-00&amp;context=" TargetMode="External" /><Relationship Id="rId201" Type="http://schemas.openxmlformats.org/officeDocument/2006/relationships/hyperlink" Target="https://advance.lexis.com/api/document?collection=analytical-materials&amp;id=urn:contentItem:5TBY-7NY0-00CM-M39H-00000-00&amp;context=" TargetMode="External" /><Relationship Id="rId202" Type="http://schemas.openxmlformats.org/officeDocument/2006/relationships/hyperlink" Target="https://advance.lexis.com/api/document?collection=cases&amp;id=urn:contentItem:3RX4-B8P0-003G-22YT-00000-00&amp;context=" TargetMode="External" /><Relationship Id="rId203" Type="http://schemas.openxmlformats.org/officeDocument/2006/relationships/hyperlink" Target="https://advance.lexis.com/api/document?collection=cases&amp;id=urn:contentItem:3RX4-C1H0-003G-24T0-00000-00&amp;context=" TargetMode="External" /><Relationship Id="rId204" Type="http://schemas.openxmlformats.org/officeDocument/2006/relationships/hyperlink" Target="https://advance.lexis.com/api/document?collection=cases&amp;id=urn:contentItem:3RX4-CN70-003G-2161-00000-00&amp;context=" TargetMode="External" /><Relationship Id="rId205" Type="http://schemas.openxmlformats.org/officeDocument/2006/relationships/hyperlink" Target="https://advance.lexis.com/api/document?collection=cases&amp;id=urn:contentItem:4BX9-5760-0039-455H-00000-00&amp;context=" TargetMode="External" /><Relationship Id="rId206" Type="http://schemas.openxmlformats.org/officeDocument/2006/relationships/hyperlink" Target="https://advance.lexis.com/api/document?collection=cases&amp;id=urn:contentItem:3RX4-B320-003G-22G0-00000-00&amp;context=" TargetMode="External" /><Relationship Id="rId207" Type="http://schemas.openxmlformats.org/officeDocument/2006/relationships/hyperlink" Target="https://advance.lexis.com/api/document?collection=cases&amp;id=urn:contentItem:3RX4-BX30-003G-24GT-00000-00&amp;context=" TargetMode="External" /><Relationship Id="rId208" Type="http://schemas.openxmlformats.org/officeDocument/2006/relationships/hyperlink" Target="https://advance.lexis.com/api/document?collection=cases&amp;id=urn:contentItem:3RX4-3K70-003G-21MV-00000-00&amp;context=" TargetMode="External" /><Relationship Id="rId209" Type="http://schemas.openxmlformats.org/officeDocument/2006/relationships/hyperlink" Target="https://advance.lexis.com/api/document?collection=cases&amp;id=urn:contentItem:3SN3-KCM0-0039-4399-00000-00&amp;context=" TargetMode="External" /><Relationship Id="rId21" Type="http://schemas.openxmlformats.org/officeDocument/2006/relationships/header" Target="header3.xml" /><Relationship Id="rId210" Type="http://schemas.openxmlformats.org/officeDocument/2006/relationships/hyperlink" Target="https://advance.lexis.com/api/document?collection=cases&amp;id=urn:contentItem:3RX4-BWJ0-003G-24FH-00000-00&amp;context=" TargetMode="External" /><Relationship Id="rId211" Type="http://schemas.openxmlformats.org/officeDocument/2006/relationships/hyperlink" Target="https://advance.lexis.com/api/document?collection=cases&amp;id=urn:contentItem:40MV-FSY0-0039-42DT-00000-00&amp;context=" TargetMode="External" /><Relationship Id="rId212" Type="http://schemas.openxmlformats.org/officeDocument/2006/relationships/hyperlink" Target="https://advance.lexis.com/api/document?collection=cases&amp;id=urn:contentItem:3RX4-BMH0-003G-23V5-00000-00&amp;context=" TargetMode="External" /><Relationship Id="rId213" Type="http://schemas.openxmlformats.org/officeDocument/2006/relationships/hyperlink" Target="https://advance.lexis.com/api/document?collection=cases&amp;id=urn:contentItem:3RX4-BM30-003G-23T4-00000-00&amp;context=" TargetMode="External" /><Relationship Id="rId214" Type="http://schemas.openxmlformats.org/officeDocument/2006/relationships/hyperlink" Target="https://advance.lexis.com/api/document?collection=analytical-materials&amp;id=urn:contentItem:5RXF-GH40-00CR-6386-00000-00&amp;context=" TargetMode="External" /><Relationship Id="rId215" Type="http://schemas.openxmlformats.org/officeDocument/2006/relationships/header" Target="header34.xml" /><Relationship Id="rId216" Type="http://schemas.openxmlformats.org/officeDocument/2006/relationships/header" Target="header35.xml" /><Relationship Id="rId217" Type="http://schemas.openxmlformats.org/officeDocument/2006/relationships/footer" Target="footer34.xml" /><Relationship Id="rId218" Type="http://schemas.openxmlformats.org/officeDocument/2006/relationships/footer" Target="footer35.xml" /><Relationship Id="rId219" Type="http://schemas.openxmlformats.org/officeDocument/2006/relationships/header" Target="header36.xml" /><Relationship Id="rId22" Type="http://schemas.openxmlformats.org/officeDocument/2006/relationships/footer" Target="footer3.xml" /><Relationship Id="rId220" Type="http://schemas.openxmlformats.org/officeDocument/2006/relationships/footer" Target="footer36.xml" /><Relationship Id="rId221" Type="http://schemas.openxmlformats.org/officeDocument/2006/relationships/hyperlink" Target="https://advance.lexis.com/api/document?collection=jury-instructions&amp;id=urn:contentItem:5T0Y-CDN0-01KN-B086-00000-00&amp;context=" TargetMode="External" /><Relationship Id="rId222" Type="http://schemas.openxmlformats.org/officeDocument/2006/relationships/hyperlink" Target="https://advance.lexis.com/api/document?collection=cases&amp;id=urn:contentItem:3RX4-40R0-003G-22FR-00000-00&amp;context=" TargetMode="External" /><Relationship Id="rId223" Type="http://schemas.openxmlformats.org/officeDocument/2006/relationships/hyperlink" Target="https://advance.lexis.com/api/document?collection=cases&amp;id=urn:contentItem:3RX4-6KS0-003G-23MF-00000-00&amp;context=" TargetMode="External" /><Relationship Id="rId224" Type="http://schemas.openxmlformats.org/officeDocument/2006/relationships/hyperlink" Target="https://advance.lexis.com/api/document?collection=cases&amp;id=urn:contentItem:3RX4-7TY0-003G-226K-00000-00&amp;context=" TargetMode="External" /><Relationship Id="rId225" Type="http://schemas.openxmlformats.org/officeDocument/2006/relationships/hyperlink" Target="https://advance.lexis.com/api/document?collection=cases&amp;id=urn:contentItem:442T-CK80-0039-42WX-00000-00&amp;context=" TargetMode="External" /><Relationship Id="rId226" Type="http://schemas.openxmlformats.org/officeDocument/2006/relationships/hyperlink" Target="https://advance.lexis.com/api/document?collection=cases&amp;id=urn:contentItem:3RX4-9DR0-003G-20WM-00000-00&amp;context=" TargetMode="External" /><Relationship Id="rId227" Type="http://schemas.openxmlformats.org/officeDocument/2006/relationships/hyperlink" Target="https://advance.lexis.com/api/document?collection=cases&amp;id=urn:contentItem:3RX4-9HV0-003G-2150-00000-00&amp;context=" TargetMode="External" /><Relationship Id="rId228" Type="http://schemas.openxmlformats.org/officeDocument/2006/relationships/hyperlink" Target="https://advance.lexis.com/api/document?collection=cases&amp;id=urn:contentItem:3RX4-3S40-003G-220R-00000-00&amp;context=" TargetMode="External" /><Relationship Id="rId229" Type="http://schemas.openxmlformats.org/officeDocument/2006/relationships/hyperlink" Target="https://advance.lexis.com/api/document?collection=cases&amp;id=urn:contentItem:3RX4-CWD0-003G-21W1-00000-00&amp;context=" TargetMode="External" /><Relationship Id="rId23" Type="http://schemas.openxmlformats.org/officeDocument/2006/relationships/header" Target="header4.xml" /><Relationship Id="rId230" Type="http://schemas.openxmlformats.org/officeDocument/2006/relationships/hyperlink" Target="https://advance.lexis.com/api/document?collection=cases&amp;id=urn:contentItem:3W9C-DSR0-0039-42MX-00000-00&amp;context=" TargetMode="External" /><Relationship Id="rId231" Type="http://schemas.openxmlformats.org/officeDocument/2006/relationships/hyperlink" Target="https://advance.lexis.com/api/document?collection=cases&amp;id=urn:contentItem:3RX4-B330-003G-22G3-00000-00&amp;context=" TargetMode="External" /><Relationship Id="rId232" Type="http://schemas.openxmlformats.org/officeDocument/2006/relationships/hyperlink" Target="https://advance.lexis.com/api/document?collection=cases&amp;id=urn:contentItem:3RX4-CRV0-003G-21GR-00000-00&amp;context=" TargetMode="External" /><Relationship Id="rId233" Type="http://schemas.openxmlformats.org/officeDocument/2006/relationships/hyperlink" Target="https://advance.lexis.com/api/document?collection=cases&amp;id=urn:contentItem:3RX4-BKP0-003G-23S3-00000-00&amp;context=" TargetMode="External" /><Relationship Id="rId234" Type="http://schemas.openxmlformats.org/officeDocument/2006/relationships/hyperlink" Target="https://advance.lexis.com/api/document?collection=cases&amp;id=urn:contentItem:3RX4-9PX0-003G-21KB-00000-00&amp;context=" TargetMode="External" /><Relationship Id="rId235" Type="http://schemas.openxmlformats.org/officeDocument/2006/relationships/hyperlink" Target="https://advance.lexis.com/api/document?collection=cases&amp;id=urn:contentItem:3RX4-B1W0-003G-22C4-00000-00&amp;context=" TargetMode="External" /><Relationship Id="rId236" Type="http://schemas.openxmlformats.org/officeDocument/2006/relationships/hyperlink" Target="https://advance.lexis.com/api/document?collection=cases&amp;id=urn:contentItem:3RX4-3R20-003G-21XG-00000-00&amp;context=" TargetMode="External" /><Relationship Id="rId237" Type="http://schemas.openxmlformats.org/officeDocument/2006/relationships/hyperlink" Target="https://advance.lexis.com/api/document?collection=cases&amp;id=urn:contentItem:3S12-34D0-003D-Y4GF-00000-00&amp;context=" TargetMode="External" /><Relationship Id="rId238" Type="http://schemas.openxmlformats.org/officeDocument/2006/relationships/hyperlink" Target="https://advance.lexis.com/api/document?collection=cases&amp;id=urn:contentItem:3RX4-93V0-003G-204B-00000-00&amp;context=" TargetMode="External" /><Relationship Id="rId239" Type="http://schemas.openxmlformats.org/officeDocument/2006/relationships/hyperlink" Target="https://advance.lexis.com/api/document?collection=cases&amp;id=urn:contentItem:3RX4-3B70-003G-2147-00000-00&amp;context=" TargetMode="External" /><Relationship Id="rId24" Type="http://schemas.openxmlformats.org/officeDocument/2006/relationships/header" Target="header5.xml" /><Relationship Id="rId240" Type="http://schemas.openxmlformats.org/officeDocument/2006/relationships/hyperlink" Target="https://advance.lexis.com/api/document?collection=cases&amp;id=urn:contentItem:3RX4-BR80-003G-242X-00000-00&amp;context=" TargetMode="External" /><Relationship Id="rId241" Type="http://schemas.openxmlformats.org/officeDocument/2006/relationships/hyperlink" Target="https://advance.lexis.com/api/document?collection=cases&amp;id=urn:contentItem:3RX4-CKP0-003G-210T-00000-00&amp;context=" TargetMode="External" /><Relationship Id="rId242" Type="http://schemas.openxmlformats.org/officeDocument/2006/relationships/hyperlink" Target="https://advance.lexis.com/api/document?collection=cases&amp;id=urn:contentItem:3RX4-8V60-003G-24RR-00000-00&amp;context=" TargetMode="External" /><Relationship Id="rId243" Type="http://schemas.openxmlformats.org/officeDocument/2006/relationships/hyperlink" Target="https://advance.lexis.com/api/document?collection=cases&amp;id=urn:contentItem:3RX4-91B0-003G-255J-00000-00&amp;context=" TargetMode="External" /><Relationship Id="rId244" Type="http://schemas.openxmlformats.org/officeDocument/2006/relationships/hyperlink" Target="https://advance.lexis.com/api/document?collection=cases&amp;id=urn:contentItem:3RX4-30M0-003G-20FC-00000-00&amp;context=" TargetMode="External" /><Relationship Id="rId245" Type="http://schemas.openxmlformats.org/officeDocument/2006/relationships/hyperlink" Target="https://advance.lexis.com/api/document?collection=cases&amp;id=urn:contentItem:40RB-95J0-0039-42R9-00000-00&amp;context=" TargetMode="External" /><Relationship Id="rId246" Type="http://schemas.openxmlformats.org/officeDocument/2006/relationships/hyperlink" Target="https://advance.lexis.com/api/document?collection=cases&amp;id=urn:contentItem:3XNM-12G0-0039-437F-00000-00&amp;context=" TargetMode="External" /><Relationship Id="rId247" Type="http://schemas.openxmlformats.org/officeDocument/2006/relationships/hyperlink" Target="https://advance.lexis.com/api/document?collection=cases&amp;id=urn:contentItem:7YD6-PWG0-Y9NK-S02S-00000-00&amp;context=" TargetMode="External" /><Relationship Id="rId248" Type="http://schemas.openxmlformats.org/officeDocument/2006/relationships/hyperlink" Target="https://advance.lexis.com/api/document?collection=cases&amp;id=urn:contentItem:3RX4-38C0-003G-210J-00000-00&amp;context=" TargetMode="External" /><Relationship Id="rId249" Type="http://schemas.openxmlformats.org/officeDocument/2006/relationships/hyperlink" Target="https://advance.lexis.com/api/document?collection=cases&amp;id=urn:contentItem:3RX4-4PX0-003G-2411-00000-00&amp;context=" TargetMode="External" /><Relationship Id="rId25" Type="http://schemas.openxmlformats.org/officeDocument/2006/relationships/footer" Target="footer4.xml" /><Relationship Id="rId250" Type="http://schemas.openxmlformats.org/officeDocument/2006/relationships/hyperlink" Target="https://advance.lexis.com/api/document?collection=cases&amp;id=urn:contentItem:3RX4-7P50-003G-21SH-00000-00&amp;context=" TargetMode="External" /><Relationship Id="rId251" Type="http://schemas.openxmlformats.org/officeDocument/2006/relationships/hyperlink" Target="https://advance.lexis.com/api/document?collection=cases&amp;id=urn:contentItem:3RX4-3PH0-003G-21WF-00000-00&amp;context=" TargetMode="External" /><Relationship Id="rId252" Type="http://schemas.openxmlformats.org/officeDocument/2006/relationships/hyperlink" Target="https://advance.lexis.com/api/document?collection=cases&amp;id=urn:contentItem:3VXS-NRX0-0039-435D-00000-00&amp;context=" TargetMode="External" /><Relationship Id="rId253" Type="http://schemas.openxmlformats.org/officeDocument/2006/relationships/hyperlink" Target="https://advance.lexis.com/api/document?collection=cases&amp;id=urn:contentItem:7YFB-0KD1-2RHN-X001-00000-00&amp;context=" TargetMode="External" /><Relationship Id="rId254" Type="http://schemas.openxmlformats.org/officeDocument/2006/relationships/hyperlink" Target="https://advance.lexis.com/api/document?collection=cases&amp;id=urn:contentItem:42H3-9X30-0039-43KY-00000-00&amp;context=" TargetMode="External" /><Relationship Id="rId255" Type="http://schemas.openxmlformats.org/officeDocument/2006/relationships/hyperlink" Target="https://advance.lexis.com/api/document?collection=cases&amp;id=urn:contentItem:3RX4-CST0-003G-21KP-00000-00&amp;context=" TargetMode="External" /><Relationship Id="rId256" Type="http://schemas.openxmlformats.org/officeDocument/2006/relationships/hyperlink" Target="https://advance.lexis.com/api/document?collection=cases&amp;id=urn:contentItem:3S12-2HY0-003D-Y1WW-00000-00&amp;context=" TargetMode="External" /><Relationship Id="rId257" Type="http://schemas.openxmlformats.org/officeDocument/2006/relationships/hyperlink" Target="https://advance.lexis.com/api/document?collection=cases&amp;id=urn:contentItem:3RX4-CP60-003G-2198-00000-00&amp;context=" TargetMode="External" /><Relationship Id="rId258" Type="http://schemas.openxmlformats.org/officeDocument/2006/relationships/hyperlink" Target="https://advance.lexis.com/api/document?collection=cases&amp;id=urn:contentItem:3RX4-9VF0-003G-21X0-00000-00&amp;context=" TargetMode="External" /><Relationship Id="rId259" Type="http://schemas.openxmlformats.org/officeDocument/2006/relationships/hyperlink" Target="https://advance.lexis.com/api/document?collection=cases&amp;id=urn:contentItem:3RX4-4020-003G-22DB-00000-00&amp;context=" TargetMode="External" /><Relationship Id="rId26" Type="http://schemas.openxmlformats.org/officeDocument/2006/relationships/footer" Target="footer5.xml" /><Relationship Id="rId260" Type="http://schemas.openxmlformats.org/officeDocument/2006/relationships/hyperlink" Target="https://advance.lexis.com/api/document?collection=cases&amp;id=urn:contentItem:3VB4-06D0-0039-42J0-00000-00&amp;context=" TargetMode="External" /><Relationship Id="rId261" Type="http://schemas.openxmlformats.org/officeDocument/2006/relationships/hyperlink" Target="https://advance.lexis.com/api/document?collection=cases&amp;id=urn:contentItem:3RX4-36V0-003G-20WH-00000-00&amp;context=" TargetMode="External" /><Relationship Id="rId262" Type="http://schemas.openxmlformats.org/officeDocument/2006/relationships/hyperlink" Target="https://advance.lexis.com/api/document?collection=cases&amp;id=urn:contentItem:3RX4-8SK0-003G-24KW-00000-00&amp;context=" TargetMode="External" /><Relationship Id="rId263" Type="http://schemas.openxmlformats.org/officeDocument/2006/relationships/hyperlink" Target="https://advance.lexis.com/api/document?collection=cases&amp;id=urn:contentItem:3RX4-C5N0-003G-254B-00000-00&amp;context=" TargetMode="External" /><Relationship Id="rId264" Type="http://schemas.openxmlformats.org/officeDocument/2006/relationships/hyperlink" Target="https://advance.lexis.com/api/document?collection=cases&amp;id=urn:contentItem:3S4X-9V00-003B-S1XN-00000-00&amp;context=" TargetMode="External" /><Relationship Id="rId265" Type="http://schemas.openxmlformats.org/officeDocument/2006/relationships/hyperlink" Target="https://advance.lexis.com/api/document?collection=cases&amp;id=urn:contentItem:3RX4-9NX0-003G-21GV-00000-00&amp;context=" TargetMode="External" /><Relationship Id="rId266" Type="http://schemas.openxmlformats.org/officeDocument/2006/relationships/hyperlink" Target="https://advance.lexis.com/api/document?collection=cases&amp;id=urn:contentItem:3RX4-3TS0-003G-223V-00000-00&amp;context=" TargetMode="External" /><Relationship Id="rId267" Type="http://schemas.openxmlformats.org/officeDocument/2006/relationships/hyperlink" Target="https://advance.lexis.com/api/document?collection=cases&amp;id=urn:contentItem:3RX4-9PF0-003G-21J6-00000-00&amp;context=" TargetMode="External" /><Relationship Id="rId268" Type="http://schemas.openxmlformats.org/officeDocument/2006/relationships/hyperlink" Target="https://advance.lexis.com/api/document?collection=cases&amp;id=urn:contentItem:3S4T-J3X0-0039-42YG-00000-00&amp;context=" TargetMode="External" /><Relationship Id="rId269" Type="http://schemas.openxmlformats.org/officeDocument/2006/relationships/hyperlink" Target="https://advance.lexis.com/api/document?collection=cases&amp;id=urn:contentItem:3RX4-3XK0-003G-229B-00000-00&amp;context=" TargetMode="External" /><Relationship Id="rId27" Type="http://schemas.openxmlformats.org/officeDocument/2006/relationships/header" Target="header6.xml" /><Relationship Id="rId270" Type="http://schemas.openxmlformats.org/officeDocument/2006/relationships/hyperlink" Target="https://advance.lexis.com/api/document?collection=cases&amp;id=urn:contentItem:40TH-Y300-0039-42MM-00000-00&amp;context=" TargetMode="External" /><Relationship Id="rId271" Type="http://schemas.openxmlformats.org/officeDocument/2006/relationships/hyperlink" Target="https://advance.lexis.com/api/document?collection=cases&amp;id=urn:contentItem:3RX4-9T90-003G-21T5-00000-00&amp;context=" TargetMode="External" /><Relationship Id="rId272" Type="http://schemas.openxmlformats.org/officeDocument/2006/relationships/hyperlink" Target="https://advance.lexis.com/api/document?collection=cases&amp;id=urn:contentItem:3RX4-3Y20-003G-22B9-00000-00&amp;context=" TargetMode="External" /><Relationship Id="rId273" Type="http://schemas.openxmlformats.org/officeDocument/2006/relationships/hyperlink" Target="https://advance.lexis.com/api/document?collection=cases&amp;id=urn:contentItem:3RX4-B8N0-003G-22YR-00000-00&amp;context=" TargetMode="External" /><Relationship Id="rId274" Type="http://schemas.openxmlformats.org/officeDocument/2006/relationships/hyperlink" Target="https://advance.lexis.com/api/document?collection=cases&amp;id=urn:contentItem:3RX4-92N0-003G-201S-00000-00&amp;context=" TargetMode="External" /><Relationship Id="rId275" Type="http://schemas.openxmlformats.org/officeDocument/2006/relationships/hyperlink" Target="https://advance.lexis.com/api/document?collection=cases&amp;id=urn:contentItem:3RX4-39F0-003G-212M-00000-00&amp;context=" TargetMode="External" /><Relationship Id="rId276" Type="http://schemas.openxmlformats.org/officeDocument/2006/relationships/hyperlink" Target="https://advance.lexis.com/api/document?collection=cases&amp;id=urn:contentItem:4S98-10B0-TX4N-G11G-00000-00&amp;context=" TargetMode="External" /><Relationship Id="rId277" Type="http://schemas.openxmlformats.org/officeDocument/2006/relationships/hyperlink" Target="https://advance.lexis.com/api/document?collection=cases&amp;id=urn:contentItem:3RX4-9KG0-003G-2191-00000-00&amp;context=" TargetMode="External" /><Relationship Id="rId278" Type="http://schemas.openxmlformats.org/officeDocument/2006/relationships/header" Target="header37.xml" /><Relationship Id="rId279" Type="http://schemas.openxmlformats.org/officeDocument/2006/relationships/header" Target="header38.xml" /><Relationship Id="rId28" Type="http://schemas.openxmlformats.org/officeDocument/2006/relationships/footer" Target="footer6.xml" /><Relationship Id="rId280" Type="http://schemas.openxmlformats.org/officeDocument/2006/relationships/footer" Target="footer37.xml" /><Relationship Id="rId281" Type="http://schemas.openxmlformats.org/officeDocument/2006/relationships/footer" Target="footer38.xml" /><Relationship Id="rId282" Type="http://schemas.openxmlformats.org/officeDocument/2006/relationships/header" Target="header39.xml" /><Relationship Id="rId283" Type="http://schemas.openxmlformats.org/officeDocument/2006/relationships/footer" Target="footer39.xml" /><Relationship Id="rId284" Type="http://schemas.openxmlformats.org/officeDocument/2006/relationships/hyperlink" Target="https://advance.lexis.com/api/document?collection=jury-instructions&amp;id=urn:contentItem:5T0Y-CDN0-01KN-B087-00000-00&amp;context=" TargetMode="External" /><Relationship Id="rId285" Type="http://schemas.openxmlformats.org/officeDocument/2006/relationships/hyperlink" Target="https://advance.lexis.com/api/document?collection=cases&amp;id=urn:contentItem:4TP9-GBC0-TX4N-G10B-00000-00&amp;context=" TargetMode="External" /><Relationship Id="rId286" Type="http://schemas.openxmlformats.org/officeDocument/2006/relationships/hyperlink" Target="https://advance.lexis.com/api/document?collection=cases&amp;id=urn:contentItem:4D15-Y0T0-0039-44W1-00000-00&amp;context=" TargetMode="External" /><Relationship Id="rId287" Type="http://schemas.openxmlformats.org/officeDocument/2006/relationships/hyperlink" Target="https://advance.lexis.com/api/document?collection=cases&amp;id=urn:contentItem:3VVC-61R0-0039-43J4-00000-00&amp;context=" TargetMode="External" /><Relationship Id="rId288" Type="http://schemas.openxmlformats.org/officeDocument/2006/relationships/hyperlink" Target="https://advance.lexis.com/api/document?collection=cases&amp;id=urn:contentItem:45T4-X7D0-0039-41VW-00000-00&amp;context=" TargetMode="External" /><Relationship Id="rId289" Type="http://schemas.openxmlformats.org/officeDocument/2006/relationships/hyperlink" Target="https://advance.lexis.com/api/document?collection=cases&amp;id=urn:contentItem:3RX4-61V0-003G-2241-00000-00&amp;context=" TargetMode="External" /><Relationship Id="rId29" Type="http://schemas.openxmlformats.org/officeDocument/2006/relationships/hyperlink" Target="https://advance.lexis.com/api/document?collection=jury-instructions&amp;id=urn:contentItem:5T0Y-CDN0-01KN-B07V-00000-00&amp;context=" TargetMode="External" /><Relationship Id="rId290" Type="http://schemas.openxmlformats.org/officeDocument/2006/relationships/hyperlink" Target="https://advance.lexis.com/api/document?collection=cases&amp;id=urn:contentItem:3RX4-8BV0-003G-23PK-00000-00&amp;context=" TargetMode="External" /><Relationship Id="rId291" Type="http://schemas.openxmlformats.org/officeDocument/2006/relationships/hyperlink" Target="https://advance.lexis.com/api/document?collection=cases&amp;id=urn:contentItem:3S12-2Y40-003D-Y3PK-00000-00&amp;context=" TargetMode="External" /><Relationship Id="rId292" Type="http://schemas.openxmlformats.org/officeDocument/2006/relationships/hyperlink" Target="https://advance.lexis.com/api/document?collection=cases&amp;id=urn:contentItem:3S12-31J0-003D-Y425-00000-00&amp;context=" TargetMode="External" /><Relationship Id="rId293" Type="http://schemas.openxmlformats.org/officeDocument/2006/relationships/hyperlink" Target="https://advance.lexis.com/api/document?collection=cases&amp;id=urn:contentItem:3XVV-YBJ0-00KR-F02C-00000-00&amp;context=" TargetMode="External" /><Relationship Id="rId294" Type="http://schemas.openxmlformats.org/officeDocument/2006/relationships/hyperlink" Target="https://advance.lexis.com/api/document?collection=cases&amp;id=urn:contentItem:3RX4-B2K0-003G-22DX-00000-00&amp;context=" TargetMode="External" /><Relationship Id="rId295" Type="http://schemas.openxmlformats.org/officeDocument/2006/relationships/hyperlink" Target="https://advance.lexis.com/api/document?collection=cases&amp;id=urn:contentItem:3RX4-B810-003G-22X4-00000-00&amp;context=" TargetMode="External" /><Relationship Id="rId296" Type="http://schemas.openxmlformats.org/officeDocument/2006/relationships/hyperlink" Target="https://advance.lexis.com/api/document?collection=cases&amp;id=urn:contentItem:3RX4-4CS0-003G-239T-00000-00&amp;context=" TargetMode="External" /><Relationship Id="rId297" Type="http://schemas.openxmlformats.org/officeDocument/2006/relationships/styles" Target="styles.xml" /><Relationship Id="rId3" Type="http://schemas.openxmlformats.org/officeDocument/2006/relationships/fontTable" Target="fontTable.xml" /><Relationship Id="rId30" Type="http://schemas.openxmlformats.org/officeDocument/2006/relationships/hyperlink" Target="https://advance.lexis.com/api/document?collection=cases&amp;id=urn:contentItem:3RX4-4WN0-003G-24BB-00000-00&amp;context=" TargetMode="External" /><Relationship Id="rId31" Type="http://schemas.openxmlformats.org/officeDocument/2006/relationships/hyperlink" Target="https://advance.lexis.com/api/document?collection=cases&amp;id=urn:contentItem:3RX4-5PJ0-003G-2163-00000-00&amp;context=" TargetMode="External" /><Relationship Id="rId32" Type="http://schemas.openxmlformats.org/officeDocument/2006/relationships/hyperlink" Target="https://advance.lexis.com/api/document?collection=cases&amp;id=urn:contentItem:3RX4-8JT0-003G-246C-00000-00&amp;context=" TargetMode="External" /><Relationship Id="rId33" Type="http://schemas.openxmlformats.org/officeDocument/2006/relationships/hyperlink" Target="https://advance.lexis.com/api/document?collection=cases&amp;id=urn:contentItem:3RX4-C920-003G-2059-00000-00&amp;context=" TargetMode="External" /><Relationship Id="rId34" Type="http://schemas.openxmlformats.org/officeDocument/2006/relationships/hyperlink" Target="https://advance.lexis.com/api/document?collection=cases&amp;id=urn:contentItem:53B0-91W1-JCNF-20FF-00000-00&amp;context=" TargetMode="External" /><Relationship Id="rId35" Type="http://schemas.openxmlformats.org/officeDocument/2006/relationships/hyperlink" Target="https://advance.lexis.com/api/document?collection=cases&amp;id=urn:contentItem:42V2-36T0-0039-40GF-00000-00&amp;context=" TargetMode="External" /><Relationship Id="rId36" Type="http://schemas.openxmlformats.org/officeDocument/2006/relationships/hyperlink" Target="https://advance.lexis.com/api/document?collection=cases&amp;id=urn:contentItem:3RX4-48D0-003G-232X-00000-00&amp;context=" TargetMode="External" /><Relationship Id="rId37" Type="http://schemas.openxmlformats.org/officeDocument/2006/relationships/hyperlink" Target="https://advance.lexis.com/api/document?collection=cases&amp;id=urn:contentItem:3RX4-BP10-003G-23YS-00000-00&amp;context=" TargetMode="External" /><Relationship Id="rId38" Type="http://schemas.openxmlformats.org/officeDocument/2006/relationships/hyperlink" Target="https://advance.lexis.com/api/document?collection=cases&amp;id=urn:contentItem:43W8-3W90-0039-44NX-00000-00&amp;context=" TargetMode="External" /><Relationship Id="rId39" Type="http://schemas.openxmlformats.org/officeDocument/2006/relationships/hyperlink" Target="https://advance.lexis.com/api/document?collection=cases&amp;id=urn:contentItem:3RX4-9DK0-003G-20W6-00000-00&amp;context=" TargetMode="External" /><Relationship Id="rId4" Type="http://schemas.openxmlformats.org/officeDocument/2006/relationships/image" Target="media/image1.png" /><Relationship Id="rId40" Type="http://schemas.openxmlformats.org/officeDocument/2006/relationships/hyperlink" Target="https://advance.lexis.com/api/document?collection=cases&amp;id=urn:contentItem:3S4X-FXM0-003B-413M-00000-00&amp;context=" TargetMode="External" /><Relationship Id="rId41" Type="http://schemas.openxmlformats.org/officeDocument/2006/relationships/hyperlink" Target="https://advance.lexis.com/api/document?collection=cases&amp;id=urn:contentItem:3RX4-9CW0-003G-20T8-00000-00&amp;context=" TargetMode="External" /><Relationship Id="rId42" Type="http://schemas.openxmlformats.org/officeDocument/2006/relationships/header" Target="header7.xml" /><Relationship Id="rId43" Type="http://schemas.openxmlformats.org/officeDocument/2006/relationships/header" Target="header8.xml" /><Relationship Id="rId44" Type="http://schemas.openxmlformats.org/officeDocument/2006/relationships/footer" Target="footer7.xml" /><Relationship Id="rId45" Type="http://schemas.openxmlformats.org/officeDocument/2006/relationships/footer" Target="footer8.xml" /><Relationship Id="rId46" Type="http://schemas.openxmlformats.org/officeDocument/2006/relationships/header" Target="header9.xml" /><Relationship Id="rId47" Type="http://schemas.openxmlformats.org/officeDocument/2006/relationships/footer" Target="footer9.xml" /><Relationship Id="rId48" Type="http://schemas.openxmlformats.org/officeDocument/2006/relationships/hyperlink" Target="https://advance.lexis.com/api/document?collection=jury-instructions&amp;id=urn:contentItem:5T0Y-CDN0-01KN-B07W-00000-00&amp;context=" TargetMode="External" /><Relationship Id="rId49" Type="http://schemas.openxmlformats.org/officeDocument/2006/relationships/hyperlink" Target="https://advance.lexis.com/api/document?collection=cases&amp;id=urn:contentItem:3S12-2VG0-003D-Y39R-00000-00&amp;context=" TargetMode="External" /><Relationship Id="rId5" Type="http://schemas.openxmlformats.org/officeDocument/2006/relationships/hyperlink" Target="https://advance.lexis.com/api/document?id=urn:contentItem:5T0Y-CDN0-01KN-B07V-00000-00&amp;idtype=PID&amp;context=1000516" TargetMode="External" /><Relationship Id="rId50" Type="http://schemas.openxmlformats.org/officeDocument/2006/relationships/hyperlink" Target="https://advance.lexis.com/api/document?collection=cases&amp;id=urn:contentItem:7YKY-GBG1-2RHN-Y00F-00000-00&amp;context=" TargetMode="External" /><Relationship Id="rId51" Type="http://schemas.openxmlformats.org/officeDocument/2006/relationships/hyperlink" Target="https://advance.lexis.com/api/document?collection=cases&amp;id=urn:contentItem:3RX4-B780-003G-22V7-00000-00&amp;context=" TargetMode="External" /><Relationship Id="rId52" Type="http://schemas.openxmlformats.org/officeDocument/2006/relationships/hyperlink" Target="https://advance.lexis.com/api/document?collection=cases&amp;id=urn:contentItem:3RX4-4HH0-003G-23M3-00000-00&amp;context=" TargetMode="External" /><Relationship Id="rId53" Type="http://schemas.openxmlformats.org/officeDocument/2006/relationships/hyperlink" Target="https://advance.lexis.com/api/document?collection=cases&amp;id=urn:contentItem:3RX4-9RW0-003G-21NN-00000-00&amp;context=" TargetMode="External" /><Relationship Id="rId54" Type="http://schemas.openxmlformats.org/officeDocument/2006/relationships/hyperlink" Target="https://advance.lexis.com/api/document?collection=cases&amp;id=urn:contentItem:3RX4-3X70-003G-228M-00000-00&amp;context=" TargetMode="External" /><Relationship Id="rId55" Type="http://schemas.openxmlformats.org/officeDocument/2006/relationships/hyperlink" Target="https://advance.lexis.com/api/document?collection=cases&amp;id=urn:contentItem:5P69-R0G1-DXPM-S000-00000-00&amp;context=" TargetMode="External" /><Relationship Id="rId56" Type="http://schemas.openxmlformats.org/officeDocument/2006/relationships/header" Target="header10.xml" /><Relationship Id="rId57" Type="http://schemas.openxmlformats.org/officeDocument/2006/relationships/header" Target="header11.xml" /><Relationship Id="rId58" Type="http://schemas.openxmlformats.org/officeDocument/2006/relationships/footer" Target="footer10.xml" /><Relationship Id="rId59" Type="http://schemas.openxmlformats.org/officeDocument/2006/relationships/footer" Target="footer11.xml" /><Relationship Id="rId6" Type="http://schemas.openxmlformats.org/officeDocument/2006/relationships/hyperlink" Target="https://advance.lexis.com/api/document?id=urn:contentItem:5T0Y-CDN0-01KN-B07W-00000-00&amp;idtype=PID&amp;context=1000516" TargetMode="External" /><Relationship Id="rId60" Type="http://schemas.openxmlformats.org/officeDocument/2006/relationships/header" Target="header12.xml" /><Relationship Id="rId61" Type="http://schemas.openxmlformats.org/officeDocument/2006/relationships/footer" Target="footer12.xml" /><Relationship Id="rId62" Type="http://schemas.openxmlformats.org/officeDocument/2006/relationships/hyperlink" Target="https://advance.lexis.com/api/document?collection=jury-instructions&amp;id=urn:contentItem:5T0Y-CDN0-01KN-B07X-00000-00&amp;context=" TargetMode="External" /><Relationship Id="rId63" Type="http://schemas.openxmlformats.org/officeDocument/2006/relationships/hyperlink" Target="https://advance.lexis.com/api/document?collection=cases&amp;id=urn:contentItem:3S12-2930-003D-Y0WW-00000-00&amp;context=" TargetMode="External" /><Relationship Id="rId64" Type="http://schemas.openxmlformats.org/officeDocument/2006/relationships/hyperlink" Target="https://advance.lexis.com/api/document?collection=cases&amp;id=urn:contentItem:3YGV-V7Y0-0039-408H-00000-00&amp;context=" TargetMode="External" /><Relationship Id="rId65" Type="http://schemas.openxmlformats.org/officeDocument/2006/relationships/hyperlink" Target="https://advance.lexis.com/api/document?collection=cases&amp;id=urn:contentItem:3RX4-BDB0-003G-2392-00000-00&amp;context=" TargetMode="External" /><Relationship Id="rId66" Type="http://schemas.openxmlformats.org/officeDocument/2006/relationships/hyperlink" Target="https://advance.lexis.com/api/document?collection=cases&amp;id=urn:contentItem:3RX4-C8R0-003G-204M-00000-00&amp;context=" TargetMode="External" /><Relationship Id="rId67" Type="http://schemas.openxmlformats.org/officeDocument/2006/relationships/hyperlink" Target="https://advance.lexis.com/api/document?collection=cases&amp;id=urn:contentItem:3RRJ-5MN0-003V-D3S2-00000-00&amp;context=" TargetMode="External" /><Relationship Id="rId68" Type="http://schemas.openxmlformats.org/officeDocument/2006/relationships/hyperlink" Target="https://advance.lexis.com/api/document?collection=cases&amp;id=urn:contentItem:3S1W-MT40-003V-P1J2-00000-00&amp;context=" TargetMode="External" /><Relationship Id="rId69" Type="http://schemas.openxmlformats.org/officeDocument/2006/relationships/hyperlink" Target="https://advance.lexis.com/api/document?collection=cases&amp;id=urn:contentItem:3RX4-C110-003G-24RW-00000-00&amp;context=" TargetMode="External" /><Relationship Id="rId7" Type="http://schemas.openxmlformats.org/officeDocument/2006/relationships/hyperlink" Target="https://advance.lexis.com/api/document?id=urn:contentItem:5T0Y-CDN0-01KN-B07X-00000-00&amp;idtype=PID&amp;context=1000516" TargetMode="External" /><Relationship Id="rId70" Type="http://schemas.openxmlformats.org/officeDocument/2006/relationships/hyperlink" Target="https://advance.lexis.com/api/document?collection=cases&amp;id=urn:contentItem:4SWH-CDT0-TX4N-G01B-00000-00&amp;context=" TargetMode="External" /><Relationship Id="rId71" Type="http://schemas.openxmlformats.org/officeDocument/2006/relationships/header" Target="header13.xml" /><Relationship Id="rId72" Type="http://schemas.openxmlformats.org/officeDocument/2006/relationships/header" Target="header14.xml" /><Relationship Id="rId73" Type="http://schemas.openxmlformats.org/officeDocument/2006/relationships/footer" Target="footer13.xml" /><Relationship Id="rId74" Type="http://schemas.openxmlformats.org/officeDocument/2006/relationships/footer" Target="footer14.xml" /><Relationship Id="rId75" Type="http://schemas.openxmlformats.org/officeDocument/2006/relationships/header" Target="header15.xml" /><Relationship Id="rId76" Type="http://schemas.openxmlformats.org/officeDocument/2006/relationships/footer" Target="footer15.xml" /><Relationship Id="rId77" Type="http://schemas.openxmlformats.org/officeDocument/2006/relationships/hyperlink" Target="https://advance.lexis.com/api/document?collection=jury-instructions&amp;id=urn:contentItem:5T0Y-CDN0-01KN-B07Y-00000-00&amp;context=" TargetMode="External" /><Relationship Id="rId78" Type="http://schemas.openxmlformats.org/officeDocument/2006/relationships/hyperlink" Target="https://advance.lexis.com/api/document?collection=cases&amp;id=urn:contentItem:3S12-31M0-003D-Y42F-00000-00&amp;context=" TargetMode="External" /><Relationship Id="rId79" Type="http://schemas.openxmlformats.org/officeDocument/2006/relationships/hyperlink" Target="https://advance.lexis.com/api/document?collection=cases&amp;id=urn:contentItem:43JF-GF10-0039-42F7-00000-00&amp;context=" TargetMode="External" /><Relationship Id="rId8" Type="http://schemas.openxmlformats.org/officeDocument/2006/relationships/hyperlink" Target="https://advance.lexis.com/api/document?id=urn:contentItem:5T0Y-CDN0-01KN-B07Y-00000-00&amp;idtype=PID&amp;context=1000516" TargetMode="External" /><Relationship Id="rId80" Type="http://schemas.openxmlformats.org/officeDocument/2006/relationships/hyperlink" Target="https://advance.lexis.com/api/document?collection=cases&amp;id=urn:contentItem:3Y4B-9VD0-00KR-D2BD-00000-00&amp;context=" TargetMode="External" /><Relationship Id="rId81" Type="http://schemas.openxmlformats.org/officeDocument/2006/relationships/header" Target="header16.xml" /><Relationship Id="rId82" Type="http://schemas.openxmlformats.org/officeDocument/2006/relationships/header" Target="header17.xml" /><Relationship Id="rId83" Type="http://schemas.openxmlformats.org/officeDocument/2006/relationships/footer" Target="footer16.xml" /><Relationship Id="rId84" Type="http://schemas.openxmlformats.org/officeDocument/2006/relationships/footer" Target="footer17.xml" /><Relationship Id="rId85" Type="http://schemas.openxmlformats.org/officeDocument/2006/relationships/header" Target="header18.xml" /><Relationship Id="rId86" Type="http://schemas.openxmlformats.org/officeDocument/2006/relationships/footer" Target="footer18.xml" /><Relationship Id="rId87" Type="http://schemas.openxmlformats.org/officeDocument/2006/relationships/hyperlink" Target="https://advance.lexis.com/api/document?collection=jury-instructions&amp;id=urn:contentItem:5T0Y-CDN0-01KN-B080-00000-00&amp;context=" TargetMode="External" /><Relationship Id="rId88" Type="http://schemas.openxmlformats.org/officeDocument/2006/relationships/hyperlink" Target="https://advance.lexis.com/api/document?collection=cases&amp;id=urn:contentItem:3S4X-BRT0-003B-S25H-00000-00&amp;context=" TargetMode="External" /><Relationship Id="rId89" Type="http://schemas.openxmlformats.org/officeDocument/2006/relationships/hyperlink" Target="https://advance.lexis.com/api/document?collection=cases&amp;id=urn:contentItem:3RX4-C1M0-003G-24T5-00000-00&amp;context=" TargetMode="External" /><Relationship Id="rId9" Type="http://schemas.openxmlformats.org/officeDocument/2006/relationships/hyperlink" Target="https://advance.lexis.com/api/document?id=urn:contentItem:5T0Y-CDN0-01KN-B080-00000-00&amp;idtype=PID&amp;context=1000516" TargetMode="External" /><Relationship Id="rId90" Type="http://schemas.openxmlformats.org/officeDocument/2006/relationships/hyperlink" Target="https://advance.lexis.com/api/document?collection=cases&amp;id=urn:contentItem:3RX4-5G60-003G-20M2-00000-00&amp;context=" TargetMode="External" /><Relationship Id="rId91" Type="http://schemas.openxmlformats.org/officeDocument/2006/relationships/hyperlink" Target="https://advance.lexis.com/api/document?collection=cases&amp;id=urn:contentItem:3RX4-C1D0-003G-24SS-00000-00&amp;context=" TargetMode="External" /><Relationship Id="rId92" Type="http://schemas.openxmlformats.org/officeDocument/2006/relationships/hyperlink" Target="https://advance.lexis.com/api/document?collection=cases&amp;id=urn:contentItem:3S4X-9D60-003B-S1PK-00000-00&amp;context=" TargetMode="External" /><Relationship Id="rId93" Type="http://schemas.openxmlformats.org/officeDocument/2006/relationships/hyperlink" Target="https://advance.lexis.com/api/document?collection=cases&amp;id=urn:contentItem:3S4X-7NG0-003B-S3MT-00000-00&amp;context=" TargetMode="External" /><Relationship Id="rId94" Type="http://schemas.openxmlformats.org/officeDocument/2006/relationships/hyperlink" Target="https://advance.lexis.com/api/document?collection=cases&amp;id=urn:contentItem:3RX4-3XM0-003G-229F-00000-00&amp;context=" TargetMode="External" /><Relationship Id="rId95" Type="http://schemas.openxmlformats.org/officeDocument/2006/relationships/hyperlink" Target="https://advance.lexis.com/api/document?collection=cases&amp;id=urn:contentItem:3RX4-4DH0-003G-23CN-00000-00&amp;context=" TargetMode="External" /><Relationship Id="rId96" Type="http://schemas.openxmlformats.org/officeDocument/2006/relationships/hyperlink" Target="https://advance.lexis.com/api/document?collection=cases&amp;id=urn:contentItem:3RX4-CNR0-003G-217S-00000-00&amp;context=" TargetMode="External" /><Relationship Id="rId97" Type="http://schemas.openxmlformats.org/officeDocument/2006/relationships/hyperlink" Target="https://advance.lexis.com/api/document?collection=cases&amp;id=urn:contentItem:48XV-RRN0-0039-43HW-00000-00&amp;context=" TargetMode="External" /><Relationship Id="rId98" Type="http://schemas.openxmlformats.org/officeDocument/2006/relationships/hyperlink" Target="https://advance.lexis.com/api/document?collection=cases&amp;id=urn:contentItem:56DH-JGP1-F04G-S0M4-00000-00&amp;context=" TargetMode="External" /><Relationship Id="rId99" Type="http://schemas.openxmlformats.org/officeDocument/2006/relationships/header" Target="header19.xm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MPJI-Cr 5:09</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77923540</vt:lpwstr>
  </property>
  <property fmtid="{D5CDD505-2E9C-101B-9397-08002B2CF9AE}" pid="3" name="LADocCount">
    <vt:i4>13</vt:i4>
  </property>
  <property fmtid="{D5CDD505-2E9C-101B-9397-08002B2CF9AE}" pid="4" name="UserPermID">
    <vt:lpwstr>urn:user:PA182399192</vt:lpwstr>
  </property>
</Properties>
</file>