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9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7pt;height:30pt">
            <v:imagedata r:id="rId4" o:title=""/>
          </v:shape>
        </w:pict>
      </w:r>
    </w:p>
    <w:p>
      <w:pPr>
        <w:spacing w:before="360" w:line="260" w:lineRule="atLeast"/>
        <w:rPr>
          <w:lang w:val="en-US" w:eastAsia="en-US" w:bidi="ar-SA"/>
        </w:rPr>
      </w:pPr>
      <w:r>
        <w:rPr>
          <w:rFonts w:ascii="Arial" w:eastAsia="Arial" w:hAnsi="Arial" w:cs="Arial"/>
          <w:b/>
          <w:color w:val="000000"/>
          <w:sz w:val="20"/>
          <w:lang w:val="en-US" w:eastAsia="en-US" w:bidi="ar-SA"/>
        </w:rPr>
        <w:t xml:space="preserve">User Name: </w:t>
      </w:r>
      <w:r>
        <w:rPr>
          <w:rFonts w:ascii="Arial" w:eastAsia="Arial" w:hAnsi="Arial" w:cs="Arial"/>
          <w:color w:val="000000"/>
          <w:sz w:val="20"/>
          <w:lang w:val="en-US" w:eastAsia="en-US" w:bidi="ar-SA"/>
        </w:rPr>
        <w:t>Michael Fiorenza</w:t>
      </w:r>
    </w:p>
    <w:p>
      <w:pPr>
        <w:spacing w:before="80" w:line="240" w:lineRule="atLeas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Monday, November 19, 2018 10:46:00 PM EST</w:t>
      </w:r>
    </w:p>
    <w:p>
      <w:pPr>
        <w:spacing w:before="80" w:line="240" w:lineRule="atLeas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77923543</w:t>
      </w:r>
    </w:p>
    <w:p>
      <w:pPr>
        <w:spacing w:before="360" w:line="360" w:lineRule="atLeast"/>
        <w:jc w:val="both"/>
        <w:rPr>
          <w:lang w:val="en-US" w:eastAsia="en-US" w:bidi="ar-SA"/>
        </w:rPr>
      </w:pPr>
      <w:r>
        <w:rPr>
          <w:rFonts w:ascii="Arial" w:eastAsia="Arial" w:hAnsi="Arial" w:cs="Arial"/>
          <w:b/>
          <w:color w:val="000000"/>
          <w:lang w:val="en-US" w:eastAsia="en-US" w:bidi="ar-SA"/>
        </w:rPr>
        <w:t>Documents (2)</w:t>
      </w:r>
    </w:p>
    <w:p>
      <w:pPr>
        <w:spacing w:before="200" w:line="300" w:lineRule="atLeast"/>
        <w:ind w:left="440" w:hanging="290"/>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lang w:val="en-US" w:eastAsia="en-US" w:bidi="ar-SA"/>
          </w:rPr>
          <w:t xml:space="preserve"> </w:t>
        </w:r>
      </w:hyperlink>
      <w:hyperlink r:id="rId5" w:history="1">
        <w:r>
          <w:rPr>
            <w:rFonts w:ascii="Arial" w:eastAsia="Arial" w:hAnsi="Arial" w:cs="Arial"/>
            <w:i/>
            <w:color w:val="0077CC"/>
            <w:sz w:val="20"/>
            <w:u w:val="single"/>
            <w:lang w:val="en-US" w:eastAsia="en-US" w:bidi="ar-SA"/>
          </w:rPr>
          <w:t>Accomplice Liability</w:t>
        </w:r>
      </w:hyperlink>
    </w:p>
    <w:p>
      <w:pPr>
        <w:spacing w:before="80" w:line="240" w:lineRule="atLeast"/>
        <w:ind w:left="290"/>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spacing w:line="300" w:lineRule="atLeast"/>
        <w:ind w:left="440" w:hanging="290"/>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lang w:val="en-US" w:eastAsia="en-US" w:bidi="ar-SA"/>
          </w:rPr>
          <w:t xml:space="preserve"> </w:t>
        </w:r>
      </w:hyperlink>
      <w:hyperlink r:id="rId6" w:history="1">
        <w:r>
          <w:rPr>
            <w:rFonts w:ascii="Arial" w:eastAsia="Arial" w:hAnsi="Arial" w:cs="Arial"/>
            <w:i/>
            <w:color w:val="0077CC"/>
            <w:sz w:val="20"/>
            <w:u w:val="single"/>
            <w:lang w:val="en-US" w:eastAsia="en-US" w:bidi="ar-SA"/>
          </w:rPr>
          <w:t>Accessory After the Fact</w:t>
        </w:r>
      </w:hyperlink>
    </w:p>
    <w:p>
      <w:pPr>
        <w:spacing w:before="80" w:line="240" w:lineRule="atLeast"/>
        <w:ind w:left="290"/>
        <w:rPr>
          <w:lang w:val="en-US" w:eastAsia="en-US" w:bidi="ar-SA"/>
        </w:rPr>
        <w:sectPr>
          <w:headerReference w:type="even" r:id="rId7"/>
          <w:headerReference w:type="default" r:id="rId8"/>
          <w:footerReference w:type="even" r:id="rId9"/>
          <w:footerReference w:type="default" r:id="rId10"/>
          <w:headerReference w:type="first" r:id="rId11"/>
          <w:footerReference w:type="first" r:id="rId12"/>
          <w:type w:val="nextPage"/>
          <w:pgMar w:top="840" w:right="1080" w:bottom="840" w:left="1080" w:header="0" w:footer="0"/>
          <w:pgNumType w:fmt="decimal"/>
          <w:cols w:space="720"/>
        </w:sect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rPr>
          <w:lang w:val="en-US" w:eastAsia="en-US" w:bidi="ar-SA"/>
        </w:rPr>
        <w:sectPr>
          <w:headerReference w:type="even" r:id="rId13"/>
          <w:headerReference w:type="default" r:id="rId14"/>
          <w:footerReference w:type="even" r:id="rId15"/>
          <w:footerReference w:type="default" r:id="rId16"/>
          <w:headerReference w:type="first" r:id="rId17"/>
          <w:footerReference w:type="first" r:id="rId18"/>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19" w:history="1">
        <w:r>
          <w:rPr>
            <w:rFonts w:ascii="arial" w:eastAsia="arial" w:hAnsi="arial" w:cs="arial"/>
            <w:b/>
            <w:bCs/>
            <w:i/>
            <w:color w:val="0077CC"/>
            <w:kern w:val="32"/>
            <w:sz w:val="28"/>
            <w:szCs w:val="32"/>
            <w:u w:val="single"/>
            <w:lang w:val="en-US" w:eastAsia="en-US" w:bidi="ar-SA"/>
          </w:rPr>
          <w:t>MPJI-Cr 6:00</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6 PARTIES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ACCOMPLICE LIABILITY</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6:00Accomplice Liability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The defendant may be guilty of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 as an accomplice, even though the defendant did not personally commit the acts that constitute that crime. In order to convict the defendant of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 as an accomplice, the State must prove that the (</w:t>
      </w:r>
      <w:r>
        <w:rPr>
          <w:rFonts w:ascii="arial" w:eastAsia="arial" w:hAnsi="arial" w:cs="arial"/>
          <w:b/>
          <w:color w:val="000000"/>
          <w:sz w:val="20"/>
          <w:u w:val="single"/>
          <w:lang w:val="en-US" w:eastAsia="en-US" w:bidi="ar-SA"/>
        </w:rPr>
        <w:t>crime</w:t>
      </w:r>
      <w:r>
        <w:rPr>
          <w:rFonts w:ascii="arial" w:eastAsia="arial" w:hAnsi="arial" w:cs="arial"/>
          <w:b/>
          <w:color w:val="000000"/>
          <w:sz w:val="20"/>
          <w:lang w:val="en-US" w:eastAsia="en-US" w:bidi="ar-SA"/>
        </w:rPr>
        <w:t>) occurred and that the defendant, with the intent to make the crime happen, knowingly aided, counseled, commanded, or encouraged the commission of the crime, or communicated to a participant in the crime that [he] [she] was ready, willing, and able to lend support, if needed</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[A person need not be physically present at the time and place of the commission of the crime in order to act as an accomplice.]</w:t>
      </w:r>
    </w:p>
    <w:p>
      <w:pPr>
        <w:spacing w:before="200" w:line="260" w:lineRule="atLeast"/>
        <w:jc w:val="both"/>
        <w:rPr>
          <w:lang w:val="en-US" w:eastAsia="en-US" w:bidi="ar-SA"/>
        </w:rPr>
      </w:pPr>
      <w:r>
        <w:rPr>
          <w:rFonts w:ascii="arial" w:eastAsia="arial" w:hAnsi="arial" w:cs="arial"/>
          <w:b/>
          <w:color w:val="000000"/>
          <w:sz w:val="20"/>
          <w:lang w:val="en-US" w:eastAsia="en-US" w:bidi="ar-SA"/>
        </w:rPr>
        <w:t>[The mere presence of the defendant at the time and place of the commission of the crime is not enough to prove that the defendant is an accomplice. If presence at the scene of the crime is proven, that fact may be considered, along with all of the surrounding circumstances, in determining whether the defendant intended to aid a participant and communicated that willingness to a participant]</w:t>
      </w:r>
      <w:r>
        <w:rPr>
          <w:rFonts w:ascii="arial" w:eastAsia="arial" w:hAnsi="arial" w:cs="arial"/>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[The defendant may also be found guilty as an accomplice of (a) crime(s) that [he] [she] did not assist in or even intend to commit. In this case, in order to convict the defendant of (</w:t>
      </w:r>
      <w:r>
        <w:rPr>
          <w:rFonts w:ascii="arial" w:eastAsia="arial" w:hAnsi="arial" w:cs="arial"/>
          <w:b/>
          <w:color w:val="000000"/>
          <w:sz w:val="20"/>
          <w:u w:val="single"/>
          <w:lang w:val="en-US" w:eastAsia="en-US" w:bidi="ar-SA"/>
        </w:rPr>
        <w:t>additional crime</w:t>
      </w:r>
      <w:r>
        <w:rPr>
          <w:rFonts w:ascii="arial" w:eastAsia="arial" w:hAnsi="arial" w:cs="arial"/>
          <w:b/>
          <w:color w:val="000000"/>
          <w:sz w:val="20"/>
          <w:lang w:val="en-US" w:eastAsia="en-US" w:bidi="ar-SA"/>
        </w:rPr>
        <w:t>), the State must prove beyond a reasonable doubt that</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the defendant committed the crime of (</w:t>
      </w:r>
      <w:r>
        <w:rPr>
          <w:rFonts w:ascii="arial" w:eastAsia="arial" w:hAnsi="arial" w:cs="arial"/>
          <w:b/>
          <w:color w:val="000000"/>
          <w:sz w:val="20"/>
          <w:u w:val="single"/>
          <w:lang w:val="en-US" w:eastAsia="en-US" w:bidi="ar-SA"/>
        </w:rPr>
        <w:t>intended crime</w:t>
      </w:r>
      <w:r>
        <w:rPr>
          <w:rFonts w:ascii="arial" w:eastAsia="arial" w:hAnsi="arial" w:cs="arial"/>
          <w:b/>
          <w:color w:val="000000"/>
          <w:sz w:val="20"/>
          <w:lang w:val="en-US" w:eastAsia="en-US" w:bidi="ar-SA"/>
        </w:rPr>
        <w:t>) either as the primary actor or as an accomplice</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the crime of (</w:t>
      </w:r>
      <w:r>
        <w:rPr>
          <w:rFonts w:ascii="arial" w:eastAsia="arial" w:hAnsi="arial" w:cs="arial"/>
          <w:b/>
          <w:color w:val="000000"/>
          <w:sz w:val="20"/>
          <w:u w:val="single"/>
          <w:lang w:val="en-US" w:eastAsia="en-US" w:bidi="ar-SA"/>
        </w:rPr>
        <w:t>additional crime</w:t>
      </w:r>
      <w:r>
        <w:rPr>
          <w:rFonts w:ascii="arial" w:eastAsia="arial" w:hAnsi="arial" w:cs="arial"/>
          <w:b/>
          <w:color w:val="000000"/>
          <w:sz w:val="20"/>
          <w:lang w:val="en-US" w:eastAsia="en-US" w:bidi="ar-SA"/>
        </w:rPr>
        <w:t>) was committed by an accomplice; and (3) the crime of (</w:t>
      </w:r>
      <w:r>
        <w:rPr>
          <w:rFonts w:ascii="arial" w:eastAsia="arial" w:hAnsi="arial" w:cs="arial"/>
          <w:b/>
          <w:color w:val="000000"/>
          <w:sz w:val="20"/>
          <w:u w:val="single"/>
          <w:lang w:val="en-US" w:eastAsia="en-US" w:bidi="ar-SA"/>
        </w:rPr>
        <w:t>additional crime</w:t>
      </w:r>
      <w:r>
        <w:rPr>
          <w:rFonts w:ascii="arial" w:eastAsia="arial" w:hAnsi="arial" w:cs="arial"/>
          <w:b/>
          <w:color w:val="000000"/>
          <w:sz w:val="20"/>
          <w:lang w:val="en-US" w:eastAsia="en-US" w:bidi="ar-SA"/>
        </w:rPr>
        <w:t>) was committed by an accomplice in furtherance of or during the escape from the underlying crime of (</w:t>
      </w:r>
      <w:r>
        <w:rPr>
          <w:rFonts w:ascii="arial" w:eastAsia="arial" w:hAnsi="arial" w:cs="arial"/>
          <w:b/>
          <w:color w:val="000000"/>
          <w:sz w:val="20"/>
          <w:u w:val="single"/>
          <w:lang w:val="en-US" w:eastAsia="en-US" w:bidi="ar-SA"/>
        </w:rPr>
        <w:t>intended crime</w:t>
      </w:r>
      <w:r>
        <w:rPr>
          <w:rFonts w:ascii="arial" w:eastAsia="arial" w:hAnsi="arial" w:cs="arial"/>
          <w:b/>
          <w:color w:val="000000"/>
          <w:sz w:val="20"/>
          <w:lang w:val="en-US" w:eastAsia="en-US" w:bidi="ar-SA"/>
        </w:rPr>
        <w:t>).]</w:t>
      </w:r>
    </w:p>
    <w:p>
      <w:pPr>
        <w:spacing w:before="200" w:line="260" w:lineRule="atLeast"/>
        <w:jc w:val="both"/>
        <w:rPr>
          <w:lang w:val="en-US" w:eastAsia="en-US" w:bidi="ar-SA"/>
        </w:rPr>
      </w:pPr>
      <w:r>
        <w:rPr>
          <w:rFonts w:ascii="arial" w:eastAsia="arial" w:hAnsi="arial" w:cs="arial"/>
          <w:b/>
          <w:color w:val="000000"/>
          <w:sz w:val="20"/>
          <w:lang w:val="en-US" w:eastAsia="en-US" w:bidi="ar-SA"/>
        </w:rPr>
        <w:t>[It is not necessary that a defendant knew his accomplice was going to commit an additional crime. Furthermore, the defendant need not have participated in any fashion in the additional crime. In order for the State to establish accomplice liability for the additional crime, the State must prove that the defendant actually committed the planned offense, or the defendant aided and abetted in that offense, and that the additional criminal offense not within the original plan was done in furtherance of the commission of the planned criminal offense or the escape therefrom.]</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 defendant can be guilty as an accomplice either because he is an accessory before the fact or because, as a second degree principal, he aids or abets a first degree principal who commits the crime. Although these were separate categories at common law, a single set of legal rules largely governs them today, and for purposes of liability (but not sentencing), "the distinction between an accessory before the fact and a principal is abrogated." CRIMINAL PROCEDURE § 4-204(b) (2008 &amp; Supp. 2016) (hereinafter CRIM. PROC. § ___ ). </w:t>
            </w:r>
            <w:r>
              <w:rPr>
                <w:rFonts w:ascii="arial" w:eastAsia="arial" w:hAnsi="arial" w:cs="arial"/>
                <w:i/>
                <w:color w:val="000000"/>
                <w:sz w:val="20"/>
                <w:lang w:val="en-US" w:eastAsia="en-US" w:bidi="ar-SA"/>
              </w:rPr>
              <w:t xml:space="preserve">See </w:t>
            </w:r>
            <w:hyperlink r:id="rId20" w:history="1">
              <w:r>
                <w:rPr>
                  <w:rFonts w:ascii="arial" w:eastAsia="arial" w:hAnsi="arial" w:cs="arial"/>
                  <w:i/>
                  <w:color w:val="0077CC"/>
                  <w:sz w:val="20"/>
                  <w:u w:val="single"/>
                  <w:lang w:val="en-US" w:eastAsia="en-US" w:bidi="ar-SA"/>
                </w:rPr>
                <w:t>State v. Johnson, 367 Md. 418, 428 n.6, 788 A.2d 628, 634 n.6 (2002)</w:t>
              </w:r>
            </w:hyperlink>
            <w:r>
              <w:rPr>
                <w:rFonts w:ascii="arial" w:eastAsia="arial" w:hAnsi="arial" w:cs="arial"/>
                <w:color w:val="000000"/>
                <w:sz w:val="20"/>
                <w:lang w:val="en-US" w:eastAsia="en-US" w:bidi="ar-SA"/>
              </w:rPr>
              <w:t xml:space="preserve"> ("The Legislature recently abrogated the distinction between principals and accessories in Maryland Code (2001), § 4-204(b) of the Criminal Procedure Article."). Section 4-204(b) allows an accessory before the fact to be charged, tried, convicted, and sentenced as a principal. The Committee continues to refer to accessories before the fact and aiders and abettors in this comment because these two categories remain relevant factually in describing two different kinds of accomplices (even though legal distinctions between the two have been abrogated). Obviously, these two categories also existed when the case law on accomplice liability was developed, even though the law considers both to be equally culpable. </w:t>
            </w:r>
            <w:r>
              <w:rPr>
                <w:rFonts w:ascii="arial" w:eastAsia="arial" w:hAnsi="arial" w:cs="arial"/>
                <w:i/>
                <w:color w:val="000000"/>
                <w:sz w:val="20"/>
                <w:lang w:val="en-US" w:eastAsia="en-US" w:bidi="ar-SA"/>
              </w:rPr>
              <w:t xml:space="preserve">See </w:t>
            </w:r>
            <w:hyperlink r:id="rId21" w:history="1">
              <w:r>
                <w:rPr>
                  <w:rFonts w:ascii="arial" w:eastAsia="arial" w:hAnsi="arial" w:cs="arial"/>
                  <w:i/>
                  <w:color w:val="0077CC"/>
                  <w:sz w:val="20"/>
                  <w:u w:val="single"/>
                  <w:lang w:val="en-US" w:eastAsia="en-US" w:bidi="ar-SA"/>
                </w:rPr>
                <w:t>In re Lavar D., 189 Md. App. 526, 586, 985 A.2d 102, 136 (2009)</w:t>
              </w:r>
            </w:hyperlink>
            <w:r>
              <w:rPr>
                <w:rFonts w:ascii="arial" w:eastAsia="arial" w:hAnsi="arial" w:cs="arial"/>
                <w:color w:val="000000"/>
                <w:sz w:val="20"/>
                <w:lang w:val="en-US" w:eastAsia="en-US" w:bidi="ar-SA"/>
              </w:rPr>
              <w:t xml:space="preserve"> (whether an "accessory" or "aider and abettor," one "who encourages, aids, abets, or assists the active perpetrator in the commission of the offense is a guilty participant, and in the eye of the law is equally culpable with the one who does the act." (quoting </w:t>
            </w:r>
            <w:hyperlink r:id="rId22" w:history="1">
              <w:r>
                <w:rPr>
                  <w:rFonts w:ascii="arial" w:eastAsia="arial" w:hAnsi="arial" w:cs="arial"/>
                  <w:i/>
                  <w:color w:val="0077CC"/>
                  <w:sz w:val="20"/>
                  <w:u w:val="single"/>
                  <w:lang w:val="en-US" w:eastAsia="en-US" w:bidi="ar-SA"/>
                </w:rPr>
                <w:t>Grandison v. State, 305 Md. 685, 703, 506 A.2d 580, 589,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479 U.S. 873 (1986),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498 U.S. 943 (1990))).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An accomplice who is an accessory before the fact is one who, before the commission of a felony, aids, commands, counsels, or encourages its commission. </w:t>
            </w:r>
            <w:r>
              <w:rPr>
                <w:rFonts w:ascii="arial" w:eastAsia="arial" w:hAnsi="arial" w:cs="arial"/>
                <w:i/>
                <w:color w:val="000000"/>
                <w:sz w:val="20"/>
                <w:lang w:val="en-US" w:eastAsia="en-US" w:bidi="ar-SA"/>
              </w:rPr>
              <w:t xml:space="preserve">See </w:t>
            </w:r>
            <w:hyperlink r:id="rId23" w:history="1">
              <w:r>
                <w:rPr>
                  <w:rFonts w:ascii="arial" w:eastAsia="arial" w:hAnsi="arial" w:cs="arial"/>
                  <w:i/>
                  <w:color w:val="0077CC"/>
                  <w:sz w:val="20"/>
                  <w:u w:val="single"/>
                  <w:lang w:val="en-US" w:eastAsia="en-US" w:bidi="ar-SA"/>
                </w:rPr>
                <w:t>Wear v. State, 127 Md. App. 656, 664, 736 A.2d 395, 399,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granted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357 Md. 190, 742 A.2d 520 (1999),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dismissed</w:t>
            </w:r>
            <w:r>
              <w:rPr>
                <w:rFonts w:ascii="arial" w:eastAsia="arial" w:hAnsi="arial" w:cs="arial"/>
                <w:color w:val="000000"/>
                <w:sz w:val="20"/>
                <w:lang w:val="en-US" w:eastAsia="en-US" w:bidi="ar-SA"/>
              </w:rPr>
              <w:t xml:space="preserve">, </w:t>
            </w:r>
            <w:hyperlink r:id="rId24" w:history="1">
              <w:r>
                <w:rPr>
                  <w:rFonts w:ascii="arial" w:eastAsia="arial" w:hAnsi="arial" w:cs="arial"/>
                  <w:i/>
                  <w:color w:val="0077CC"/>
                  <w:sz w:val="20"/>
                  <w:u w:val="single"/>
                  <w:lang w:val="en-US" w:eastAsia="en-US" w:bidi="ar-SA"/>
                </w:rPr>
                <w:t>358 Md. 417, 749 A.2d 786 (2000).</w:t>
              </w:r>
            </w:hyperlink>
            <w:r>
              <w:rPr>
                <w:rFonts w:ascii="arial" w:eastAsia="arial" w:hAnsi="arial" w:cs="arial"/>
                <w:color w:val="000000"/>
                <w:sz w:val="20"/>
                <w:lang w:val="en-US" w:eastAsia="en-US" w:bidi="ar-SA"/>
              </w:rPr>
              <w:t xml:space="preserve"> Unlike a principal in the second degree, who is ready, willing, and able to lend support to the felony at the scene of the crime, an accessory before the fact is neither actually nor constructively present at the time of its commission. </w:t>
            </w:r>
            <w:r>
              <w:rPr>
                <w:rFonts w:ascii="arial" w:eastAsia="arial" w:hAnsi="arial" w:cs="arial"/>
                <w:i/>
                <w:color w:val="000000"/>
                <w:sz w:val="20"/>
                <w:lang w:val="en-US" w:eastAsia="en-US" w:bidi="ar-SA"/>
              </w:rPr>
              <w:t xml:space="preserve">See </w:t>
            </w:r>
            <w:hyperlink r:id="rId25" w:history="1">
              <w:r>
                <w:rPr>
                  <w:rFonts w:ascii="arial" w:eastAsia="arial" w:hAnsi="arial" w:cs="arial"/>
                  <w:i/>
                  <w:color w:val="0077CC"/>
                  <w:sz w:val="20"/>
                  <w:u w:val="single"/>
                  <w:lang w:val="en-US" w:eastAsia="en-US" w:bidi="ar-SA"/>
                </w:rPr>
                <w:t>Sheppard v. State, 312 Md. 118, 122-23, 538 A.2d 773, 775 (1988);</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lang w:val="en-US" w:eastAsia="en-US" w:bidi="ar-SA"/>
                </w:rPr>
                <w:t>Morgan v. State, 134 Md. App. 113, 131, 759 A.2d 306, 316,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361 Md. 232, 760 A.2d 1107 (2000).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See generally</w:t>
            </w:r>
            <w:r>
              <w:rPr>
                <w:rFonts w:ascii="arial" w:eastAsia="arial" w:hAnsi="arial" w:cs="arial"/>
                <w:color w:val="000000"/>
                <w:sz w:val="20"/>
                <w:lang w:val="en-US" w:eastAsia="en-US" w:bidi="ar-SA"/>
              </w:rPr>
              <w:t xml:space="preserve"> WILLIAM LAWRENCE CLARK &amp; WILLIAM LAWRENCE MARSHALL, A TREATISE ON THE LAW OF CRIMES § 8.03, at 513-14 (7th ed. 1967); RICHARD P. GILBERT &amp; CHARLES E. MOYLAN, JR., MARYLAND CRIMINAL LAW: PRACTICE AND PROCEDURE § 21.4-1, at 229-31 (1983 &amp; Supp. 1990); WAYNE R. LAFAVE, CRIMINAL LAW § 13.1(c), at 704 (5th ed. 2010).</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Prior aid, coupled with aid at the scene, makes the accomplice both an accessory before the fact and a principal in the second degree. LAFAVE,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13.1, at 701-04. As with a principal in the second degree, an accessory before the fact shares criminal liability with the principal for the planned offense and for other offenses committed in furtherance thereof. </w:t>
            </w:r>
            <w:hyperlink r:id="rId25" w:history="1">
              <w:r>
                <w:rPr>
                  <w:rFonts w:ascii="arial" w:eastAsia="arial" w:hAnsi="arial" w:cs="arial"/>
                  <w:i/>
                  <w:color w:val="0077CC"/>
                  <w:sz w:val="20"/>
                  <w:u w:val="single"/>
                  <w:lang w:val="en-US" w:eastAsia="en-US" w:bidi="ar-SA"/>
                </w:rPr>
                <w:t>Sheppard, 312 Md. at 121-23 &amp; n.3, 538 A.2d at 774-75 &amp; n.3</w:t>
              </w:r>
            </w:hyperlink>
            <w:r>
              <w:rPr>
                <w:rFonts w:ascii="arial" w:eastAsia="arial" w:hAnsi="arial" w:cs="arial"/>
                <w:color w:val="000000"/>
                <w:sz w:val="20"/>
                <w:lang w:val="en-US" w:eastAsia="en-US" w:bidi="ar-SA"/>
              </w:rPr>
              <w:t xml:space="preserve"> (disfavoring "natural and probable consequence" test).</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At common law, an accessory could not be tried until a principal had been convicted. The Court of Appeals abrogated this requirement, permitting the trial of an accessory before the fact even if a principal has not been tried. </w:t>
            </w:r>
            <w:hyperlink r:id="rId20" w:history="1">
              <w:r>
                <w:rPr>
                  <w:rFonts w:ascii="arial" w:eastAsia="arial" w:hAnsi="arial" w:cs="arial"/>
                  <w:i/>
                  <w:color w:val="0077CC"/>
                  <w:sz w:val="20"/>
                  <w:u w:val="single"/>
                  <w:lang w:val="en-US" w:eastAsia="en-US" w:bidi="ar-SA"/>
                </w:rPr>
                <w:t>Johnson, 367 Md. at 428, 788 A.2d at 634;</w:t>
              </w:r>
            </w:hyperlink>
            <w:r>
              <w:rPr>
                <w:rFonts w:ascii="arial" w:eastAsia="arial" w:hAnsi="arial" w:cs="arial"/>
                <w:color w:val="000000"/>
                <w:sz w:val="20"/>
                <w:lang w:val="en-US" w:eastAsia="en-US" w:bidi="ar-SA"/>
              </w:rPr>
              <w:t xml:space="preserve"> </w:t>
            </w:r>
            <w:hyperlink r:id="rId27" w:history="1">
              <w:r>
                <w:rPr>
                  <w:rFonts w:ascii="arial" w:eastAsia="arial" w:hAnsi="arial" w:cs="arial"/>
                  <w:i/>
                  <w:color w:val="0077CC"/>
                  <w:sz w:val="20"/>
                  <w:u w:val="single"/>
                  <w:lang w:val="en-US" w:eastAsia="en-US" w:bidi="ar-SA"/>
                </w:rPr>
                <w:t>Lewis v. State, 285 Md. 705, 716, 404 A.2d 1073, 1079 (1979);</w:t>
              </w:r>
            </w:hyperlink>
            <w:r>
              <w:rPr>
                <w:rFonts w:ascii="arial" w:eastAsia="arial" w:hAnsi="arial" w:cs="arial"/>
                <w:color w:val="000000"/>
                <w:sz w:val="20"/>
                <w:lang w:val="en-US" w:eastAsia="en-US" w:bidi="ar-SA"/>
              </w:rPr>
              <w:t xml:space="preserve"> </w:t>
            </w:r>
            <w:hyperlink r:id="rId28" w:history="1">
              <w:r>
                <w:rPr>
                  <w:rFonts w:ascii="arial" w:eastAsia="arial" w:hAnsi="arial" w:cs="arial"/>
                  <w:i/>
                  <w:color w:val="0077CC"/>
                  <w:sz w:val="20"/>
                  <w:u w:val="single"/>
                  <w:lang w:val="en-US" w:eastAsia="en-US" w:bidi="ar-SA"/>
                </w:rPr>
                <w:t>Owens v. State, 161 Md. App. 91, 104, 867 A.2d 334, 341 (2005);</w:t>
              </w:r>
            </w:hyperlink>
            <w:r>
              <w:rPr>
                <w:rFonts w:ascii="arial" w:eastAsia="arial" w:hAnsi="arial" w:cs="arial"/>
                <w:color w:val="000000"/>
                <w:sz w:val="20"/>
                <w:lang w:val="en-US" w:eastAsia="en-US" w:bidi="ar-SA"/>
              </w:rPr>
              <w:t xml:space="preserve"> CRIMINAL PROCEDURE § 4-204(c) codifies these decisions, providing that an "accessory before the fact may be charged, tried, convicted, and sentenced for a crime regardless of whether a principal in the crime has been: (1) charged with the crime; (2) acquitted of the crime; or (3) convicted of a lesser or different crime."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The State must prove in the accessory's trial that a felony was committed, regardless of whether the accessory is tried before or after the principal. </w:t>
            </w:r>
            <w:hyperlink r:id="rId29" w:history="1">
              <w:r>
                <w:rPr>
                  <w:rFonts w:ascii="arial" w:eastAsia="arial" w:hAnsi="arial" w:cs="arial"/>
                  <w:i/>
                  <w:color w:val="0077CC"/>
                  <w:sz w:val="20"/>
                  <w:u w:val="single"/>
                  <w:lang w:val="en-US" w:eastAsia="en-US" w:bidi="ar-SA"/>
                </w:rPr>
                <w:t>State v. Williams, 397 Md. 172, 194, 916 A.2d 294, 308 (2007);</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lang w:val="en-US" w:eastAsia="en-US" w:bidi="ar-SA"/>
                </w:rPr>
                <w:t>State v. Sowell, 353 Md. 713, 728</w:t>
              </w:r>
            </w:hyperlink>
            <w:r>
              <w:rPr>
                <w:rFonts w:ascii="arial" w:eastAsia="arial" w:hAnsi="arial" w:cs="arial"/>
                <w:color w:val="000000"/>
                <w:sz w:val="20"/>
                <w:lang w:val="en-US" w:eastAsia="en-US" w:bidi="ar-SA"/>
              </w:rPr>
              <w:t xml:space="preserve"> A.2d (1999), </w:t>
            </w:r>
            <w:r>
              <w:rPr>
                <w:rFonts w:ascii="arial" w:eastAsia="arial" w:hAnsi="arial" w:cs="arial"/>
                <w:i/>
                <w:color w:val="000000"/>
                <w:sz w:val="20"/>
                <w:lang w:val="en-US" w:eastAsia="en-US" w:bidi="ar-SA"/>
              </w:rPr>
              <w:t xml:space="preserve">superseded by statute as recognized in </w:t>
            </w:r>
            <w:hyperlink r:id="rId31" w:history="1">
              <w:r>
                <w:rPr>
                  <w:rFonts w:ascii="arial" w:eastAsia="arial" w:hAnsi="arial" w:cs="arial"/>
                  <w:i/>
                  <w:color w:val="0077CC"/>
                  <w:sz w:val="20"/>
                  <w:u w:val="single"/>
                  <w:lang w:val="en-US" w:eastAsia="en-US" w:bidi="ar-SA"/>
                </w:rPr>
                <w:t>Plein v. Dep't of Labor, Licensing &amp; Regulation, 369 Md. 421, 433 n.5, 800 A.2d 757, 765 n.5 (2002);</w:t>
              </w:r>
            </w:hyperlink>
            <w:r>
              <w:rPr>
                <w:rFonts w:ascii="arial" w:eastAsia="arial" w:hAnsi="arial" w:cs="arial"/>
                <w:color w:val="000000"/>
                <w:sz w:val="20"/>
                <w:lang w:val="en-US" w:eastAsia="en-US" w:bidi="ar-SA"/>
              </w:rPr>
              <w:t xml:space="preserve"> </w:t>
            </w:r>
            <w:hyperlink r:id="rId32" w:history="1">
              <w:r>
                <w:rPr>
                  <w:rFonts w:ascii="arial" w:eastAsia="arial" w:hAnsi="arial" w:cs="arial"/>
                  <w:i/>
                  <w:color w:val="0077CC"/>
                  <w:sz w:val="20"/>
                  <w:u w:val="single"/>
                  <w:lang w:val="en-US" w:eastAsia="en-US" w:bidi="ar-SA"/>
                </w:rPr>
                <w:t>Howell v. State, 62 Md. App. 278, 286, 489 A.2d 55, 58-59,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304 Md. 46, 497 A.2d 484,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474 U.S. 996 (1985),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474 U.S. 1077 (1986).</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An accomplice who is "[a] principal in the second degree is one who is actually or constructively present when a felony is committed, and who aids or abets in its commission." </w:t>
            </w:r>
            <w:hyperlink r:id="rId33" w:history="1">
              <w:r>
                <w:rPr>
                  <w:rFonts w:ascii="arial" w:eastAsia="arial" w:hAnsi="arial" w:cs="arial"/>
                  <w:i/>
                  <w:color w:val="0077CC"/>
                  <w:sz w:val="20"/>
                  <w:u w:val="single"/>
                  <w:lang w:val="en-US" w:eastAsia="en-US" w:bidi="ar-SA"/>
                </w:rPr>
                <w:t>Pope v. State, 284 Md. 309, 326, 396 A.2d 1054, 1065 (1979).</w:t>
              </w:r>
            </w:hyperlink>
            <w:r>
              <w:rPr>
                <w:rFonts w:ascii="arial" w:eastAsia="arial" w:hAnsi="arial" w:cs="arial"/>
                <w:color w:val="000000"/>
                <w:sz w:val="20"/>
                <w:lang w:val="en-US" w:eastAsia="en-US" w:bidi="ar-SA"/>
              </w:rPr>
              <w:t xml:space="preserve"> Unlike a principal in the first degree, a principal in the second degree is not the actual perpetrator, performing the prohibited conduct [himself] [herself], or through an innocent agent, but is one who in some way participates in the commission of a felony by aiding, commanding, counseling, or encouraging the perpetrator. </w:t>
            </w:r>
            <w:hyperlink r:id="rId29" w:history="1">
              <w:r>
                <w:rPr>
                  <w:rFonts w:ascii="arial" w:eastAsia="arial" w:hAnsi="arial" w:cs="arial"/>
                  <w:i/>
                  <w:color w:val="0077CC"/>
                  <w:sz w:val="20"/>
                  <w:u w:val="single"/>
                  <w:lang w:val="en-US" w:eastAsia="en-US" w:bidi="ar-SA"/>
                </w:rPr>
                <w:t>Williams, 397 Md. at 193-94, 916 A.2d at 307;</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lang w:val="en-US" w:eastAsia="en-US" w:bidi="ar-SA"/>
                </w:rPr>
                <w:t>Sowell, 353 Md. at 718-19, 728 A.2d at 715;</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lang w:val="en-US" w:eastAsia="en-US" w:bidi="ar-SA"/>
                </w:rPr>
                <w:t>Morgan v. State, 134 Md. App. 113, 131-32, 759 A.2d 306, 315-16,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361 Md. 232, 760 A.2d 1107 (2000).</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concept of constructive presence is fairly broad and does not require one to be within viewing or hearing distance of the crime being committed in order to be a principal in the second degree. </w:t>
            </w:r>
            <w:hyperlink r:id="rId30" w:history="1">
              <w:r>
                <w:rPr>
                  <w:rFonts w:ascii="arial" w:eastAsia="arial" w:hAnsi="arial" w:cs="arial"/>
                  <w:i/>
                  <w:color w:val="0077CC"/>
                  <w:sz w:val="20"/>
                  <w:u w:val="single"/>
                  <w:lang w:val="en-US" w:eastAsia="en-US" w:bidi="ar-SA"/>
                </w:rPr>
                <w:t>Sowell, 353 Md. at 731, 728 A.2d at 721.</w:t>
              </w:r>
            </w:hyperlink>
            <w:r>
              <w:rPr>
                <w:rFonts w:ascii="arial" w:eastAsia="arial" w:hAnsi="arial" w:cs="arial"/>
                <w:color w:val="000000"/>
                <w:sz w:val="20"/>
                <w:lang w:val="en-US" w:eastAsia="en-US" w:bidi="ar-SA"/>
              </w:rPr>
              <w:t xml:space="preserve"> The test is whether the alleged principal in the second degree could render assistance to the actual perpetrator. </w:t>
            </w:r>
            <w:r>
              <w:rPr>
                <w:rFonts w:ascii="arial" w:eastAsia="arial" w:hAnsi="arial" w:cs="arial"/>
                <w:i/>
                <w:color w:val="000000"/>
                <w:sz w:val="20"/>
                <w:lang w:val="en-US" w:eastAsia="en-US" w:bidi="ar-SA"/>
              </w:rPr>
              <w:t>Id.</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As noted above, the activity of an accomplice who is a principal in the second degree is referred to as aiding and abetting. </w:t>
            </w:r>
            <w:r>
              <w:rPr>
                <w:rFonts w:ascii="arial" w:eastAsia="arial" w:hAnsi="arial" w:cs="arial"/>
                <w:i/>
                <w:color w:val="000000"/>
                <w:sz w:val="20"/>
                <w:lang w:val="en-US" w:eastAsia="en-US" w:bidi="ar-SA"/>
              </w:rPr>
              <w:t xml:space="preserve">See </w:t>
            </w:r>
            <w:hyperlink r:id="rId25" w:history="1">
              <w:r>
                <w:rPr>
                  <w:rFonts w:ascii="arial" w:eastAsia="arial" w:hAnsi="arial" w:cs="arial"/>
                  <w:i/>
                  <w:color w:val="0077CC"/>
                  <w:sz w:val="20"/>
                  <w:u w:val="single"/>
                  <w:lang w:val="en-US" w:eastAsia="en-US" w:bidi="ar-SA"/>
                </w:rPr>
                <w:t>Sheppard, 312 Md. at 122, 538 A.2d at 774-75;</w:t>
              </w:r>
            </w:hyperlink>
            <w:r>
              <w:rPr>
                <w:rFonts w:ascii="arial" w:eastAsia="arial" w:hAnsi="arial" w:cs="arial"/>
                <w:color w:val="000000"/>
                <w:sz w:val="20"/>
                <w:lang w:val="en-US" w:eastAsia="en-US" w:bidi="ar-SA"/>
              </w:rPr>
              <w:t xml:space="preserve"> LAFAVE,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13.3, at 703-04. The term aider has the same meaning that it has in common parlance. The term abettor means one who instigates, advises, or encourages the commission of a crime, even if no assistance is provided. </w:t>
            </w:r>
            <w:hyperlink r:id="rId34" w:history="1">
              <w:r>
                <w:rPr>
                  <w:rFonts w:ascii="arial" w:eastAsia="arial" w:hAnsi="arial" w:cs="arial"/>
                  <w:i/>
                  <w:color w:val="0077CC"/>
                  <w:sz w:val="20"/>
                  <w:u w:val="single"/>
                  <w:lang w:val="en-US" w:eastAsia="en-US" w:bidi="ar-SA"/>
                </w:rPr>
                <w:t>Anello v. State, 201 Md. 164, 168, 93 A.2d 71, 72-73 (1952).</w:t>
              </w:r>
            </w:hyperlink>
            <w:r>
              <w:rPr>
                <w:rFonts w:ascii="arial" w:eastAsia="arial" w:hAnsi="arial" w:cs="arial"/>
                <w:color w:val="000000"/>
                <w:sz w:val="20"/>
                <w:lang w:val="en-US" w:eastAsia="en-US" w:bidi="ar-SA"/>
              </w:rPr>
              <w:t xml:space="preserve"> Encourage means giving courage to or inspiring with courage, spirit, or hope. </w:t>
            </w:r>
            <w:hyperlink r:id="rId35" w:history="1">
              <w:r>
                <w:rPr>
                  <w:rFonts w:ascii="arial" w:eastAsia="arial" w:hAnsi="arial" w:cs="arial"/>
                  <w:i/>
                  <w:color w:val="0077CC"/>
                  <w:sz w:val="20"/>
                  <w:u w:val="single"/>
                  <w:lang w:val="en-US" w:eastAsia="en-US" w:bidi="ar-SA"/>
                </w:rPr>
                <w:t>Seward v. State, 208 Md. 341, 347, 118 A.2d 505, 507 (1955).</w:t>
              </w:r>
            </w:hyperlink>
            <w:r>
              <w:rPr>
                <w:rFonts w:ascii="arial" w:eastAsia="arial" w:hAnsi="arial" w:cs="arial"/>
                <w:color w:val="000000"/>
                <w:sz w:val="20"/>
                <w:lang w:val="en-US" w:eastAsia="en-US" w:bidi="ar-SA"/>
              </w:rPr>
              <w:t xml:space="preserve"> Counsel, command, or encouragement may be in the form of words, gestures, acts, signs, promises, threats, motions, or any conduct that unmistakably manifests a design to encourage, incite, or approve of the crime. </w:t>
            </w:r>
            <w:hyperlink r:id="rId33" w:history="1">
              <w:r>
                <w:rPr>
                  <w:rFonts w:ascii="arial" w:eastAsia="arial" w:hAnsi="arial" w:cs="arial"/>
                  <w:i/>
                  <w:color w:val="0077CC"/>
                  <w:sz w:val="20"/>
                  <w:u w:val="single"/>
                  <w:lang w:val="en-US" w:eastAsia="en-US" w:bidi="ar-SA"/>
                </w:rPr>
                <w:t>Pope, 284 Md. at 331-32, 396 A.2d at 1068.</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"To be an aider or abettor it is not essential that there be a prearranged concert of action, although, in the absence of such action, it is essential that he should in some way advocate or encourage the commission of a crime." </w:t>
            </w:r>
            <w:hyperlink r:id="rId34" w:history="1">
              <w:r>
                <w:rPr>
                  <w:rFonts w:ascii="arial" w:eastAsia="arial" w:hAnsi="arial" w:cs="arial"/>
                  <w:i/>
                  <w:color w:val="0077CC"/>
                  <w:sz w:val="20"/>
                  <w:u w:val="single"/>
                  <w:lang w:val="en-US" w:eastAsia="en-US" w:bidi="ar-SA"/>
                </w:rPr>
                <w:t>Anello, 201 Md. at 168, 93 A.2d at 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36" w:history="1">
              <w:r>
                <w:rPr>
                  <w:rFonts w:ascii="arial" w:eastAsia="arial" w:hAnsi="arial" w:cs="arial"/>
                  <w:i/>
                  <w:color w:val="0077CC"/>
                  <w:sz w:val="20"/>
                  <w:u w:val="single"/>
                  <w:lang w:val="en-US" w:eastAsia="en-US" w:bidi="ar-SA"/>
                </w:rPr>
                <w:t>Fields v. State, 172 Md. App. 496, 556-57, 916 A.2d 357, 392 (2007);</w:t>
              </w:r>
            </w:hyperlink>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lang w:val="en-US" w:eastAsia="en-US" w:bidi="ar-SA"/>
                </w:rPr>
                <w:t>Jones v. State, 132 Md. App. 657, 660-62, 753 A.2d 587, 589-90,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360 Md. 487, 759 A.2d 231 (2000).</w:t>
            </w:r>
            <w:r>
              <w:rPr>
                <w:rFonts w:ascii="arial" w:eastAsia="arial" w:hAnsi="arial" w:cs="arial"/>
                <w:color w:val="000000"/>
                <w:sz w:val="20"/>
                <w:lang w:val="en-US" w:eastAsia="en-US" w:bidi="ar-SA"/>
              </w:rPr>
              <w:t xml:space="preserve"> In the absence of actual aid, one cannot be an abettor unless his or her approval is manifested by word or act, said or done in a way that operated on the mind of the principal in the first degree. One who stands by for the purpose of aiding the perpetrator "if necessary" is guilty of being a principal in the second degree only if the principal in the first degree is aware of this purpose. </w:t>
            </w:r>
            <w:hyperlink r:id="rId33" w:history="1">
              <w:r>
                <w:rPr>
                  <w:rFonts w:ascii="arial" w:eastAsia="arial" w:hAnsi="arial" w:cs="arial"/>
                  <w:i/>
                  <w:color w:val="0077CC"/>
                  <w:sz w:val="20"/>
                  <w:u w:val="single"/>
                  <w:lang w:val="en-US" w:eastAsia="en-US" w:bidi="ar-SA"/>
                </w:rPr>
                <w:t>Pope, 284 Md. at 331-32, 396 A.2d at 1068.</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The accomplice, whether a principal in the second degree or an accessory, must possess criminal intent. CLARK &amp; MARSHALL,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8.02, at 507-13. Aid or encouragement will not make the accomplice guilty unless she or he knew or had reason to know of the intent of the principal in the first degree and shared it. When specific intent is a necessary element of a particular crime, one cannot be a principal in the second degree for that crime unless such person entertained the requisite intent, or knew that the principal in the first degree entertained such intent. </w:t>
            </w:r>
            <w:hyperlink r:id="rId29" w:history="1">
              <w:r>
                <w:rPr>
                  <w:rFonts w:ascii="arial" w:eastAsia="arial" w:hAnsi="arial" w:cs="arial"/>
                  <w:i/>
                  <w:color w:val="0077CC"/>
                  <w:sz w:val="20"/>
                  <w:u w:val="single"/>
                  <w:lang w:val="en-US" w:eastAsia="en-US" w:bidi="ar-SA"/>
                </w:rPr>
                <w:t>Williams, 397 Md. at 194, 916 A.2d at 308.</w:t>
              </w:r>
            </w:hyperlink>
            <w:r>
              <w:rPr>
                <w:rFonts w:ascii="arial" w:eastAsia="arial" w:hAnsi="arial" w:cs="arial"/>
                <w:color w:val="000000"/>
                <w:sz w:val="20"/>
                <w:lang w:val="en-US" w:eastAsia="en-US" w:bidi="ar-SA"/>
              </w:rPr>
              <w:t xml:space="preserve"> That intent "includes not only the purpose in mind but also such results as are known to be substantially certain to follow." </w:t>
            </w:r>
            <w:hyperlink r:id="rId33" w:history="1">
              <w:r>
                <w:rPr>
                  <w:rFonts w:ascii="arial" w:eastAsia="arial" w:hAnsi="arial" w:cs="arial"/>
                  <w:i/>
                  <w:color w:val="0077CC"/>
                  <w:sz w:val="20"/>
                  <w:u w:val="single"/>
                  <w:lang w:val="en-US" w:eastAsia="en-US" w:bidi="ar-SA"/>
                </w:rPr>
                <w:t>Pope, 284 Md. at 332, 396 A.2d at 1068.</w:t>
              </w:r>
            </w:hyperlink>
            <w:r>
              <w:rPr>
                <w:rFonts w:ascii="arial" w:eastAsia="arial" w:hAnsi="arial" w:cs="arial"/>
                <w:color w:val="000000"/>
                <w:sz w:val="20"/>
                <w:lang w:val="en-US" w:eastAsia="en-US" w:bidi="ar-SA"/>
              </w:rPr>
              <w:t xml:space="preserve"> The mens rea for each and every principal and accessory "floats free" and must be determined separately for each. </w:t>
            </w:r>
            <w:hyperlink r:id="rId38" w:history="1">
              <w:r>
                <w:rPr>
                  <w:rFonts w:ascii="arial" w:eastAsia="arial" w:hAnsi="arial" w:cs="arial"/>
                  <w:i/>
                  <w:color w:val="0077CC"/>
                  <w:sz w:val="20"/>
                  <w:u w:val="single"/>
                  <w:lang w:val="en-US" w:eastAsia="en-US" w:bidi="ar-SA"/>
                </w:rPr>
                <w:t>Harvey v. State, 111 Md. App. 401, 681 A.2d 628,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344 Md. 330, 686 A.2d 635 (1996).</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An accomplice's liability extends not only to the planned or principal offense, but to all other crimes incidental thereto, if done in furtherance of the commission of the offense and the escape therefrom. </w:t>
            </w:r>
            <w:r>
              <w:rPr>
                <w:rFonts w:ascii="arial" w:eastAsia="arial" w:hAnsi="arial" w:cs="arial"/>
                <w:i/>
                <w:color w:val="000000"/>
                <w:sz w:val="20"/>
                <w:lang w:val="en-US" w:eastAsia="en-US" w:bidi="ar-SA"/>
              </w:rPr>
              <w:t xml:space="preserve">See </w:t>
            </w:r>
            <w:hyperlink r:id="rId22" w:history="1">
              <w:r>
                <w:rPr>
                  <w:rFonts w:ascii="arial" w:eastAsia="arial" w:hAnsi="arial" w:cs="arial"/>
                  <w:i/>
                  <w:color w:val="0077CC"/>
                  <w:sz w:val="20"/>
                  <w:u w:val="single"/>
                  <w:lang w:val="en-US" w:eastAsia="en-US" w:bidi="ar-SA"/>
                </w:rPr>
                <w:t>Grandison v. State, 305 Md. 685, 703, 506 A.2d 580, 589,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479 U.S. 873 (1986),</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498 U.S. 943 (1990).</w:t>
            </w:r>
            <w:r>
              <w:rPr>
                <w:rFonts w:ascii="arial" w:eastAsia="arial" w:hAnsi="arial" w:cs="arial"/>
                <w:color w:val="000000"/>
                <w:sz w:val="20"/>
                <w:lang w:val="en-US" w:eastAsia="en-US" w:bidi="ar-SA"/>
              </w:rPr>
              <w:t xml:space="preserve"> Thus, when an actor aids and abets in the main thrust of the criminal design, it is not necessary that she or he aid and abet in the consequential crimes in order to be responsible for them. </w:t>
            </w:r>
            <w:hyperlink r:id="rId25" w:history="1">
              <w:r>
                <w:rPr>
                  <w:rFonts w:ascii="arial" w:eastAsia="arial" w:hAnsi="arial" w:cs="arial"/>
                  <w:i/>
                  <w:color w:val="0077CC"/>
                  <w:sz w:val="20"/>
                  <w:u w:val="single"/>
                  <w:lang w:val="en-US" w:eastAsia="en-US" w:bidi="ar-SA"/>
                </w:rPr>
                <w:t>Sheppard, 312 Md. at 123, 538 A.2d at 775.</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Sheppard</w:t>
            </w:r>
            <w:r>
              <w:rPr>
                <w:rFonts w:ascii="arial" w:eastAsia="arial" w:hAnsi="arial" w:cs="arial"/>
                <w:color w:val="000000"/>
                <w:sz w:val="20"/>
                <w:lang w:val="en-US" w:eastAsia="en-US" w:bidi="ar-SA"/>
              </w:rPr>
              <w:t xml:space="preserve">, the court said: "In order to establish complicity for the other crime committed during the course of the criminal episode, the State must prove that the accused participated in the principal offense either as a principal in the first degree (perpetrator), a principal in the second degree (aider and abettor), or as an accessory before the fact (inciter) and, in addition, the State must establish that the charged offense was done in furtherance of the commission of the principal offense or the escape therefrom." </w:t>
            </w:r>
            <w:hyperlink r:id="rId25" w:history="1">
              <w:r>
                <w:rPr>
                  <w:rFonts w:ascii="arial" w:eastAsia="arial" w:hAnsi="arial" w:cs="arial"/>
                  <w:i/>
                  <w:color w:val="0077CC"/>
                  <w:sz w:val="20"/>
                  <w:u w:val="single"/>
                  <w:lang w:val="en-US" w:eastAsia="en-US" w:bidi="ar-SA"/>
                </w:rPr>
                <w:t>Id. at 122-23, 538 A.2d at 775;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accord, </w:t>
            </w:r>
            <w:hyperlink r:id="rId39" w:history="1">
              <w:r>
                <w:rPr>
                  <w:rFonts w:ascii="arial" w:eastAsia="arial" w:hAnsi="arial" w:cs="arial"/>
                  <w:i/>
                  <w:color w:val="0077CC"/>
                  <w:sz w:val="20"/>
                  <w:u w:val="single"/>
                  <w:lang w:val="en-US" w:eastAsia="en-US" w:bidi="ar-SA"/>
                </w:rPr>
                <w:t>Diggs &amp; Allen v. State, 213 Md. App. 28, 73 A.3d 306,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granted on other grounds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436 Md. 327, 81 A.3d 457 (2013).</w:t>
            </w:r>
            <w:r>
              <w:rPr>
                <w:rFonts w:ascii="arial" w:eastAsia="arial" w:hAnsi="arial" w:cs="arial"/>
                <w:color w:val="000000"/>
                <w:sz w:val="20"/>
                <w:lang w:val="en-US" w:eastAsia="en-US" w:bidi="ar-SA"/>
              </w:rPr>
              <w:t xml:space="preserve"> The key limitation on accomplice liability for secondary or incidental crimes is the requirement that they must be "in furtherance of" the principal crime. Although there is language in some earlier Maryland appellate decisions that suggests the "in furtherance" test is satisfied if the secondary or incidental crime was "foreseeable" or the "natural and probable consequence" of the principal crime, </w:t>
            </w:r>
            <w:r>
              <w:rPr>
                <w:rFonts w:ascii="arial" w:eastAsia="arial" w:hAnsi="arial" w:cs="arial"/>
                <w:i/>
                <w:color w:val="000000"/>
                <w:sz w:val="20"/>
                <w:lang w:val="en-US" w:eastAsia="en-US" w:bidi="ar-SA"/>
              </w:rPr>
              <w:t xml:space="preserve">see, e.g., </w:t>
            </w:r>
            <w:hyperlink r:id="rId40" w:history="1">
              <w:r>
                <w:rPr>
                  <w:rFonts w:ascii="arial" w:eastAsia="arial" w:hAnsi="arial" w:cs="arial"/>
                  <w:i/>
                  <w:color w:val="0077CC"/>
                  <w:sz w:val="20"/>
                  <w:u w:val="single"/>
                  <w:lang w:val="en-US" w:eastAsia="en-US" w:bidi="ar-SA"/>
                </w:rPr>
                <w:t>Fabian v. State, 235 Md. 306, 317, 201 A.2d 511, 517 (1964),</w:t>
              </w:r>
            </w:hyperlink>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Sheppard</w:t>
            </w:r>
            <w:r>
              <w:rPr>
                <w:rFonts w:ascii="arial" w:eastAsia="arial" w:hAnsi="arial" w:cs="arial"/>
                <w:color w:val="000000"/>
                <w:sz w:val="20"/>
                <w:lang w:val="en-US" w:eastAsia="en-US" w:bidi="ar-SA"/>
              </w:rPr>
              <w:t xml:space="preserve"> rejected both of these tests, saying:</w:t>
            </w:r>
          </w:p>
          <w:p>
            <w:pPr>
              <w:spacing w:before="60" w:line="260" w:lineRule="atLeast"/>
              <w:ind w:left="460" w:right="360"/>
              <w:jc w:val="both"/>
              <w:rPr>
                <w:lang w:val="en-US" w:eastAsia="en-US" w:bidi="ar-SA"/>
              </w:rPr>
            </w:pPr>
            <w:r>
              <w:rPr>
                <w:rFonts w:ascii="arial" w:eastAsia="arial" w:hAnsi="arial" w:cs="arial"/>
                <w:color w:val="000000"/>
                <w:sz w:val="20"/>
                <w:lang w:val="en-US" w:eastAsia="en-US" w:bidi="ar-SA"/>
              </w:rPr>
              <w:t>The "natural and probable consequences" language has been disapproved by Professors LaFave &amp; Scott and by the authors of the Model Penal Code. W. LaFave &amp; A. Scott, Jr., Substantive Criminal Law § 6.8(b) (1986); Model Penal Code § 2.06 (1985) and accompanying commentary. See also Maryland Proposed Criminal Code § 20.00 (1972). As stated in the Model Penal Code § 2.06 at 312 n.42:</w:t>
            </w:r>
          </w:p>
          <w:p>
            <w:pPr>
              <w:spacing w:before="60" w:line="260" w:lineRule="atLeast"/>
              <w:ind w:left="860" w:right="360"/>
              <w:jc w:val="both"/>
              <w:rPr>
                <w:lang w:val="en-US" w:eastAsia="en-US" w:bidi="ar-SA"/>
              </w:rPr>
            </w:pPr>
            <w:r>
              <w:rPr>
                <w:rFonts w:ascii="arial" w:eastAsia="arial" w:hAnsi="arial" w:cs="arial"/>
                <w:color w:val="000000"/>
                <w:sz w:val="20"/>
                <w:lang w:val="en-US" w:eastAsia="en-US" w:bidi="ar-SA"/>
              </w:rPr>
              <w:t>"To say that the accomplice is liable if the offense committed is 'reasonably foreseeable' or the 'probable consequence' of another crime is to make him liable for negligence, even though more is required in order to convict the principal actor. This is both incongruous and unjust; if anything the culpability level of the accomplice should be higher than that of the principal actor, because there is generally more ambiguity in the overt conduct engaged in by the accomplice, and thus a higher risk of convicting the innocent."</w:t>
            </w:r>
          </w:p>
          <w:p>
            <w:pPr>
              <w:spacing w:before="240" w:line="260" w:lineRule="atLeast"/>
              <w:ind w:left="460" w:right="360"/>
              <w:jc w:val="both"/>
              <w:rPr>
                <w:lang w:val="en-US" w:eastAsia="en-US" w:bidi="ar-SA"/>
              </w:rPr>
            </w:pPr>
            <w:r>
              <w:rPr>
                <w:rFonts w:ascii="arial" w:eastAsia="arial" w:hAnsi="arial" w:cs="arial"/>
                <w:color w:val="000000"/>
                <w:sz w:val="20"/>
                <w:lang w:val="en-US" w:eastAsia="en-US" w:bidi="ar-SA"/>
              </w:rPr>
              <w:t xml:space="preserve">While we disagree that the natural and probable consequence rule predicates liability on a negligence mens rea, we do agree that tort standards of foreseeability have no place in criminal complicity law. Thus, consistent with the rules of complicity in conspiracy law and under the felony murder doctrine, we prefer the language "in furtherance of the commission of the offense and the escape therefrom." </w:t>
            </w:r>
            <w:r>
              <w:rPr>
                <w:rFonts w:ascii="arial" w:eastAsia="arial" w:hAnsi="arial" w:cs="arial"/>
                <w:i/>
                <w:color w:val="000000"/>
                <w:sz w:val="20"/>
                <w:lang w:val="en-US" w:eastAsia="en-US" w:bidi="ar-SA"/>
              </w:rPr>
              <w:t xml:space="preserve">See </w:t>
            </w:r>
            <w:hyperlink r:id="rId41" w:history="1">
              <w:r>
                <w:rPr>
                  <w:rFonts w:ascii="arial" w:eastAsia="arial" w:hAnsi="arial" w:cs="arial"/>
                  <w:i/>
                  <w:color w:val="0077CC"/>
                  <w:sz w:val="20"/>
                  <w:u w:val="single"/>
                  <w:lang w:val="en-US" w:eastAsia="en-US" w:bidi="ar-SA"/>
                </w:rPr>
                <w:t>Campbell v. State, 293 Md. 438, 444 A.2d 1034 (1982)</w:t>
              </w:r>
            </w:hyperlink>
            <w:r>
              <w:rPr>
                <w:rFonts w:ascii="arial" w:eastAsia="arial" w:hAnsi="arial" w:cs="arial"/>
                <w:color w:val="000000"/>
                <w:sz w:val="20"/>
                <w:lang w:val="en-US" w:eastAsia="en-US" w:bidi="ar-SA"/>
              </w:rPr>
              <w:t xml:space="preserve"> (felony murder); W. Clark &amp; W. Marshall, Law of Crimes § 9.00 (1958) (conspiracy); R. Perkins &amp; R. Boyce, Criminal Law Ch. 6 § 5(F) (3d ed. 1982) (same).</w:t>
            </w:r>
          </w:p>
          <w:p>
            <w:pPr>
              <w:spacing w:before="240" w:line="260" w:lineRule="atLeast"/>
              <w:ind w:left="60" w:right="360"/>
              <w:jc w:val="both"/>
              <w:rPr>
                <w:lang w:val="en-US" w:eastAsia="en-US" w:bidi="ar-SA"/>
              </w:rPr>
            </w:pPr>
            <w:hyperlink r:id="rId25" w:history="1">
              <w:r>
                <w:rPr>
                  <w:rFonts w:ascii="arial" w:eastAsia="arial" w:hAnsi="arial" w:cs="arial"/>
                  <w:i/>
                  <w:color w:val="0077CC"/>
                  <w:sz w:val="20"/>
                  <w:u w:val="single"/>
                  <w:lang w:val="en-US" w:eastAsia="en-US" w:bidi="ar-SA"/>
                </w:rPr>
                <w:t>Sheppard, 312 Md. at 123 n.3, 538 A.2d at 775 n.3.</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Thus, the test is whether the secondary or incidental crime furthers the principal crime in some way or was committed during an escape from the principal crime.</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abettor's sudden flight, arrest, or other immobilization prior to the completion of the transaction does not terminate criminal responsibility. </w:t>
            </w:r>
            <w:hyperlink r:id="rId25" w:history="1">
              <w:r>
                <w:rPr>
                  <w:rFonts w:ascii="arial" w:eastAsia="arial" w:hAnsi="arial" w:cs="arial"/>
                  <w:i/>
                  <w:color w:val="0077CC"/>
                  <w:sz w:val="20"/>
                  <w:u w:val="single"/>
                  <w:lang w:val="en-US" w:eastAsia="en-US" w:bidi="ar-SA"/>
                </w:rPr>
                <w:t>Id. at 123-25, 538 A.2d at 776</w:t>
              </w:r>
            </w:hyperlink>
            <w:r>
              <w:rPr>
                <w:rFonts w:ascii="arial" w:eastAsia="arial" w:hAnsi="arial" w:cs="arial"/>
                <w:color w:val="000000"/>
                <w:sz w:val="20"/>
                <w:lang w:val="en-US" w:eastAsia="en-US" w:bidi="ar-SA"/>
              </w:rPr>
              <w:t xml:space="preserve"> ("arrest was involuntary withdrawal from criminal enterprise and ineffective to terminate accomplice liability"); </w:t>
            </w:r>
            <w:r>
              <w:rPr>
                <w:rFonts w:ascii="arial" w:eastAsia="arial" w:hAnsi="arial" w:cs="arial"/>
                <w:i/>
                <w:color w:val="000000"/>
                <w:sz w:val="20"/>
                <w:lang w:val="en-US" w:eastAsia="en-US" w:bidi="ar-SA"/>
              </w:rPr>
              <w:t xml:space="preserve">see </w:t>
            </w:r>
            <w:hyperlink r:id="rId42" w:history="1">
              <w:r>
                <w:rPr>
                  <w:rFonts w:ascii="arial" w:eastAsia="arial" w:hAnsi="arial" w:cs="arial"/>
                  <w:i/>
                  <w:color w:val="0077CC"/>
                  <w:sz w:val="20"/>
                  <w:u w:val="single"/>
                  <w:lang w:val="en-US" w:eastAsia="en-US" w:bidi="ar-SA"/>
                </w:rPr>
                <w:t>Jeter v. State, 9 Md. App. 575, 581, 267 A.2d 319, 323 (1970),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aff'd</w:t>
            </w:r>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lang w:val="en-US" w:eastAsia="en-US" w:bidi="ar-SA"/>
                </w:rPr>
                <w:t>261 Md. 221, 274 A.2d 337 (1971).</w:t>
              </w:r>
            </w:hyperlink>
            <w:r>
              <w:rPr>
                <w:rFonts w:ascii="arial" w:eastAsia="arial" w:hAnsi="arial" w:cs="arial"/>
                <w:color w:val="000000"/>
                <w:sz w:val="20"/>
                <w:lang w:val="en-US" w:eastAsia="en-US" w:bidi="ar-SA"/>
              </w:rPr>
              <w:t xml:space="preserve"> "A mere change of heart, flight from the crime scene, apprehension by the police, or an uncommunicated decision not to carry out his part of the scheme" is not sufficient to allow an aider or abettor to escape liability and withdraw from a crime. </w:t>
            </w:r>
            <w:hyperlink r:id="rId44" w:history="1">
              <w:r>
                <w:rPr>
                  <w:rFonts w:ascii="arial" w:eastAsia="arial" w:hAnsi="arial" w:cs="arial"/>
                  <w:i/>
                  <w:color w:val="0077CC"/>
                  <w:sz w:val="20"/>
                  <w:u w:val="single"/>
                  <w:lang w:val="en-US" w:eastAsia="en-US" w:bidi="ar-SA"/>
                </w:rPr>
                <w:t>McMillan v. State, 181 Md. App. 298, 341, 956 A.2d 716, 741 (2008).</w:t>
              </w:r>
            </w:hyperlink>
            <w:r>
              <w:rPr>
                <w:rFonts w:ascii="arial" w:eastAsia="arial" w:hAnsi="arial" w:cs="arial"/>
                <w:color w:val="000000"/>
                <w:sz w:val="20"/>
                <w:lang w:val="en-US" w:eastAsia="en-US" w:bidi="ar-SA"/>
              </w:rPr>
              <w:t xml:space="preserve"> To effectively withdraw from the crime, it is necessary that the accomplice (1) repudiate his prior aid, or (2) make all attempts to countermand prior aid or counsel, and (3) do such before the chain of events becomes unstoppable. </w:t>
            </w:r>
            <w:r>
              <w:rPr>
                <w:rFonts w:ascii="arial" w:eastAsia="arial" w:hAnsi="arial" w:cs="arial"/>
                <w:i/>
                <w:color w:val="000000"/>
                <w:sz w:val="20"/>
                <w:lang w:val="en-US" w:eastAsia="en-US" w:bidi="ar-SA"/>
              </w:rPr>
              <w:t>Id.</w:t>
            </w:r>
            <w:r>
              <w:rPr>
                <w:rFonts w:ascii="arial" w:eastAsia="arial" w:hAnsi="arial" w:cs="arial"/>
                <w:color w:val="000000"/>
                <w:sz w:val="20"/>
                <w:lang w:val="en-US" w:eastAsia="en-US" w:bidi="ar-SA"/>
              </w:rPr>
              <w:t xml:space="preserve"> A person can be factually guilty of being a principal in the second degree, as well as an accessory after the fact. </w:t>
            </w:r>
            <w:hyperlink r:id="rId45" w:history="1">
              <w:r>
                <w:rPr>
                  <w:rFonts w:ascii="arial" w:eastAsia="arial" w:hAnsi="arial" w:cs="arial"/>
                  <w:i/>
                  <w:color w:val="0077CC"/>
                  <w:sz w:val="20"/>
                  <w:u w:val="single"/>
                  <w:lang w:val="en-US" w:eastAsia="en-US" w:bidi="ar-SA"/>
                </w:rPr>
                <w:t>Butler v. State, 335 Md. 238, 256, 643 A.2d 389, 397 (1994).</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There must be some circumstance other than mere presence at the crime scene to establish guilt, </w:t>
            </w:r>
            <w:hyperlink r:id="rId46" w:history="1">
              <w:r>
                <w:rPr>
                  <w:rFonts w:ascii="arial" w:eastAsia="arial" w:hAnsi="arial" w:cs="arial"/>
                  <w:i/>
                  <w:color w:val="0077CC"/>
                  <w:sz w:val="20"/>
                  <w:u w:val="single"/>
                  <w:lang w:val="en-US" w:eastAsia="en-US" w:bidi="ar-SA"/>
                </w:rPr>
                <w:t>In re Appeal No. 504, Sept. Term, 1974, 24 Md. App. 715, 724, 332 A.2d 698, 704 (1975),</w:t>
              </w:r>
            </w:hyperlink>
            <w:r>
              <w:rPr>
                <w:rFonts w:ascii="arial" w:eastAsia="arial" w:hAnsi="arial" w:cs="arial"/>
                <w:color w:val="000000"/>
                <w:sz w:val="20"/>
                <w:lang w:val="en-US" w:eastAsia="en-US" w:bidi="ar-SA"/>
              </w:rPr>
              <w:t xml:space="preserve"> particularly when presence is nonexclusive, expected, and authorized. </w:t>
            </w:r>
            <w:hyperlink r:id="rId47" w:history="1">
              <w:r>
                <w:rPr>
                  <w:rFonts w:ascii="arial" w:eastAsia="arial" w:hAnsi="arial" w:cs="arial"/>
                  <w:i/>
                  <w:color w:val="0077CC"/>
                  <w:sz w:val="20"/>
                  <w:u w:val="single"/>
                  <w:lang w:val="en-US" w:eastAsia="en-US" w:bidi="ar-SA"/>
                </w:rPr>
                <w:t>Wilson v. State, 319 Md. 530, 537-38, 573 A.2d 831, 834-35 (1990);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48" w:history="1">
              <w:r>
                <w:rPr>
                  <w:rFonts w:ascii="arial" w:eastAsia="arial" w:hAnsi="arial" w:cs="arial"/>
                  <w:i/>
                  <w:color w:val="0077CC"/>
                  <w:sz w:val="20"/>
                  <w:u w:val="single"/>
                  <w:lang w:val="en-US" w:eastAsia="en-US" w:bidi="ar-SA"/>
                </w:rPr>
                <w:t>Warfield v. State, 315 Md. 474, 554 A.2d 1238 (1989)</w:t>
              </w:r>
            </w:hyperlink>
            <w:r>
              <w:rPr>
                <w:rFonts w:ascii="arial" w:eastAsia="arial" w:hAnsi="arial" w:cs="arial"/>
                <w:color w:val="000000"/>
                <w:sz w:val="20"/>
                <w:lang w:val="en-US" w:eastAsia="en-US" w:bidi="ar-SA"/>
              </w:rPr>
              <w:t xml:space="preserve"> (presence insufficient when others had opportunity to steal and defendant had reasonable explanation for presence). Even presence, accompanied by awareness that a crime is being committed, and a failure to notify the police or to object to the crime, is insufficient for guilt. </w:t>
            </w:r>
            <w:hyperlink r:id="rId32" w:history="1">
              <w:r>
                <w:rPr>
                  <w:rFonts w:ascii="arial" w:eastAsia="arial" w:hAnsi="arial" w:cs="arial"/>
                  <w:i/>
                  <w:color w:val="0077CC"/>
                  <w:sz w:val="20"/>
                  <w:u w:val="single"/>
                  <w:lang w:val="en-US" w:eastAsia="en-US" w:bidi="ar-SA"/>
                </w:rPr>
                <w:t>Howell v. State, 62 Md. App. at 287-88, 489 A.2d at 59;</w:t>
              </w:r>
            </w:hyperlink>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lang w:val="en-US" w:eastAsia="en-US" w:bidi="ar-SA"/>
                </w:rPr>
                <w:t>Coleman v. State, 4 Md. App. 386, 390, 243 A.2d 24, 27 (1968),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252 Md. 730 (1969).</w:t>
            </w:r>
            <w:r>
              <w:rPr>
                <w:rFonts w:ascii="arial" w:eastAsia="arial" w:hAnsi="arial" w:cs="arial"/>
                <w:color w:val="000000"/>
                <w:sz w:val="20"/>
                <w:lang w:val="en-US" w:eastAsia="en-US" w:bidi="ar-SA"/>
              </w:rPr>
              <w:t xml:space="preserve"> Knowledge is not enough. Neither the secret acquiescence in, nor the approval of, the crime by a bystander establishes guilt. </w:t>
            </w:r>
            <w:hyperlink r:id="rId33" w:history="1">
              <w:r>
                <w:rPr>
                  <w:rFonts w:ascii="arial" w:eastAsia="arial" w:hAnsi="arial" w:cs="arial"/>
                  <w:i/>
                  <w:color w:val="0077CC"/>
                  <w:sz w:val="20"/>
                  <w:u w:val="single"/>
                  <w:lang w:val="en-US" w:eastAsia="en-US" w:bidi="ar-SA"/>
                </w:rPr>
                <w:t>Pope, 284 Md. at 331, 396 A.2d at 1068.</w:t>
              </w:r>
            </w:hyperlink>
            <w:r>
              <w:rPr>
                <w:rFonts w:ascii="arial" w:eastAsia="arial" w:hAnsi="arial" w:cs="arial"/>
                <w:color w:val="000000"/>
                <w:sz w:val="20"/>
                <w:lang w:val="en-US" w:eastAsia="en-US" w:bidi="ar-SA"/>
              </w:rPr>
              <w:t xml:space="preserve"> Similarly, the defendant's flight from the scene is insufficient, by itself, to establish guilt, </w:t>
            </w:r>
            <w:hyperlink r:id="rId50" w:history="1">
              <w:r>
                <w:rPr>
                  <w:rFonts w:ascii="arial" w:eastAsia="arial" w:hAnsi="arial" w:cs="arial"/>
                  <w:i/>
                  <w:color w:val="0077CC"/>
                  <w:sz w:val="20"/>
                  <w:u w:val="single"/>
                  <w:lang w:val="en-US" w:eastAsia="en-US" w:bidi="ar-SA"/>
                </w:rPr>
                <w:t>Derricks v. State, 9 Md. App. 261, 269, 263 A.2d 597, 601 (1970),</w:t>
              </w:r>
            </w:hyperlink>
            <w:r>
              <w:rPr>
                <w:rFonts w:ascii="arial" w:eastAsia="arial" w:hAnsi="arial" w:cs="arial"/>
                <w:color w:val="000000"/>
                <w:sz w:val="20"/>
                <w:lang w:val="en-US" w:eastAsia="en-US" w:bidi="ar-SA"/>
              </w:rPr>
              <w:t xml:space="preserve"> although, conversely, the absence of flight will not preclude a conviction. </w:t>
            </w:r>
            <w:hyperlink r:id="rId51" w:history="1">
              <w:r>
                <w:rPr>
                  <w:rFonts w:ascii="arial" w:eastAsia="arial" w:hAnsi="arial" w:cs="arial"/>
                  <w:i/>
                  <w:color w:val="0077CC"/>
                  <w:sz w:val="20"/>
                  <w:u w:val="single"/>
                  <w:lang w:val="en-US" w:eastAsia="en-US" w:bidi="ar-SA"/>
                </w:rPr>
                <w:t>Barnette v. State, 5 Md. App. 5, 8, 245 A.2d 104, 105 (1968).</w:t>
              </w:r>
            </w:hyperlink>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 xml:space="preserve">Although presence or flight alone is insufficient to establish guilt, these are factors in determining guilt. </w:t>
            </w:r>
            <w:hyperlink r:id="rId52" w:history="1">
              <w:r>
                <w:rPr>
                  <w:rFonts w:ascii="arial" w:eastAsia="arial" w:hAnsi="arial" w:cs="arial"/>
                  <w:i/>
                  <w:color w:val="0077CC"/>
                  <w:sz w:val="20"/>
                  <w:u w:val="single"/>
                  <w:lang w:val="en-US" w:eastAsia="en-US" w:bidi="ar-SA"/>
                </w:rPr>
                <w:t>Tasco v. State, 223 Md. 503, 165 A.2d 456,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365 U.S. 885 (1961);</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lang w:val="en-US" w:eastAsia="en-US" w:bidi="ar-SA"/>
                </w:rPr>
                <w:t>Pettis v. State, 2 Md. App. 651, 236 A.2d 429,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lang w:val="en-US" w:eastAsia="en-US" w:bidi="ar-SA"/>
                </w:rPr>
                <w:t>249 Md. 732, 733 (1968)</w:t>
              </w:r>
            </w:hyperlink>
            <w:r>
              <w:rPr>
                <w:rFonts w:ascii="arial" w:eastAsia="arial" w:hAnsi="arial" w:cs="arial"/>
                <w:color w:val="000000"/>
                <w:sz w:val="20"/>
                <w:lang w:val="en-US" w:eastAsia="en-US" w:bidi="ar-SA"/>
              </w:rPr>
              <w:t xml:space="preserve"> (per curiam). The trier of fact is entitled to consider all attendant circumstances surrounding the presence of the accused at the scene. </w:t>
            </w:r>
            <w:hyperlink r:id="rId55" w:history="1">
              <w:r>
                <w:rPr>
                  <w:rFonts w:ascii="arial" w:eastAsia="arial" w:hAnsi="arial" w:cs="arial"/>
                  <w:i/>
                  <w:color w:val="0077CC"/>
                  <w:sz w:val="20"/>
                  <w:u w:val="single"/>
                  <w:lang w:val="en-US" w:eastAsia="en-US" w:bidi="ar-SA"/>
                </w:rPr>
                <w:t>Camphor v. State, 233 Md. 203, 196 A.2d 75 (1963)</w:t>
              </w:r>
            </w:hyperlink>
            <w:r>
              <w:rPr>
                <w:rFonts w:ascii="arial" w:eastAsia="arial" w:hAnsi="arial" w:cs="arial"/>
                <w:color w:val="000000"/>
                <w:sz w:val="20"/>
                <w:lang w:val="en-US" w:eastAsia="en-US" w:bidi="ar-SA"/>
              </w:rPr>
              <w:t xml:space="preserve"> (per curiam) (defendant distracted salesperson and signaled when coast was clear); </w:t>
            </w:r>
            <w:hyperlink r:id="rId56" w:history="1">
              <w:r>
                <w:rPr>
                  <w:rFonts w:ascii="arial" w:eastAsia="arial" w:hAnsi="arial" w:cs="arial"/>
                  <w:i/>
                  <w:color w:val="0077CC"/>
                  <w:sz w:val="20"/>
                  <w:u w:val="single"/>
                  <w:lang w:val="en-US" w:eastAsia="en-US" w:bidi="ar-SA"/>
                </w:rPr>
                <w:t>Todd v. State, 26 Md. App. 583, 585-86, 338 A.2d 350, 352</w:t>
              </w:r>
            </w:hyperlink>
            <w:r>
              <w:rPr>
                <w:rFonts w:ascii="arial" w:eastAsia="arial" w:hAnsi="arial" w:cs="arial"/>
                <w:color w:val="000000"/>
                <w:sz w:val="20"/>
                <w:lang w:val="en-US" w:eastAsia="en-US" w:bidi="ar-SA"/>
              </w:rPr>
              <w:t xml:space="preserve"> (defendant kicked the victim and then watched cohorts kill her),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275 Md. 753, 276 Md. 752 (1975);</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lang w:val="en-US" w:eastAsia="en-US" w:bidi="ar-SA"/>
                </w:rPr>
                <w:t>Hernandez v. State, 7 Md. App. 355, 366-68, 255 A.2d 449, 456-57 (1969)</w:t>
              </w:r>
            </w:hyperlink>
            <w:r>
              <w:rPr>
                <w:rFonts w:ascii="arial" w:eastAsia="arial" w:hAnsi="arial" w:cs="arial"/>
                <w:color w:val="000000"/>
                <w:sz w:val="20"/>
                <w:lang w:val="en-US" w:eastAsia="en-US" w:bidi="ar-SA"/>
              </w:rPr>
              <w:t xml:space="preserve"> (possession of stolen goods permitted inference of accessory to robbery); </w:t>
            </w:r>
            <w:hyperlink r:id="rId49" w:history="1">
              <w:r>
                <w:rPr>
                  <w:rFonts w:ascii="arial" w:eastAsia="arial" w:hAnsi="arial" w:cs="arial"/>
                  <w:i/>
                  <w:color w:val="0077CC"/>
                  <w:sz w:val="20"/>
                  <w:u w:val="single"/>
                  <w:lang w:val="en-US" w:eastAsia="en-US" w:bidi="ar-SA"/>
                </w:rPr>
                <w:t>Coleman, 4 Md. App. at 391-92, 243 A.2d at 28</w:t>
              </w:r>
            </w:hyperlink>
            <w:r>
              <w:rPr>
                <w:rFonts w:ascii="arial" w:eastAsia="arial" w:hAnsi="arial" w:cs="arial"/>
                <w:color w:val="000000"/>
                <w:sz w:val="20"/>
                <w:lang w:val="en-US" w:eastAsia="en-US" w:bidi="ar-SA"/>
              </w:rPr>
              <w:t xml:space="preserve"> (companionship with principals, coupled with presence, permitted inference that the defendant was a lookout); </w:t>
            </w:r>
            <w:hyperlink r:id="rId58" w:history="1">
              <w:r>
                <w:rPr>
                  <w:rFonts w:ascii="arial" w:eastAsia="arial" w:hAnsi="arial" w:cs="arial"/>
                  <w:i/>
                  <w:color w:val="0077CC"/>
                  <w:sz w:val="20"/>
                  <w:u w:val="single"/>
                  <w:lang w:val="en-US" w:eastAsia="en-US" w:bidi="ar-SA"/>
                </w:rPr>
                <w:t>Chavis v. State, 3 Md. App. 179, 238 A.2d 151 (1968)</w:t>
              </w:r>
            </w:hyperlink>
            <w:r>
              <w:rPr>
                <w:rFonts w:ascii="arial" w:eastAsia="arial" w:hAnsi="arial" w:cs="arial"/>
                <w:color w:val="000000"/>
                <w:sz w:val="20"/>
                <w:lang w:val="en-US" w:eastAsia="en-US" w:bidi="ar-SA"/>
              </w:rPr>
              <w:t xml:space="preserve"> (per curiam) (defendant seen near crowbars following storehouse breaking); </w:t>
            </w:r>
            <w:hyperlink r:id="rId59" w:history="1">
              <w:r>
                <w:rPr>
                  <w:rFonts w:ascii="arial" w:eastAsia="arial" w:hAnsi="arial" w:cs="arial"/>
                  <w:i/>
                  <w:color w:val="0077CC"/>
                  <w:sz w:val="20"/>
                  <w:u w:val="single"/>
                  <w:lang w:val="en-US" w:eastAsia="en-US" w:bidi="ar-SA"/>
                </w:rPr>
                <w:t>Willis v. State, 2 Md. App. 662, 236 A.2d 430</w:t>
              </w:r>
            </w:hyperlink>
            <w:r>
              <w:rPr>
                <w:rFonts w:ascii="arial" w:eastAsia="arial" w:hAnsi="arial" w:cs="arial"/>
                <w:color w:val="000000"/>
                <w:sz w:val="20"/>
                <w:lang w:val="en-US" w:eastAsia="en-US" w:bidi="ar-SA"/>
              </w:rPr>
              <w:t xml:space="preserve"> (defendant seen exposed in the alley near where the victim was raped by others), </w:t>
            </w:r>
            <w:r>
              <w:rPr>
                <w:rFonts w:ascii="arial" w:eastAsia="arial" w:hAnsi="arial" w:cs="arial"/>
                <w:i/>
                <w:color w:val="000000"/>
                <w:sz w:val="20"/>
                <w:lang w:val="en-US" w:eastAsia="en-US" w:bidi="ar-SA"/>
              </w:rPr>
              <w:t>cert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250 Md. 733 (1968)</w:t>
            </w:r>
            <w:r>
              <w:rPr>
                <w:rFonts w:ascii="arial" w:eastAsia="arial" w:hAnsi="arial" w:cs="arial"/>
                <w:color w:val="000000"/>
                <w:sz w:val="20"/>
                <w:lang w:val="en-US" w:eastAsia="en-US" w:bidi="ar-SA"/>
              </w:rPr>
              <w:t xml:space="preserve"> (per curiam).</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660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0"/>
          <w:headerReference w:type="default" r:id="rId61"/>
          <w:footerReference w:type="even" r:id="rId62"/>
          <w:footerReference w:type="default" r:id="rId63"/>
          <w:headerReference w:type="first" r:id="rId64"/>
          <w:footerReference w:type="first" r:id="rId65"/>
          <w:type w:val="nextPage"/>
          <w:pgSz w:w="12240" w:h="15840"/>
          <w:pgMar w:top="840" w:right="1000" w:bottom="840" w:left="1000" w:header="400" w:footer="400"/>
          <w:pgNumType w:fmt="decimal"/>
          <w:cols w:space="720"/>
          <w:titlePg/>
        </w:sectPr>
      </w:pPr>
    </w:p>
    <w:p>
      <w:pPr>
        <w:rPr>
          <w:lang w:val="en-US" w:eastAsia="en-US" w:bidi="ar-SA"/>
        </w:rPr>
      </w:pPr>
      <w:bookmarkStart w:id="1" w:name="Bookmark_2"/>
      <w:bookmarkEnd w:id="1"/>
    </w:p>
    <w:p>
      <w:pPr>
        <w:rPr>
          <w:lang w:val="en-US" w:eastAsia="en-US" w:bidi="ar-SA"/>
        </w:rPr>
      </w:pPr>
      <w:r>
        <w:pict>
          <v:shape id="_x0000_i1029" type="#_x0000_t75" alt="LexisNexis®" style="width:147.77pt;height:30pt">
            <v:imagedata r:id="rId4" o:title=""/>
          </v:shape>
        </w:pict>
      </w:r>
      <w:r>
        <w:rPr>
          <w:lang w:val="en-US" w:eastAsia="en-US" w:bidi="ar-SA"/>
        </w:rPr>
        <w:cr/>
      </w:r>
    </w:p>
    <w:p>
      <w:pPr>
        <w:spacing w:before="240" w:after="200" w:line="340" w:lineRule="atLeast"/>
        <w:jc w:val="center"/>
        <w:outlineLvl w:val="0"/>
        <w:rPr>
          <w:rFonts w:ascii="Arial" w:hAnsi="Arial" w:cs="Arial"/>
          <w:b/>
          <w:bCs/>
          <w:kern w:val="32"/>
          <w:sz w:val="32"/>
          <w:szCs w:val="32"/>
          <w:lang w:val="en-US" w:eastAsia="en-US" w:bidi="ar-SA"/>
        </w:rPr>
      </w:pPr>
      <w:hyperlink r:id="rId66" w:history="1">
        <w:r>
          <w:rPr>
            <w:rFonts w:ascii="arial" w:eastAsia="arial" w:hAnsi="arial" w:cs="arial"/>
            <w:b/>
            <w:bCs/>
            <w:i/>
            <w:color w:val="0077CC"/>
            <w:kern w:val="32"/>
            <w:sz w:val="28"/>
            <w:szCs w:val="32"/>
            <w:u w:val="single"/>
            <w:lang w:val="en-US" w:eastAsia="en-US" w:bidi="ar-SA"/>
          </w:rPr>
          <w:t>MPJI-Cr 6:01</w:t>
        </w:r>
      </w:hyperlink>
    </w:p>
    <w:p>
      <w:pPr>
        <w:spacing w:line="240" w:lineRule="atLeast"/>
        <w:jc w:val="both"/>
        <w:rPr>
          <w:lang w:val="en-US" w:eastAsia="en-US" w:bidi="ar-SA"/>
        </w:rPr>
      </w:pPr>
    </w:p>
    <w:p>
      <w:pPr>
        <w:spacing w:before="200" w:line="280" w:lineRule="atLeast"/>
        <w:rPr>
          <w:lang w:val="en-US" w:eastAsia="en-US" w:bidi="ar-SA"/>
        </w:rPr>
      </w:pPr>
      <w:r>
        <w:rPr>
          <w:rFonts w:ascii="arial" w:eastAsia="arial" w:hAnsi="arial" w:cs="arial"/>
          <w:b/>
          <w:i/>
          <w:color w:val="000000"/>
          <w:sz w:val="22"/>
          <w:lang w:val="en-US" w:eastAsia="en-US" w:bidi="ar-SA"/>
        </w:rPr>
        <w:t>Maryland Criminal Pattern Jury Instructions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CHAPTER 6 PARTIES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ACCESSORY AFTER THE FACT</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6:01Accessory After the Fact</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spacing w:before="200" w:line="260" w:lineRule="atLeast"/>
        <w:jc w:val="both"/>
        <w:rPr>
          <w:lang w:val="en-US" w:eastAsia="en-US" w:bidi="ar-SA"/>
        </w:rPr>
      </w:pPr>
      <w:r>
        <w:rPr>
          <w:rFonts w:ascii="arial" w:eastAsia="arial" w:hAnsi="arial" w:cs="arial"/>
          <w:b/>
          <w:color w:val="000000"/>
          <w:sz w:val="20"/>
          <w:lang w:val="en-US" w:eastAsia="en-US" w:bidi="ar-SA"/>
        </w:rPr>
        <w:t>An accessory after the fact is a person who, with knowledge that a crime has been committed, assists the offender with the intent to hinder or prevent the offender's arrest, prosecution, or trial. In order to convict the defendant, the State must prove</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(1) that the crime of (</w:t>
      </w:r>
      <w:r>
        <w:rPr>
          <w:rFonts w:ascii="arial" w:eastAsia="arial" w:hAnsi="arial" w:cs="arial"/>
          <w:b/>
          <w:color w:val="000000"/>
          <w:sz w:val="20"/>
          <w:u w:val="single"/>
          <w:lang w:val="en-US" w:eastAsia="en-US" w:bidi="ar-SA"/>
        </w:rPr>
        <w:t>felony</w:t>
      </w:r>
      <w:r>
        <w:rPr>
          <w:rFonts w:ascii="arial" w:eastAsia="arial" w:hAnsi="arial" w:cs="arial"/>
          <w:b/>
          <w:color w:val="000000"/>
          <w:sz w:val="20"/>
          <w:lang w:val="en-US" w:eastAsia="en-US" w:bidi="ar-SA"/>
        </w:rPr>
        <w:t>) has been committed</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(2) that the defendant knew that the crime of (</w:t>
      </w:r>
      <w:r>
        <w:rPr>
          <w:rFonts w:ascii="arial" w:eastAsia="arial" w:hAnsi="arial" w:cs="arial"/>
          <w:b/>
          <w:color w:val="000000"/>
          <w:sz w:val="20"/>
          <w:u w:val="single"/>
          <w:lang w:val="en-US" w:eastAsia="en-US" w:bidi="ar-SA"/>
        </w:rPr>
        <w:t>felony</w:t>
      </w:r>
      <w:r>
        <w:rPr>
          <w:rFonts w:ascii="arial" w:eastAsia="arial" w:hAnsi="arial" w:cs="arial"/>
          <w:b/>
          <w:color w:val="000000"/>
          <w:sz w:val="20"/>
          <w:lang w:val="en-US" w:eastAsia="en-US" w:bidi="ar-SA"/>
        </w:rPr>
        <w:t>) had been committed</w:t>
      </w:r>
      <w:r>
        <w:rPr>
          <w:rFonts w:ascii="arial" w:eastAsia="arial" w:hAnsi="arial" w:cs="arial"/>
          <w:color w:val="000000"/>
          <w:sz w:val="20"/>
          <w:lang w:val="en-US" w:eastAsia="en-US" w:bidi="ar-SA"/>
        </w:rPr>
        <w:t>;</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(3) that the defendant gave assistance to the person who committed the crime; and</w:t>
      </w:r>
    </w:p>
    <w:p>
      <w:pPr>
        <w:spacing w:before="200" w:line="260" w:lineRule="atLeast"/>
        <w:ind w:left="400"/>
        <w:jc w:val="both"/>
        <w:rPr>
          <w:lang w:val="en-US" w:eastAsia="en-US" w:bidi="ar-SA"/>
        </w:rPr>
      </w:pPr>
      <w:r>
        <w:rPr>
          <w:rFonts w:ascii="arial" w:eastAsia="arial" w:hAnsi="arial" w:cs="arial"/>
          <w:b/>
          <w:color w:val="000000"/>
          <w:sz w:val="20"/>
          <w:lang w:val="en-US" w:eastAsia="en-US" w:bidi="ar-SA"/>
        </w:rPr>
        <w:t>(4) that the defendant did so with the intent to hinder or prevent that person's arrest, prosecution, or trial</w:t>
      </w:r>
      <w:r>
        <w:rPr>
          <w:rFonts w:ascii="arial" w:eastAsia="arial" w:hAnsi="arial" w:cs="arial"/>
          <w:color w:val="000000"/>
          <w:sz w:val="20"/>
          <w:lang w:val="en-US" w:eastAsia="en-US" w:bidi="ar-SA"/>
        </w:rPr>
        <w:t>.</w:t>
      </w:r>
    </w:p>
    <w:p>
      <w:pPr>
        <w:rPr>
          <w:lang w:val="en-US" w:eastAsia="en-US" w:bidi="ar-SA"/>
        </w:rPr>
      </w:pPr>
    </w:p>
    <w:tbl>
      <w:tblPr>
        <w:tblStyle w:val="TableNormal"/>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
      <w:tblGrid>
        <w:gridCol w:w="10240"/>
      </w:tblGrid>
      <w:tr>
        <w:tblPrEx>
          <w:tblW w:w="0" w:type="auto"/>
          <w:tblInd w:w="0" w:type="dxa"/>
          <w:tblBorders>
            <w:top w:val="single" w:sz="8" w:space="0" w:color="BCBEC0"/>
            <w:left w:val="single" w:sz="8" w:space="0" w:color="BCBEC0"/>
            <w:bottom w:val="single" w:sz="8" w:space="0" w:color="BCBEC0"/>
            <w:right w:val="single" w:sz="8" w:space="0" w:color="BCBEC0"/>
            <w:insideH w:val="single" w:sz="8" w:space="0" w:color="BCBEC0"/>
            <w:insideV w:val="single" w:sz="8" w:space="0" w:color="BCBEC0"/>
          </w:tblBorders>
          <w:tblLayout w:type="fixed"/>
          <w:tblCellMar>
            <w:left w:w="108" w:type="dxa"/>
            <w:right w:w="108" w:type="dxa"/>
          </w:tblCellMar>
        </w:tblPrEx>
        <w:tc>
          <w:tcPr>
            <w:tcW w:w="10240" w:type="dxa"/>
            <w:vAlign w:val="center"/>
          </w:tcPr>
          <w:p>
            <w:pPr>
              <w:spacing w:before="240" w:line="260" w:lineRule="atLeast"/>
              <w:ind w:left="60" w:right="360"/>
              <w:rPr>
                <w:lang w:val="en-US" w:eastAsia="en-US" w:bidi="ar-SA"/>
              </w:rPr>
            </w:pPr>
            <w:r>
              <w:rPr>
                <w:rFonts w:ascii="arial" w:eastAsia="arial" w:hAnsi="arial" w:cs="arial"/>
                <w:b/>
                <w:color w:val="000000"/>
                <w:sz w:val="20"/>
                <w:lang w:val="en-US" w:eastAsia="en-US" w:bidi="ar-SA"/>
              </w:rPr>
              <w:t> </w:t>
            </w:r>
          </w:p>
          <w:p>
            <w:pPr>
              <w:spacing w:before="200" w:line="260" w:lineRule="atLeast"/>
              <w:ind w:left="60" w:right="360"/>
              <w:jc w:val="both"/>
              <w:rPr>
                <w:lang w:val="en-US" w:eastAsia="en-US" w:bidi="ar-SA"/>
              </w:rPr>
            </w:pPr>
            <w:r>
              <w:rPr>
                <w:rFonts w:ascii="arial" w:eastAsia="arial" w:hAnsi="arial" w:cs="arial"/>
                <w:color w:val="000000"/>
                <w:sz w:val="20"/>
                <w:lang w:val="en-US" w:eastAsia="en-US" w:bidi="ar-SA"/>
              </w:rPr>
              <w:t>COMMENT</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An accessory after the fact is one who, with knowledge of the guilt of a principal to a felony, renders assistance in the effort to hinder the felon's detection, arrest, trial, or punishment. MD. CODE ANN., CRIMINAL LAW I § 1-301 (2012 &amp; Supp. 2018); </w:t>
            </w:r>
            <w:hyperlink r:id="rId29" w:history="1">
              <w:r>
                <w:rPr>
                  <w:rFonts w:ascii="arial" w:eastAsia="arial" w:hAnsi="arial" w:cs="arial"/>
                  <w:i/>
                  <w:color w:val="0077CC"/>
                  <w:sz w:val="20"/>
                  <w:u w:val="single"/>
                  <w:lang w:val="en-US" w:eastAsia="en-US" w:bidi="ar-SA"/>
                </w:rPr>
                <w:t>State v. Williams, 397 Md. 172, 193, 916 A.2d 294, 307 (2007);</w:t>
              </w:r>
            </w:hyperlink>
            <w:r>
              <w:rPr>
                <w:rFonts w:ascii="arial" w:eastAsia="arial" w:hAnsi="arial" w:cs="arial"/>
                <w:color w:val="000000"/>
                <w:sz w:val="20"/>
                <w:lang w:val="en-US" w:eastAsia="en-US" w:bidi="ar-SA"/>
              </w:rPr>
              <w:t xml:space="preserve"> </w:t>
            </w:r>
            <w:hyperlink r:id="rId30" w:history="1">
              <w:r>
                <w:rPr>
                  <w:rFonts w:ascii="arial" w:eastAsia="arial" w:hAnsi="arial" w:cs="arial"/>
                  <w:i/>
                  <w:color w:val="0077CC"/>
                  <w:sz w:val="20"/>
                  <w:u w:val="single"/>
                  <w:lang w:val="en-US" w:eastAsia="en-US" w:bidi="ar-SA"/>
                </w:rPr>
                <w:t>State v. Sowell, 353 Md. 713, 718-19, 728 A.2d 712, 715 (1999),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superseded by statute as recognized in </w:t>
            </w:r>
            <w:hyperlink r:id="rId31" w:history="1">
              <w:r>
                <w:rPr>
                  <w:rFonts w:ascii="arial" w:eastAsia="arial" w:hAnsi="arial" w:cs="arial"/>
                  <w:i/>
                  <w:color w:val="0077CC"/>
                  <w:sz w:val="20"/>
                  <w:u w:val="single"/>
                  <w:lang w:val="en-US" w:eastAsia="en-US" w:bidi="ar-SA"/>
                </w:rPr>
                <w:t>Plein v. Dep't of Labor, Licensing &amp; Regulation, 369 Md. 421, 433 n.5, 800 A.2d 757, 765 n.5 (2002);</w:t>
              </w:r>
            </w:hyperlink>
            <w:r>
              <w:rPr>
                <w:rFonts w:ascii="arial" w:eastAsia="arial" w:hAnsi="arial" w:cs="arial"/>
                <w:color w:val="000000"/>
                <w:sz w:val="20"/>
                <w:lang w:val="en-US" w:eastAsia="en-US" w:bidi="ar-SA"/>
              </w:rPr>
              <w:t xml:space="preserve"> </w:t>
            </w:r>
            <w:hyperlink r:id="rId67" w:history="1">
              <w:r>
                <w:rPr>
                  <w:rFonts w:ascii="arial" w:eastAsia="arial" w:hAnsi="arial" w:cs="arial"/>
                  <w:i/>
                  <w:color w:val="0077CC"/>
                  <w:sz w:val="20"/>
                  <w:u w:val="single"/>
                  <w:lang w:val="en-US" w:eastAsia="en-US" w:bidi="ar-SA"/>
                </w:rPr>
                <w:t>State v. Ward, 284 Md. 189, 197, 396 A.2d 1041, 1047 (1978);</w:t>
              </w:r>
            </w:hyperlink>
            <w:r>
              <w:rPr>
                <w:rFonts w:ascii="arial" w:eastAsia="arial" w:hAnsi="arial" w:cs="arial"/>
                <w:color w:val="000000"/>
                <w:sz w:val="20"/>
                <w:lang w:val="en-US" w:eastAsia="en-US" w:bidi="ar-SA"/>
              </w:rPr>
              <w:t xml:space="preserve"> </w:t>
            </w:r>
            <w:hyperlink r:id="rId26" w:history="1">
              <w:r>
                <w:rPr>
                  <w:rFonts w:ascii="arial" w:eastAsia="arial" w:hAnsi="arial" w:cs="arial"/>
                  <w:i/>
                  <w:color w:val="0077CC"/>
                  <w:sz w:val="20"/>
                  <w:u w:val="single"/>
                  <w:lang w:val="en-US" w:eastAsia="en-US" w:bidi="ar-SA"/>
                </w:rPr>
                <w:t>Morgan v. State, 134 Md. App. 113, 131, 759 A.2d 306, 315-16,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361 Md. 232, 760 A.2d 1107 (2000).</w:t>
            </w:r>
            <w:r>
              <w:rPr>
                <w:rFonts w:ascii="arial" w:eastAsia="arial" w:hAnsi="arial" w:cs="arial"/>
                <w:color w:val="000000"/>
                <w:sz w:val="20"/>
                <w:lang w:val="en-US" w:eastAsia="en-US" w:bidi="ar-SA"/>
              </w:rPr>
              <w:t xml:space="preserve"> The crime aided must be a felony. There is no accessoryship to misdemeanors, for which all participants are deemed principals. </w:t>
            </w:r>
            <w:hyperlink r:id="rId68" w:history="1">
              <w:r>
                <w:rPr>
                  <w:rFonts w:ascii="arial" w:eastAsia="arial" w:hAnsi="arial" w:cs="arial"/>
                  <w:i/>
                  <w:color w:val="0077CC"/>
                  <w:sz w:val="20"/>
                  <w:u w:val="single"/>
                  <w:lang w:val="en-US" w:eastAsia="en-US" w:bidi="ar-SA"/>
                </w:rPr>
                <w:t>Novak v. State, 214 Md. 472, 478, 136 A.2d 256, 259 (1957).</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Under the common law, an accessory after the fact is not guilty of the substantive offense. </w:t>
            </w:r>
            <w:hyperlink r:id="rId69" w:history="1">
              <w:r>
                <w:rPr>
                  <w:rFonts w:ascii="arial" w:eastAsia="arial" w:hAnsi="arial" w:cs="arial"/>
                  <w:i/>
                  <w:color w:val="0077CC"/>
                  <w:sz w:val="20"/>
                  <w:u w:val="single"/>
                  <w:lang w:val="en-US" w:eastAsia="en-US" w:bidi="ar-SA"/>
                </w:rPr>
                <w:t>McClain v. State, 10 Md. App. 106, 116-17, 268 A.2d 572, 577,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259 Md. 733 (1970).</w:t>
            </w:r>
            <w:r>
              <w:rPr>
                <w:rFonts w:ascii="arial" w:eastAsia="arial" w:hAnsi="arial" w:cs="arial"/>
                <w:color w:val="000000"/>
                <w:sz w:val="20"/>
                <w:lang w:val="en-US" w:eastAsia="en-US" w:bidi="ar-SA"/>
              </w:rPr>
              <w:t xml:space="preserve"> The felony must have been committed by another and completed prior to the conduct of being an accessory after the fact. </w:t>
            </w:r>
            <w:hyperlink r:id="rId70" w:history="1">
              <w:r>
                <w:rPr>
                  <w:rFonts w:ascii="arial" w:eastAsia="arial" w:hAnsi="arial" w:cs="arial"/>
                  <w:i/>
                  <w:color w:val="0077CC"/>
                  <w:sz w:val="20"/>
                  <w:u w:val="single"/>
                  <w:lang w:val="en-US" w:eastAsia="en-US" w:bidi="ar-SA"/>
                </w:rPr>
                <w:t>Howell v. State, 56 Md. App. 675, 682, 468 A.2d 688, 691 (1983),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299 Md. 426, 474 A.2d 218,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469 U.S. 1039 (1984),</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reh'g 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469 U.S. 1182 (1985);</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w:t>
            </w:r>
            <w:hyperlink r:id="rId71" w:history="1">
              <w:r>
                <w:rPr>
                  <w:rFonts w:ascii="arial" w:eastAsia="arial" w:hAnsi="arial" w:cs="arial"/>
                  <w:i/>
                  <w:color w:val="0077CC"/>
                  <w:sz w:val="20"/>
                  <w:u w:val="single"/>
                  <w:lang w:val="en-US" w:eastAsia="en-US" w:bidi="ar-SA"/>
                </w:rPr>
                <w:t>Cooper v. State, 44 Md. App. 59, 407 A.2d 756 (1979);</w:t>
              </w:r>
            </w:hyperlink>
            <w:r>
              <w:rPr>
                <w:rFonts w:ascii="arial" w:eastAsia="arial" w:hAnsi="arial" w:cs="arial"/>
                <w:color w:val="000000"/>
                <w:sz w:val="20"/>
                <w:lang w:val="en-US" w:eastAsia="en-US" w:bidi="ar-SA"/>
              </w:rPr>
              <w:t xml:space="preserve"> </w:t>
            </w:r>
            <w:hyperlink r:id="rId72" w:history="1">
              <w:r>
                <w:rPr>
                  <w:rFonts w:ascii="arial" w:eastAsia="arial" w:hAnsi="arial" w:cs="arial"/>
                  <w:i/>
                  <w:color w:val="0077CC"/>
                  <w:sz w:val="20"/>
                  <w:u w:val="single"/>
                  <w:lang w:val="en-US" w:eastAsia="en-US" w:bidi="ar-SA"/>
                </w:rPr>
                <w:t>State v. Magliano, 7 Md. App. 286, 289, 255 A.2d 470, 472 (1969).</w:t>
              </w:r>
            </w:hyperlink>
            <w:r>
              <w:rPr>
                <w:rFonts w:ascii="arial" w:eastAsia="arial" w:hAnsi="arial" w:cs="arial"/>
                <w:color w:val="000000"/>
                <w:sz w:val="20"/>
                <w:lang w:val="en-US" w:eastAsia="en-US" w:bidi="ar-SA"/>
              </w:rPr>
              <w:t xml:space="preserve"> Thus, an accessory after the fact is not an accomplice in the commission of a crime because he or she does not become connected with the crime until after its commission. </w:t>
            </w:r>
            <w:hyperlink r:id="rId73" w:history="1">
              <w:r>
                <w:rPr>
                  <w:rFonts w:ascii="arial" w:eastAsia="arial" w:hAnsi="arial" w:cs="arial"/>
                  <w:i/>
                  <w:color w:val="0077CC"/>
                  <w:sz w:val="20"/>
                  <w:u w:val="single"/>
                  <w:lang w:val="en-US" w:eastAsia="en-US" w:bidi="ar-SA"/>
                </w:rPr>
                <w:t>Watson v. State, 208 Md. 210, 218, 117 A.2d 549, 554 (1955).</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In </w:t>
            </w:r>
            <w:hyperlink r:id="rId74" w:history="1">
              <w:r>
                <w:rPr>
                  <w:rFonts w:ascii="arial" w:eastAsia="arial" w:hAnsi="arial" w:cs="arial"/>
                  <w:i/>
                  <w:color w:val="0077CC"/>
                  <w:sz w:val="20"/>
                  <w:u w:val="single"/>
                  <w:lang w:val="en-US" w:eastAsia="en-US" w:bidi="ar-SA"/>
                </w:rPr>
                <w:t>State v. Hawkins, 326 Md. 270, 604 A.2d 489 (1992),</w:t>
              </w:r>
            </w:hyperlink>
            <w:r>
              <w:rPr>
                <w:rFonts w:ascii="arial" w:eastAsia="arial" w:hAnsi="arial" w:cs="arial"/>
                <w:color w:val="000000"/>
                <w:sz w:val="20"/>
                <w:lang w:val="en-US" w:eastAsia="en-US" w:bidi="ar-SA"/>
              </w:rPr>
              <w:t xml:space="preserve"> the Court of Appeals held that one cannot simultaneously be a principal and an accessory after the fact, but that the jury may be instructed as to both offenses, despite the inconsistency. </w:t>
            </w:r>
            <w:hyperlink r:id="rId74" w:history="1">
              <w:r>
                <w:rPr>
                  <w:rFonts w:ascii="arial" w:eastAsia="arial" w:hAnsi="arial" w:cs="arial"/>
                  <w:i/>
                  <w:color w:val="0077CC"/>
                  <w:sz w:val="20"/>
                  <w:u w:val="single"/>
                  <w:lang w:val="en-US" w:eastAsia="en-US" w:bidi="ar-SA"/>
                </w:rPr>
                <w:t>Id. at 287, 604 A.2d at 498.</w:t>
              </w:r>
            </w:hyperlink>
            <w:r>
              <w:rPr>
                <w:rFonts w:ascii="arial" w:eastAsia="arial" w:hAnsi="arial" w:cs="arial"/>
                <w:color w:val="000000"/>
                <w:sz w:val="20"/>
                <w:lang w:val="en-US" w:eastAsia="en-US" w:bidi="ar-SA"/>
              </w:rPr>
              <w:t xml:space="preserve"> If the defendant is charged both as a principal and as an accessory after the fact, and is found guilty of both, the defendant may only be sentenced for the substantive offense. </w:t>
            </w:r>
            <w:hyperlink r:id="rId74" w:history="1">
              <w:r>
                <w:rPr>
                  <w:rFonts w:ascii="arial" w:eastAsia="arial" w:hAnsi="arial" w:cs="arial"/>
                  <w:i/>
                  <w:color w:val="0077CC"/>
                  <w:sz w:val="20"/>
                  <w:u w:val="single"/>
                  <w:lang w:val="en-US" w:eastAsia="en-US" w:bidi="ar-SA"/>
                </w:rPr>
                <w:t>Id. at 290-91, 604 A.2d at 499-500.</w:t>
              </w:r>
            </w:hyperlink>
            <w:r>
              <w:rPr>
                <w:rFonts w:ascii="arial" w:eastAsia="arial" w:hAnsi="arial" w:cs="arial"/>
                <w:color w:val="000000"/>
                <w:sz w:val="20"/>
                <w:lang w:val="en-US" w:eastAsia="en-US" w:bidi="ar-SA"/>
              </w:rPr>
              <w:t xml:space="preserve"> Moreover, because accessory after the fact is not lesser included to the substantive offense, the defendant is not entitled to a jury instruction on accessory after the fact unless expressly charged as an accessory after the fact. </w:t>
            </w:r>
            <w:hyperlink r:id="rId75" w:history="1">
              <w:r>
                <w:rPr>
                  <w:rFonts w:ascii="arial" w:eastAsia="arial" w:hAnsi="arial" w:cs="arial"/>
                  <w:i/>
                  <w:color w:val="0077CC"/>
                  <w:sz w:val="20"/>
                  <w:u w:val="single"/>
                  <w:lang w:val="en-US" w:eastAsia="en-US" w:bidi="ar-SA"/>
                </w:rPr>
                <w:t>Tharp v. State, 129 Md. App. 319, 331, 742 A.2d 6, 12 (1999).</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The accessory must have knowledge that a felony has been committed. Guilty knowledge may be inferred from the surrounding circumstances. </w:t>
            </w:r>
            <w:hyperlink r:id="rId76" w:history="1">
              <w:r>
                <w:rPr>
                  <w:rFonts w:ascii="arial" w:eastAsia="arial" w:hAnsi="arial" w:cs="arial"/>
                  <w:i/>
                  <w:color w:val="0077CC"/>
                  <w:sz w:val="20"/>
                  <w:u w:val="single"/>
                  <w:lang w:val="en-US" w:eastAsia="en-US" w:bidi="ar-SA"/>
                </w:rPr>
                <w:t>Robinson v. State, 5 Md. App. 723, 728, 249 A.2d 504, 507,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cert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denied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254 Md. 719 (1969)</w:t>
            </w:r>
            <w:r>
              <w:rPr>
                <w:rFonts w:ascii="arial" w:eastAsia="arial" w:hAnsi="arial" w:cs="arial"/>
                <w:color w:val="000000"/>
                <w:sz w:val="20"/>
                <w:lang w:val="en-US" w:eastAsia="en-US" w:bidi="ar-SA"/>
              </w:rPr>
              <w:t xml:space="preserve"> (per curiam). However, reasonable belief, mere suspicion, or even the actual fact of a felony will not suffice in the absence of subjective knowledge. WAYNE R. LAFAVE, CRIMINAL LAW § 13.2, at 708-22 (5th ed. 2010). Nor is it sufficient that the alleged accessory had a mistaken belief that the principal had committed a felony. </w:t>
            </w:r>
            <w:hyperlink r:id="rId77" w:history="1">
              <w:r>
                <w:rPr>
                  <w:rFonts w:ascii="arial" w:eastAsia="arial" w:hAnsi="arial" w:cs="arial"/>
                  <w:i/>
                  <w:color w:val="0077CC"/>
                  <w:sz w:val="20"/>
                  <w:u w:val="single"/>
                  <w:lang w:val="en-US" w:eastAsia="en-US" w:bidi="ar-SA"/>
                </w:rPr>
                <w:t>People v. Hardin, 24 Cal. Rptr. 563 (Cal. Dist. Ct. App. 1962).</w:t>
              </w:r>
            </w:hyperlink>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An accessory after the fact provides assistance if the accessory "harbors and protects the felon or renders him any other assistance to elude punishment." </w:t>
            </w:r>
            <w:hyperlink r:id="rId73" w:history="1">
              <w:r>
                <w:rPr>
                  <w:rFonts w:ascii="arial" w:eastAsia="arial" w:hAnsi="arial" w:cs="arial"/>
                  <w:i/>
                  <w:color w:val="0077CC"/>
                  <w:sz w:val="20"/>
                  <w:u w:val="single"/>
                  <w:lang w:val="en-US" w:eastAsia="en-US" w:bidi="ar-SA"/>
                </w:rPr>
                <w:t>Watson, 208 Md. at 218, 117 A.2d at 552;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see, e.g., </w:t>
            </w:r>
            <w:hyperlink r:id="rId78" w:history="1">
              <w:r>
                <w:rPr>
                  <w:rFonts w:ascii="arial" w:eastAsia="arial" w:hAnsi="arial" w:cs="arial"/>
                  <w:i/>
                  <w:color w:val="0077CC"/>
                  <w:sz w:val="20"/>
                  <w:u w:val="single"/>
                  <w:lang w:val="en-US" w:eastAsia="en-US" w:bidi="ar-SA"/>
                </w:rPr>
                <w:t>United States v. Thornton, 178 F. Supp. 42 (E.D.N.Y. 1959)</w:t>
              </w:r>
            </w:hyperlink>
            <w:r>
              <w:rPr>
                <w:rFonts w:ascii="arial" w:eastAsia="arial" w:hAnsi="arial" w:cs="arial"/>
                <w:color w:val="000000"/>
                <w:sz w:val="20"/>
                <w:lang w:val="en-US" w:eastAsia="en-US" w:bidi="ar-SA"/>
              </w:rPr>
              <w:t xml:space="preserve"> (harboring and concealing felon); </w:t>
            </w:r>
            <w:hyperlink r:id="rId79" w:history="1">
              <w:r>
                <w:rPr>
                  <w:rFonts w:ascii="arial" w:eastAsia="arial" w:hAnsi="arial" w:cs="arial"/>
                  <w:i/>
                  <w:color w:val="0077CC"/>
                  <w:sz w:val="20"/>
                  <w:u w:val="single"/>
                  <w:lang w:val="en-US" w:eastAsia="en-US" w:bidi="ar-SA"/>
                </w:rPr>
                <w:t>Fields v. State, 214 S.W.2d 230 (Ark. 1948)</w:t>
              </w:r>
            </w:hyperlink>
            <w:r>
              <w:rPr>
                <w:rFonts w:ascii="arial" w:eastAsia="arial" w:hAnsi="arial" w:cs="arial"/>
                <w:color w:val="000000"/>
                <w:sz w:val="20"/>
                <w:lang w:val="en-US" w:eastAsia="en-US" w:bidi="ar-SA"/>
              </w:rPr>
              <w:t xml:space="preserve"> (telling witnesses not to tell police what they know); </w:t>
            </w:r>
            <w:hyperlink r:id="rId80" w:history="1">
              <w:r>
                <w:rPr>
                  <w:rFonts w:ascii="arial" w:eastAsia="arial" w:hAnsi="arial" w:cs="arial"/>
                  <w:i/>
                  <w:color w:val="0077CC"/>
                  <w:sz w:val="20"/>
                  <w:u w:val="single"/>
                  <w:lang w:val="en-US" w:eastAsia="en-US" w:bidi="ar-SA"/>
                </w:rPr>
                <w:t>People v. Duty, 74 Cal. Rptr. 606 (Cal. Dist. Ct. App. 1969)</w:t>
              </w:r>
            </w:hyperlink>
            <w:r>
              <w:rPr>
                <w:rFonts w:ascii="arial" w:eastAsia="arial" w:hAnsi="arial" w:cs="arial"/>
                <w:color w:val="000000"/>
                <w:sz w:val="20"/>
                <w:lang w:val="en-US" w:eastAsia="en-US" w:bidi="ar-SA"/>
              </w:rPr>
              <w:t xml:space="preserve"> (giving false information to police to divert suspicion from felon); </w:t>
            </w:r>
            <w:r>
              <w:rPr>
                <w:rFonts w:ascii="arial" w:eastAsia="arial" w:hAnsi="arial" w:cs="arial"/>
                <w:i/>
                <w:color w:val="000000"/>
                <w:sz w:val="20"/>
                <w:lang w:val="en-US" w:eastAsia="en-US" w:bidi="ar-SA"/>
              </w:rPr>
              <w:t>Heath v. State, 128 S.E. 913 (Ga. 1925)</w:t>
            </w:r>
            <w:r>
              <w:rPr>
                <w:rFonts w:ascii="arial" w:eastAsia="arial" w:hAnsi="arial" w:cs="arial"/>
                <w:color w:val="000000"/>
                <w:sz w:val="20"/>
                <w:lang w:val="en-US" w:eastAsia="en-US" w:bidi="ar-SA"/>
              </w:rPr>
              <w:t xml:space="preserve"> (concealing, destroying, or altering evidence); </w:t>
            </w:r>
            <w:hyperlink r:id="rId81" w:history="1">
              <w:r>
                <w:rPr>
                  <w:rFonts w:ascii="arial" w:eastAsia="arial" w:hAnsi="arial" w:cs="arial"/>
                  <w:i/>
                  <w:color w:val="0077CC"/>
                  <w:sz w:val="20"/>
                  <w:u w:val="single"/>
                  <w:lang w:val="en-US" w:eastAsia="en-US" w:bidi="ar-SA"/>
                </w:rPr>
                <w:t>Crosby v. State, 175 So. 180 (Miss. 1937)</w:t>
              </w:r>
            </w:hyperlink>
            <w:r>
              <w:rPr>
                <w:rFonts w:ascii="arial" w:eastAsia="arial" w:hAnsi="arial" w:cs="arial"/>
                <w:color w:val="000000"/>
                <w:sz w:val="20"/>
                <w:lang w:val="en-US" w:eastAsia="en-US" w:bidi="ar-SA"/>
              </w:rPr>
              <w:t xml:space="preserve"> (destroying evidence); </w:t>
            </w:r>
            <w:hyperlink r:id="rId82" w:history="1">
              <w:r>
                <w:rPr>
                  <w:rFonts w:ascii="arial" w:eastAsia="arial" w:hAnsi="arial" w:cs="arial"/>
                  <w:i/>
                  <w:color w:val="0077CC"/>
                  <w:sz w:val="20"/>
                  <w:u w:val="single"/>
                  <w:lang w:val="en-US" w:eastAsia="en-US" w:bidi="ar-SA"/>
                </w:rPr>
                <w:t>Wren v. Commonwealth, 67 Va. 952, 956-57 (1875)</w:t>
              </w:r>
            </w:hyperlink>
            <w:r>
              <w:rPr>
                <w:rFonts w:ascii="arial" w:eastAsia="arial" w:hAnsi="arial" w:cs="arial"/>
                <w:color w:val="000000"/>
                <w:sz w:val="20"/>
                <w:lang w:val="en-US" w:eastAsia="en-US" w:bidi="ar-SA"/>
              </w:rPr>
              <w:t xml:space="preserve"> (restoring weapon to original position).</w:t>
            </w:r>
          </w:p>
          <w:p>
            <w:pPr>
              <w:spacing w:before="240" w:line="260" w:lineRule="atLeast"/>
              <w:ind w:left="60" w:right="360"/>
              <w:jc w:val="both"/>
              <w:rPr>
                <w:lang w:val="en-US" w:eastAsia="en-US" w:bidi="ar-SA"/>
              </w:rPr>
            </w:pPr>
            <w:r>
              <w:rPr>
                <w:rFonts w:ascii="arial" w:eastAsia="arial" w:hAnsi="arial" w:cs="arial"/>
                <w:color w:val="000000"/>
                <w:sz w:val="20"/>
                <w:lang w:val="en-US" w:eastAsia="en-US" w:bidi="ar-SA"/>
              </w:rPr>
              <w:t xml:space="preserve">It is not enough that the felon was actually aided. The assistance must be given with the intent of impeding law enforcement. LAFAVE,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 13.6(a), at 754. The failure to disclose the commission of the felony, the failure to apprehend the felon, and the approval of the felony are insufficient to constitute accessory after the fact. </w:t>
            </w:r>
            <w:hyperlink r:id="rId69" w:history="1">
              <w:r>
                <w:rPr>
                  <w:rFonts w:ascii="arial" w:eastAsia="arial" w:hAnsi="arial" w:cs="arial"/>
                  <w:i/>
                  <w:color w:val="0077CC"/>
                  <w:sz w:val="20"/>
                  <w:u w:val="single"/>
                  <w:lang w:val="en-US" w:eastAsia="en-US" w:bidi="ar-SA"/>
                </w:rPr>
                <w:t>McClain, 10 Md. App. at 117 n.2, 268 A.2d at 578 n.2;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 xml:space="preserve">cf. </w:t>
            </w:r>
            <w:hyperlink r:id="rId33" w:history="1">
              <w:r>
                <w:rPr>
                  <w:rFonts w:ascii="arial" w:eastAsia="arial" w:hAnsi="arial" w:cs="arial"/>
                  <w:i/>
                  <w:color w:val="0077CC"/>
                  <w:sz w:val="20"/>
                  <w:u w:val="single"/>
                  <w:lang w:val="en-US" w:eastAsia="en-US" w:bidi="ar-SA"/>
                </w:rPr>
                <w:t>Pope v. State, 284 Md. 309, 396 A.2d 1054 (1979)</w:t>
              </w:r>
            </w:hyperlink>
            <w:r>
              <w:rPr>
                <w:rFonts w:ascii="arial" w:eastAsia="arial" w:hAnsi="arial" w:cs="arial"/>
                <w:color w:val="000000"/>
                <w:sz w:val="20"/>
                <w:lang w:val="en-US" w:eastAsia="en-US" w:bidi="ar-SA"/>
              </w:rPr>
              <w:t xml:space="preserve"> (crime of misprision of a felony judicially abrogated).</w:t>
            </w:r>
          </w:p>
          <w:p>
            <w:pPr>
              <w:spacing w:after="120"/>
              <w:rPr>
                <w:lang w:val="en-US" w:eastAsia="en-US" w:bidi="ar-SA"/>
              </w:rPr>
            </w:pPr>
          </w:p>
        </w:tc>
      </w:tr>
    </w:tbl>
    <w:p>
      <w:pPr>
        <w:spacing w:before="60" w:line="260" w:lineRule="atLeast"/>
        <w:ind w:left="720"/>
        <w:jc w:val="both"/>
        <w:rPr>
          <w:lang w:val="en-US" w:eastAsia="en-US" w:bidi="ar-SA"/>
        </w:rPr>
      </w:pPr>
      <w:r>
        <w:rPr>
          <w:rFonts w:ascii="arial" w:eastAsia="arial" w:hAnsi="arial" w:cs="arial"/>
          <w:color w:val="000000"/>
          <w:sz w:val="20"/>
          <w:lang w:val="en-US" w:eastAsia="en-US" w:bidi="ar-SA"/>
        </w:rPr>
        <w:t>#MICPEL#</w:t>
      </w:r>
    </w:p>
    <w:p>
      <w:pPr>
        <w:keepNext/>
        <w:spacing w:before="240" w:line="340" w:lineRule="atLeast"/>
        <w:rPr>
          <w:lang w:val="en-US" w:eastAsia="en-US" w:bidi="ar-SA"/>
        </w:rPr>
      </w:pPr>
      <w:r>
        <w:rPr>
          <w:lang w:val="en-US" w:eastAsia="en-US" w:bidi="ar-SA"/>
        </w:rPr>
        <w:br/>
      </w:r>
      <w:r>
        <w:rPr>
          <w:rFonts w:ascii="arial" w:eastAsia="arial" w:hAnsi="arial" w:cs="arial"/>
          <w:b/>
          <w:color w:val="000000"/>
          <w:sz w:val="28"/>
          <w:lang w:val="en-US" w:eastAsia="en-US" w:bidi="ar-SA"/>
        </w:rPr>
        <w:t>Reference</w:t>
      </w:r>
    </w:p>
    <w:p>
      <w:pPr>
        <w:spacing w:line="60" w:lineRule="exact"/>
        <w:rPr>
          <w:lang w:val="en-US" w:eastAsia="en-US" w:bidi="ar-SA"/>
        </w:rPr>
      </w:pPr>
      <w:r>
        <w:pict>
          <v:line id="_x0000_s1031" style="position:absolute;z-index:251661312" from="0,2pt" to="512pt,2pt" strokecolor="#009ddb" strokeweight="2pt">
            <v:stroke linestyle="single"/>
            <w10:wrap type="topAndBottom"/>
          </v:line>
        </w:pict>
      </w:r>
    </w:p>
    <w:p>
      <w:pPr>
        <w:spacing w:line="120" w:lineRule="exact"/>
        <w:rPr>
          <w:lang w:val="en-US" w:eastAsia="en-US" w:bidi="ar-SA"/>
        </w:rPr>
      </w:pPr>
    </w:p>
    <w:p>
      <w:pPr>
        <w:spacing w:before="120" w:line="260" w:lineRule="atLeast"/>
        <w:rPr>
          <w:lang w:val="en-US" w:eastAsia="en-US" w:bidi="ar-SA"/>
        </w:rPr>
      </w:pPr>
      <w:r>
        <w:rPr>
          <w:rFonts w:ascii="arial" w:eastAsia="arial" w:hAnsi="arial" w:cs="arial"/>
          <w:color w:val="000000"/>
          <w:sz w:val="20"/>
          <w:lang w:val="en-US" w:eastAsia="en-US" w:bidi="ar-SA"/>
        </w:rPr>
        <w:t>MPJI-Cr 3:24.</w:t>
      </w:r>
    </w:p>
    <w:p>
      <w:pPr>
        <w:spacing w:before="24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Source:</w:t>
      </w:r>
      <w:r>
        <w:rPr>
          <w:rFonts w:ascii="arial" w:eastAsia="arial" w:hAnsi="arial" w:cs="arial"/>
          <w:color w:val="000000"/>
          <w:sz w:val="20"/>
          <w:lang w:val="en-US" w:eastAsia="en-US" w:bidi="ar-SA"/>
        </w:rPr>
        <w:t> MICPEL</w:t>
      </w:r>
    </w:p>
    <w:p>
      <w:pPr>
        <w:spacing w:before="240" w:line="220" w:lineRule="atLeast"/>
        <w:rPr>
          <w:lang w:val="en-US" w:eastAsia="en-US" w:bidi="ar-SA"/>
        </w:rPr>
      </w:pPr>
      <w:r>
        <w:rPr>
          <w:rFonts w:ascii="arial" w:eastAsia="arial" w:hAnsi="arial" w:cs="arial"/>
          <w:color w:val="000000"/>
          <w:sz w:val="16"/>
          <w:lang w:val="en-US" w:eastAsia="en-US" w:bidi="ar-SA"/>
        </w:rPr>
        <w:t>Maryland Criminal Pattern Jury Instructions</w:t>
      </w:r>
    </w:p>
    <w:p>
      <w:pPr>
        <w:spacing w:line="220" w:lineRule="atLeast"/>
        <w:rPr>
          <w:lang w:val="en-US" w:eastAsia="en-US" w:bidi="ar-SA"/>
        </w:rPr>
      </w:pPr>
      <w:r>
        <w:rPr>
          <w:rFonts w:ascii="arial" w:eastAsia="arial" w:hAnsi="arial" w:cs="arial"/>
          <w:color w:val="000000"/>
          <w:sz w:val="16"/>
          <w:lang w:val="en-US" w:eastAsia="en-US" w:bidi="ar-SA"/>
        </w:rPr>
        <w:t>Copyright 2018 by The Maryland State Bar Association, Inc.</w:t>
      </w:r>
    </w:p>
    <w:p>
      <w:pPr>
        <w:rPr>
          <w:lang w:val="en-US" w:eastAsia="en-US" w:bidi="ar-SA"/>
        </w:rPr>
      </w:pPr>
    </w:p>
    <w:p>
      <w:pPr>
        <w:ind w:left="200"/>
        <w:rPr>
          <w:lang w:val="en-US" w:eastAsia="en-US" w:bidi="ar-SA"/>
        </w:rPr>
      </w:pPr>
      <w:r>
        <w:rPr>
          <w:lang w:val="en-US" w:eastAsia="en-US" w:bidi="ar-SA"/>
        </w:rPr>
        <w:br/>
      </w:r>
      <w:r>
        <w:pict>
          <v:line id="_x0000_s1032" style="position:absolute;z-index:25166233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97pt;height:15.92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vertAlign w:val="baseline"/>
              </w:rPr>
              <w:t>Copyright © 2018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Michael Fiorenza</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Michael Fiorenza</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Michael Fiorenza</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6:00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MPJI-Cr 6:01</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2.xml" /><Relationship Id="rId11" Type="http://schemas.openxmlformats.org/officeDocument/2006/relationships/header" Target="header3.xml" /><Relationship Id="rId12" Type="http://schemas.openxmlformats.org/officeDocument/2006/relationships/footer" Target="footer3.xml" /><Relationship Id="rId13" Type="http://schemas.openxmlformats.org/officeDocument/2006/relationships/header" Target="header4.xml" /><Relationship Id="rId14" Type="http://schemas.openxmlformats.org/officeDocument/2006/relationships/header" Target="header5.xml" /><Relationship Id="rId15" Type="http://schemas.openxmlformats.org/officeDocument/2006/relationships/footer" Target="footer4.xml" /><Relationship Id="rId16" Type="http://schemas.openxmlformats.org/officeDocument/2006/relationships/footer" Target="footer5.xml" /><Relationship Id="rId17" Type="http://schemas.openxmlformats.org/officeDocument/2006/relationships/header" Target="header6.xml" /><Relationship Id="rId18" Type="http://schemas.openxmlformats.org/officeDocument/2006/relationships/footer" Target="footer6.xml" /><Relationship Id="rId19" Type="http://schemas.openxmlformats.org/officeDocument/2006/relationships/hyperlink" Target="https://advance.lexis.com/api/document?collection=jury-instructions&amp;id=urn:contentItem:5T0Y-CDN0-01KN-B088-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44WJ-KW40-0039-445R-00000-00&amp;context=" TargetMode="External" /><Relationship Id="rId21" Type="http://schemas.openxmlformats.org/officeDocument/2006/relationships/hyperlink" Target="https://advance.lexis.com/api/document?collection=cases&amp;id=urn:contentItem:7XF9-WTR0-YB0R-N005-00000-00&amp;context=" TargetMode="External" /><Relationship Id="rId22" Type="http://schemas.openxmlformats.org/officeDocument/2006/relationships/hyperlink" Target="https://advance.lexis.com/api/document?collection=cases&amp;id=urn:contentItem:3RX4-41V0-003G-22HP-00000-00&amp;context=" TargetMode="External" /><Relationship Id="rId23" Type="http://schemas.openxmlformats.org/officeDocument/2006/relationships/hyperlink" Target="https://advance.lexis.com/api/document?collection=cases&amp;id=urn:contentItem:3XBW-6FN0-0039-42C7-00000-00&amp;context=" TargetMode="External" /><Relationship Id="rId24" Type="http://schemas.openxmlformats.org/officeDocument/2006/relationships/hyperlink" Target="https://advance.lexis.com/api/document?collection=cases&amp;id=urn:contentItem:402V-NPB0-0039-411K-00000-00&amp;context=" TargetMode="External" /><Relationship Id="rId25" Type="http://schemas.openxmlformats.org/officeDocument/2006/relationships/hyperlink" Target="https://advance.lexis.com/api/document?collection=cases&amp;id=urn:contentItem:3RX4-3TM0-003G-223J-00000-00&amp;context=" TargetMode="External" /><Relationship Id="rId26" Type="http://schemas.openxmlformats.org/officeDocument/2006/relationships/hyperlink" Target="https://advance.lexis.com/api/document?collection=cases&amp;id=urn:contentItem:417V-DBX0-0039-431W-00000-00&amp;context=" TargetMode="External" /><Relationship Id="rId27" Type="http://schemas.openxmlformats.org/officeDocument/2006/relationships/hyperlink" Target="https://advance.lexis.com/api/document?collection=cases&amp;id=urn:contentItem:3RX4-4VH0-003G-247X-00000-00&amp;context=" TargetMode="External" /><Relationship Id="rId28" Type="http://schemas.openxmlformats.org/officeDocument/2006/relationships/hyperlink" Target="https://advance.lexis.com/api/document?collection=cases&amp;id=urn:contentItem:4FCS-XNX0-0039-40RW-00000-00&amp;context=" TargetMode="External" /><Relationship Id="rId29" Type="http://schemas.openxmlformats.org/officeDocument/2006/relationships/hyperlink" Target="https://advance.lexis.com/api/document?collection=cases&amp;id=urn:contentItem:4N27-W8V0-TVVH-623D-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amp;id=urn:contentItem:3WCR-XDJ0-0039-42DJ-00000-00&amp;context=" TargetMode="External" /><Relationship Id="rId31" Type="http://schemas.openxmlformats.org/officeDocument/2006/relationships/hyperlink" Target="https://advance.lexis.com/api/document?collection=cases&amp;id=urn:contentItem:463G-WSC0-0039-40WY-00000-00&amp;context=" TargetMode="External" /><Relationship Id="rId32" Type="http://schemas.openxmlformats.org/officeDocument/2006/relationships/hyperlink" Target="https://advance.lexis.com/api/document?collection=cases&amp;id=urn:contentItem:3RX4-9XP0-003G-2236-00000-00&amp;context=" TargetMode="External" /><Relationship Id="rId33" Type="http://schemas.openxmlformats.org/officeDocument/2006/relationships/hyperlink" Target="https://advance.lexis.com/api/document?collection=cases&amp;id=urn:contentItem:3RX4-4X60-003G-24CD-00000-00&amp;context=" TargetMode="External" /><Relationship Id="rId34" Type="http://schemas.openxmlformats.org/officeDocument/2006/relationships/hyperlink" Target="https://advance.lexis.com/api/document?collection=cases&amp;id=urn:contentItem:3S12-34X0-003D-Y4JR-00000-00&amp;context=" TargetMode="External" /><Relationship Id="rId35" Type="http://schemas.openxmlformats.org/officeDocument/2006/relationships/hyperlink" Target="https://advance.lexis.com/api/document?collection=cases&amp;id=urn:contentItem:3S12-30J0-003D-Y3WR-00000-00&amp;context=" TargetMode="External" /><Relationship Id="rId36" Type="http://schemas.openxmlformats.org/officeDocument/2006/relationships/hyperlink" Target="https://advance.lexis.com/api/document?collection=cases&amp;id=urn:contentItem:4N15-2600-TVVJ-W1YX-00000-00&amp;context=" TargetMode="External" /><Relationship Id="rId37" Type="http://schemas.openxmlformats.org/officeDocument/2006/relationships/hyperlink" Target="https://advance.lexis.com/api/document?collection=cases&amp;id=urn:contentItem:40FW-D270-0039-451T-00000-00&amp;context=" TargetMode="External" /><Relationship Id="rId38" Type="http://schemas.openxmlformats.org/officeDocument/2006/relationships/hyperlink" Target="https://advance.lexis.com/api/document?collection=cases&amp;id=urn:contentItem:3RX4-8KJ0-003G-2482-00000-00&amp;context=" TargetMode="External" /><Relationship Id="rId39" Type="http://schemas.openxmlformats.org/officeDocument/2006/relationships/hyperlink" Target="https://advance.lexis.com/api/document?collection=cases&amp;id=urn:contentItem:5977-W3R1-F04G-T001-00000-00&amp;context=" TargetMode="External" /><Relationship Id="rId4" Type="http://schemas.openxmlformats.org/officeDocument/2006/relationships/image" Target="media/image1.png" /><Relationship Id="rId40" Type="http://schemas.openxmlformats.org/officeDocument/2006/relationships/hyperlink" Target="https://advance.lexis.com/api/document?collection=cases&amp;id=urn:contentItem:3S12-2430-003D-Y07H-00000-00&amp;context=" TargetMode="External" /><Relationship Id="rId41" Type="http://schemas.openxmlformats.org/officeDocument/2006/relationships/hyperlink" Target="https://advance.lexis.com/api/document?collection=cases&amp;id=urn:contentItem:3RX4-4JW0-003G-23R2-00000-00&amp;context=" TargetMode="External" /><Relationship Id="rId42" Type="http://schemas.openxmlformats.org/officeDocument/2006/relationships/hyperlink" Target="https://advance.lexis.com/api/document?collection=cases&amp;id=urn:contentItem:3RX4-CMR0-003G-2148-00000-00&amp;context=" TargetMode="External" /><Relationship Id="rId43" Type="http://schemas.openxmlformats.org/officeDocument/2006/relationships/hyperlink" Target="https://advance.lexis.com/api/document?collection=cases&amp;id=urn:contentItem:3RX4-74C0-003G-254V-00000-00&amp;context=" TargetMode="External" /><Relationship Id="rId44" Type="http://schemas.openxmlformats.org/officeDocument/2006/relationships/hyperlink" Target="https://advance.lexis.com/api/document?collection=cases&amp;id=urn:contentItem:4TDT-R260-TX4N-G1P5-00000-00&amp;context=" TargetMode="External" /><Relationship Id="rId45" Type="http://schemas.openxmlformats.org/officeDocument/2006/relationships/hyperlink" Target="https://advance.lexis.com/api/document?collection=cases&amp;id=urn:contentItem:3RX4-33M0-003G-20NC-00000-00&amp;context=" TargetMode="External" /><Relationship Id="rId46" Type="http://schemas.openxmlformats.org/officeDocument/2006/relationships/hyperlink" Target="https://advance.lexis.com/api/document?collection=cases&amp;id=urn:contentItem:3RX4-C500-003G-252X-00000-00&amp;context=" TargetMode="External" /><Relationship Id="rId47" Type="http://schemas.openxmlformats.org/officeDocument/2006/relationships/hyperlink" Target="https://advance.lexis.com/api/document?collection=cases&amp;id=urn:contentItem:3RX4-3JV0-003G-21M1-00000-00&amp;context=" TargetMode="External" /><Relationship Id="rId48" Type="http://schemas.openxmlformats.org/officeDocument/2006/relationships/hyperlink" Target="https://advance.lexis.com/api/document?collection=cases&amp;id=urn:contentItem:3RX4-3PH0-003G-21WF-00000-00&amp;context=" TargetMode="External" /><Relationship Id="rId49" Type="http://schemas.openxmlformats.org/officeDocument/2006/relationships/hyperlink" Target="https://advance.lexis.com/api/document?collection=cases&amp;id=urn:contentItem:3RX4-CV10-003G-21RP-00000-00&amp;context=" TargetMode="External" /><Relationship Id="rId5" Type="http://schemas.openxmlformats.org/officeDocument/2006/relationships/hyperlink" Target="https://advance.lexis.com/api/document?id=urn:contentItem:5T0Y-CDN0-01KN-B088-00000-00&amp;idtype=PID&amp;context=1000516" TargetMode="External" /><Relationship Id="rId50" Type="http://schemas.openxmlformats.org/officeDocument/2006/relationships/hyperlink" Target="https://advance.lexis.com/api/document?collection=cases&amp;id=urn:contentItem:3RX4-CN40-003G-215K-00000-00&amp;context=" TargetMode="External" /><Relationship Id="rId51" Type="http://schemas.openxmlformats.org/officeDocument/2006/relationships/hyperlink" Target="https://advance.lexis.com/api/document?collection=cases&amp;id=urn:contentItem:3RX4-CTD0-003G-21NP-00000-00&amp;context=" TargetMode="External" /><Relationship Id="rId52" Type="http://schemas.openxmlformats.org/officeDocument/2006/relationships/hyperlink" Target="https://advance.lexis.com/api/document?collection=cases&amp;id=urn:contentItem:3S12-2JH0-003D-Y20R-00000-00&amp;context=" TargetMode="External" /><Relationship Id="rId53" Type="http://schemas.openxmlformats.org/officeDocument/2006/relationships/hyperlink" Target="https://advance.lexis.com/api/document?collection=cases&amp;id=urn:contentItem:3RX6-DX60-003G-220G-00000-00&amp;context=" TargetMode="External" /><Relationship Id="rId54" Type="http://schemas.openxmlformats.org/officeDocument/2006/relationships/hyperlink" Target="https://advance.lexis.com/api/document?collection=cases&amp;id=urn:contentItem:3RX4-7TB0-003G-224V-00000-00&amp;context=" TargetMode="External" /><Relationship Id="rId55" Type="http://schemas.openxmlformats.org/officeDocument/2006/relationships/hyperlink" Target="https://advance.lexis.com/api/document?collection=cases&amp;id=urn:contentItem:3S12-26R0-003D-Y0K4-00000-00&amp;context=" TargetMode="External" /><Relationship Id="rId56" Type="http://schemas.openxmlformats.org/officeDocument/2006/relationships/hyperlink" Target="https://advance.lexis.com/api/document?collection=cases&amp;id=urn:contentItem:3RX4-C3B0-003G-24Y2-00000-00&amp;context=" TargetMode="External" /><Relationship Id="rId57" Type="http://schemas.openxmlformats.org/officeDocument/2006/relationships/hyperlink" Target="https://advance.lexis.com/api/document?collection=cases&amp;id=urn:contentItem:3RX4-CPV0-003G-21CG-00000-00&amp;context=" TargetMode="External" /><Relationship Id="rId58" Type="http://schemas.openxmlformats.org/officeDocument/2006/relationships/hyperlink" Target="https://advance.lexis.com/api/document?collection=cases&amp;id=urn:contentItem:3RX6-DWH0-003G-21XJ-00000-00&amp;context=" TargetMode="External" /><Relationship Id="rId59" Type="http://schemas.openxmlformats.org/officeDocument/2006/relationships/hyperlink" Target="https://advance.lexis.com/api/document?collection=cases&amp;id=urn:contentItem:3RX6-DX70-003G-220K-00000-00&amp;context=" TargetMode="External" /><Relationship Id="rId6" Type="http://schemas.openxmlformats.org/officeDocument/2006/relationships/hyperlink" Target="https://advance.lexis.com/api/document?id=urn:contentItem:5T0Y-CDN0-01KN-B089-00000-00&amp;idtype=PID&amp;context=1000516" TargetMode="External" /><Relationship Id="rId60" Type="http://schemas.openxmlformats.org/officeDocument/2006/relationships/header" Target="header7.xml" /><Relationship Id="rId61" Type="http://schemas.openxmlformats.org/officeDocument/2006/relationships/header" Target="header8.xml" /><Relationship Id="rId62" Type="http://schemas.openxmlformats.org/officeDocument/2006/relationships/footer" Target="footer7.xml" /><Relationship Id="rId63" Type="http://schemas.openxmlformats.org/officeDocument/2006/relationships/footer" Target="footer8.xml" /><Relationship Id="rId64" Type="http://schemas.openxmlformats.org/officeDocument/2006/relationships/header" Target="header9.xml" /><Relationship Id="rId65" Type="http://schemas.openxmlformats.org/officeDocument/2006/relationships/footer" Target="footer9.xml" /><Relationship Id="rId66" Type="http://schemas.openxmlformats.org/officeDocument/2006/relationships/hyperlink" Target="https://advance.lexis.com/api/document?collection=jury-instructions&amp;id=urn:contentItem:5T0Y-CDN0-01KN-B089-00000-00&amp;context=" TargetMode="External" /><Relationship Id="rId67" Type="http://schemas.openxmlformats.org/officeDocument/2006/relationships/hyperlink" Target="https://advance.lexis.com/api/document?collection=cases&amp;id=urn:contentItem:3RX4-4XC0-003G-24CR-00000-00&amp;context=" TargetMode="External" /><Relationship Id="rId68" Type="http://schemas.openxmlformats.org/officeDocument/2006/relationships/hyperlink" Target="https://advance.lexis.com/api/document?collection=cases&amp;id=urn:contentItem:3S12-2TS0-003D-Y374-00000-00&amp;context=" TargetMode="External" /><Relationship Id="rId69" Type="http://schemas.openxmlformats.org/officeDocument/2006/relationships/hyperlink" Target="https://advance.lexis.com/api/document?collection=cases&amp;id=urn:contentItem:3RX4-CMF0-003G-2137-00000-00&amp;context=" TargetMode="External" /><Relationship Id="rId7" Type="http://schemas.openxmlformats.org/officeDocument/2006/relationships/header" Target="header1.xml" /><Relationship Id="rId70" Type="http://schemas.openxmlformats.org/officeDocument/2006/relationships/hyperlink" Target="https://advance.lexis.com/api/document?collection=cases&amp;id=urn:contentItem:3RX4-B320-003G-22G0-00000-00&amp;context=" TargetMode="External" /><Relationship Id="rId71" Type="http://schemas.openxmlformats.org/officeDocument/2006/relationships/hyperlink" Target="https://advance.lexis.com/api/document?collection=cases&amp;id=urn:contentItem:3RX4-BH70-003G-23J1-00000-00&amp;context=" TargetMode="External" /><Relationship Id="rId72" Type="http://schemas.openxmlformats.org/officeDocument/2006/relationships/hyperlink" Target="https://advance.lexis.com/api/document?collection=cases&amp;id=urn:contentItem:3RX4-CR00-003G-21CW-00000-00&amp;context=" TargetMode="External" /><Relationship Id="rId73" Type="http://schemas.openxmlformats.org/officeDocument/2006/relationships/hyperlink" Target="https://advance.lexis.com/api/document?collection=cases&amp;id=urn:contentItem:3S12-30M0-003D-Y3X4-00000-00&amp;context=" TargetMode="External" /><Relationship Id="rId74" Type="http://schemas.openxmlformats.org/officeDocument/2006/relationships/hyperlink" Target="https://advance.lexis.com/api/document?collection=cases&amp;id=urn:contentItem:3RX4-3BM0-003G-2151-00000-00&amp;context=" TargetMode="External" /><Relationship Id="rId75" Type="http://schemas.openxmlformats.org/officeDocument/2006/relationships/hyperlink" Target="https://advance.lexis.com/api/document?collection=cases&amp;id=urn:contentItem:3Y2D-RMK0-0039-414J-00000-00&amp;context=" TargetMode="External" /><Relationship Id="rId76" Type="http://schemas.openxmlformats.org/officeDocument/2006/relationships/hyperlink" Target="https://advance.lexis.com/api/document?collection=cases&amp;id=urn:contentItem:3RX4-CSB0-003G-21JB-00000-00&amp;context=" TargetMode="External" /><Relationship Id="rId77" Type="http://schemas.openxmlformats.org/officeDocument/2006/relationships/hyperlink" Target="https://advance.lexis.com/api/document?collection=cases&amp;id=urn:contentItem:3RRS-BFV0-003C-J4TH-00000-00&amp;context=" TargetMode="External" /><Relationship Id="rId78" Type="http://schemas.openxmlformats.org/officeDocument/2006/relationships/hyperlink" Target="https://advance.lexis.com/api/document?collection=cases&amp;id=urn:contentItem:3S4V-MR90-003B-20WD-00000-00&amp;context=" TargetMode="External" /><Relationship Id="rId79" Type="http://schemas.openxmlformats.org/officeDocument/2006/relationships/hyperlink" Target="https://advance.lexis.com/api/document?collection=cases&amp;id=urn:contentItem:3RRJ-24V0-003V-R0X1-00000-00&amp;context=" TargetMode="External" /><Relationship Id="rId8" Type="http://schemas.openxmlformats.org/officeDocument/2006/relationships/header" Target="header2.xml" /><Relationship Id="rId80" Type="http://schemas.openxmlformats.org/officeDocument/2006/relationships/hyperlink" Target="https://advance.lexis.com/api/document?collection=cases&amp;id=urn:contentItem:3RRS-9F70-003C-J17S-00000-00&amp;context=" TargetMode="External" /><Relationship Id="rId81" Type="http://schemas.openxmlformats.org/officeDocument/2006/relationships/hyperlink" Target="https://advance.lexis.com/api/document?collection=cases&amp;id=urn:contentItem:3YKJ-KWD0-00KR-F3X3-00000-00&amp;context=" TargetMode="External" /><Relationship Id="rId82" Type="http://schemas.openxmlformats.org/officeDocument/2006/relationships/hyperlink" Target="https://advance.lexis.com/api/document?collection=cases&amp;id=urn:contentItem:3S3J-WNH0-003D-5273-00000-00&amp;context=" TargetMode="External" /><Relationship Id="rId83" Type="http://schemas.openxmlformats.org/officeDocument/2006/relationships/styles" Target="styles.xml" /><Relationship Id="rId9" Type="http://schemas.openxmlformats.org/officeDocument/2006/relationships/footer" Target="footer1.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MPJI-Cr 6:01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77923543</vt:lpwstr>
  </property>
  <property fmtid="{D5CDD505-2E9C-101B-9397-08002B2CF9AE}" pid="3" name="LADocCount">
    <vt:i4>3</vt:i4>
  </property>
  <property fmtid="{D5CDD505-2E9C-101B-9397-08002B2CF9AE}" pid="4" name="UserPermID">
    <vt:lpwstr>urn:user:PA182399192</vt:lpwstr>
  </property>
</Properties>
</file>