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8.9 -->
  <w:body>
    <w:p>
      <w:pPr>
        <w:rPr>
          <w:lang w:val="en-US" w:eastAsia="en-US" w:bidi="ar-SA"/>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7.77pt;height:30pt">
            <v:imagedata r:id="rId4" o:title=""/>
          </v:shape>
        </w:pict>
      </w:r>
    </w:p>
    <w:p>
      <w:pPr>
        <w:spacing w:before="360" w:line="260" w:lineRule="atLeast"/>
        <w:rPr>
          <w:lang w:val="en-US" w:eastAsia="en-US" w:bidi="ar-SA"/>
        </w:rPr>
      </w:pPr>
      <w:r>
        <w:rPr>
          <w:rFonts w:ascii="Arial" w:eastAsia="Arial" w:hAnsi="Arial" w:cs="Arial"/>
          <w:b/>
          <w:color w:val="000000"/>
          <w:sz w:val="20"/>
          <w:lang w:val="en-US" w:eastAsia="en-US" w:bidi="ar-SA"/>
        </w:rPr>
        <w:t xml:space="preserve">User Name: </w:t>
      </w:r>
      <w:r>
        <w:rPr>
          <w:rFonts w:ascii="Arial" w:eastAsia="Arial" w:hAnsi="Arial" w:cs="Arial"/>
          <w:color w:val="000000"/>
          <w:sz w:val="20"/>
          <w:lang w:val="en-US" w:eastAsia="en-US" w:bidi="ar-SA"/>
        </w:rPr>
        <w:t>Michael Fiorenza</w:t>
      </w:r>
    </w:p>
    <w:p>
      <w:pPr>
        <w:spacing w:before="80" w:line="240" w:lineRule="atLeast"/>
        <w:rPr>
          <w:lang w:val="en-US" w:eastAsia="en-US" w:bidi="ar-SA"/>
        </w:rPr>
      </w:pPr>
      <w:r>
        <w:rPr>
          <w:rFonts w:ascii="Arial" w:eastAsia="Arial" w:hAnsi="Arial" w:cs="Arial"/>
          <w:b/>
          <w:color w:val="000000"/>
          <w:sz w:val="20"/>
          <w:lang w:val="en-US" w:eastAsia="en-US" w:bidi="ar-SA"/>
        </w:rPr>
        <w:t xml:space="preserve">Date and Time: </w:t>
      </w:r>
      <w:r>
        <w:rPr>
          <w:rFonts w:ascii="Arial" w:eastAsia="Arial" w:hAnsi="Arial" w:cs="Arial"/>
          <w:color w:val="000000"/>
          <w:sz w:val="20"/>
          <w:lang w:val="en-US" w:eastAsia="en-US" w:bidi="ar-SA"/>
        </w:rPr>
        <w:t>Monday, November 19, 2018 10:47:00 PM EST</w:t>
      </w:r>
    </w:p>
    <w:p>
      <w:pPr>
        <w:spacing w:before="80" w:line="240" w:lineRule="atLeast"/>
        <w:rPr>
          <w:lang w:val="en-US" w:eastAsia="en-US" w:bidi="ar-SA"/>
        </w:rPr>
      </w:pPr>
      <w:r>
        <w:rPr>
          <w:rFonts w:ascii="Arial" w:eastAsia="Arial" w:hAnsi="Arial" w:cs="Arial"/>
          <w:b/>
          <w:color w:val="000000"/>
          <w:sz w:val="20"/>
          <w:lang w:val="en-US" w:eastAsia="en-US" w:bidi="ar-SA"/>
        </w:rPr>
        <w:t xml:space="preserve">Job Number: </w:t>
      </w:r>
      <w:r>
        <w:rPr>
          <w:rFonts w:ascii="Arial" w:eastAsia="Arial" w:hAnsi="Arial" w:cs="Arial"/>
          <w:color w:val="000000"/>
          <w:sz w:val="20"/>
          <w:lang w:val="en-US" w:eastAsia="en-US" w:bidi="ar-SA"/>
        </w:rPr>
        <w:t>77923563</w:t>
      </w:r>
    </w:p>
    <w:p>
      <w:pPr>
        <w:spacing w:before="360" w:line="360" w:lineRule="atLeast"/>
        <w:jc w:val="both"/>
        <w:rPr>
          <w:lang w:val="en-US" w:eastAsia="en-US" w:bidi="ar-SA"/>
        </w:rPr>
      </w:pPr>
      <w:r>
        <w:rPr>
          <w:rFonts w:ascii="Arial" w:eastAsia="Arial" w:hAnsi="Arial" w:cs="Arial"/>
          <w:b/>
          <w:color w:val="000000"/>
          <w:lang w:val="en-US" w:eastAsia="en-US" w:bidi="ar-SA"/>
        </w:rPr>
        <w:t>Documents (6)</w:t>
      </w:r>
    </w:p>
    <w:p>
      <w:pPr>
        <w:spacing w:before="200" w:line="300" w:lineRule="atLeast"/>
        <w:ind w:left="440" w:hanging="290"/>
        <w:rPr>
          <w:lang w:val="en-US" w:eastAsia="en-US" w:bidi="ar-SA"/>
        </w:rPr>
      </w:pPr>
      <w:r>
        <w:rPr>
          <w:rFonts w:ascii="Arial" w:eastAsia="Arial" w:hAnsi="Arial" w:cs="Arial"/>
          <w:sz w:val="20"/>
          <w:lang w:val="en-US" w:eastAsia="en-US" w:bidi="ar-SA"/>
        </w:rPr>
        <w:t>1.</w:t>
      </w:r>
      <w:hyperlink r:id="rId5" w:history="1">
        <w:r>
          <w:rPr>
            <w:rFonts w:ascii="Arial" w:eastAsia="Arial" w:hAnsi="Arial" w:cs="Arial"/>
            <w:color w:val="000000"/>
            <w:sz w:val="20"/>
            <w:u w:val="single"/>
            <w:lang w:val="en-US" w:eastAsia="en-US" w:bidi="ar-SA"/>
          </w:rPr>
          <w:t xml:space="preserve"> </w:t>
        </w:r>
      </w:hyperlink>
      <w:hyperlink r:id="rId5" w:history="1">
        <w:r>
          <w:rPr>
            <w:rFonts w:ascii="Arial" w:eastAsia="Arial" w:hAnsi="Arial" w:cs="Arial"/>
            <w:i/>
            <w:color w:val="0077CC"/>
            <w:sz w:val="20"/>
            <w:u w:val="single"/>
            <w:lang w:val="en-US" w:eastAsia="en-US" w:bidi="ar-SA"/>
          </w:rPr>
          <w:t>Death Penalty--Introductory Instruction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line="300" w:lineRule="atLeast"/>
        <w:ind w:left="440" w:hanging="290"/>
        <w:rPr>
          <w:lang w:val="en-US" w:eastAsia="en-US" w:bidi="ar-SA"/>
        </w:rPr>
      </w:pPr>
      <w:r>
        <w:rPr>
          <w:rFonts w:ascii="Arial" w:eastAsia="Arial" w:hAnsi="Arial" w:cs="Arial"/>
          <w:sz w:val="20"/>
          <w:lang w:val="en-US" w:eastAsia="en-US" w:bidi="ar-SA"/>
        </w:rPr>
        <w:t>2.</w:t>
      </w:r>
      <w:hyperlink r:id="rId6" w:history="1">
        <w:r>
          <w:rPr>
            <w:rFonts w:ascii="Arial" w:eastAsia="Arial" w:hAnsi="Arial" w:cs="Arial"/>
            <w:color w:val="000000"/>
            <w:sz w:val="20"/>
            <w:u w:val="single"/>
            <w:lang w:val="en-US" w:eastAsia="en-US" w:bidi="ar-SA"/>
          </w:rPr>
          <w:t xml:space="preserve"> </w:t>
        </w:r>
      </w:hyperlink>
      <w:hyperlink r:id="rId6" w:history="1">
        <w:r>
          <w:rPr>
            <w:rFonts w:ascii="Arial" w:eastAsia="Arial" w:hAnsi="Arial" w:cs="Arial"/>
            <w:i/>
            <w:color w:val="0077CC"/>
            <w:sz w:val="20"/>
            <w:u w:val="single"/>
            <w:lang w:val="en-US" w:eastAsia="en-US" w:bidi="ar-SA"/>
          </w:rPr>
          <w:t>Death Penalty--Part I Instructions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line="300" w:lineRule="atLeast"/>
        <w:ind w:left="440" w:hanging="290"/>
        <w:rPr>
          <w:lang w:val="en-US" w:eastAsia="en-US" w:bidi="ar-SA"/>
        </w:rPr>
      </w:pPr>
      <w:r>
        <w:rPr>
          <w:rFonts w:ascii="Arial" w:eastAsia="Arial" w:hAnsi="Arial" w:cs="Arial"/>
          <w:sz w:val="20"/>
          <w:lang w:val="en-US" w:eastAsia="en-US" w:bidi="ar-SA"/>
        </w:rPr>
        <w:t>3.</w:t>
      </w:r>
      <w:hyperlink r:id="rId7" w:history="1">
        <w:r>
          <w:rPr>
            <w:rFonts w:ascii="Arial" w:eastAsia="Arial" w:hAnsi="Arial" w:cs="Arial"/>
            <w:color w:val="000000"/>
            <w:sz w:val="20"/>
            <w:u w:val="single"/>
            <w:lang w:val="en-US" w:eastAsia="en-US" w:bidi="ar-SA"/>
          </w:rPr>
          <w:t xml:space="preserve"> </w:t>
        </w:r>
      </w:hyperlink>
      <w:hyperlink r:id="rId7" w:history="1">
        <w:r>
          <w:rPr>
            <w:rFonts w:ascii="Arial" w:eastAsia="Arial" w:hAnsi="Arial" w:cs="Arial"/>
            <w:i/>
            <w:color w:val="0077CC"/>
            <w:sz w:val="20"/>
            <w:u w:val="single"/>
            <w:lang w:val="en-US" w:eastAsia="en-US" w:bidi="ar-SA"/>
          </w:rPr>
          <w:t>Death Penalty--Part II Instructions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line="300" w:lineRule="atLeast"/>
        <w:ind w:left="440" w:hanging="290"/>
        <w:rPr>
          <w:lang w:val="en-US" w:eastAsia="en-US" w:bidi="ar-SA"/>
        </w:rPr>
      </w:pPr>
      <w:r>
        <w:rPr>
          <w:rFonts w:ascii="Arial" w:eastAsia="Arial" w:hAnsi="Arial" w:cs="Arial"/>
          <w:sz w:val="20"/>
          <w:lang w:val="en-US" w:eastAsia="en-US" w:bidi="ar-SA"/>
        </w:rPr>
        <w:t>4.</w:t>
      </w:r>
      <w:hyperlink r:id="rId8" w:history="1">
        <w:r>
          <w:rPr>
            <w:rFonts w:ascii="Arial" w:eastAsia="Arial" w:hAnsi="Arial" w:cs="Arial"/>
            <w:color w:val="000000"/>
            <w:sz w:val="20"/>
            <w:u w:val="single"/>
            <w:lang w:val="en-US" w:eastAsia="en-US" w:bidi="ar-SA"/>
          </w:rPr>
          <w:t xml:space="preserve"> </w:t>
        </w:r>
      </w:hyperlink>
      <w:hyperlink r:id="rId8" w:history="1">
        <w:r>
          <w:rPr>
            <w:rFonts w:ascii="Arial" w:eastAsia="Arial" w:hAnsi="Arial" w:cs="Arial"/>
            <w:i/>
            <w:color w:val="0077CC"/>
            <w:sz w:val="20"/>
            <w:u w:val="single"/>
            <w:lang w:val="en-US" w:eastAsia="en-US" w:bidi="ar-SA"/>
          </w:rPr>
          <w:t>Life Without Parole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line="300" w:lineRule="atLeast"/>
        <w:ind w:left="440" w:hanging="290"/>
        <w:rPr>
          <w:lang w:val="en-US" w:eastAsia="en-US" w:bidi="ar-SA"/>
        </w:rPr>
      </w:pPr>
      <w:r>
        <w:rPr>
          <w:rFonts w:ascii="Arial" w:eastAsia="Arial" w:hAnsi="Arial" w:cs="Arial"/>
          <w:sz w:val="20"/>
          <w:lang w:val="en-US" w:eastAsia="en-US" w:bidi="ar-SA"/>
        </w:rPr>
        <w:t>5.</w:t>
      </w:r>
      <w:hyperlink r:id="rId9" w:history="1">
        <w:r>
          <w:rPr>
            <w:rFonts w:ascii="Arial" w:eastAsia="Arial" w:hAnsi="Arial" w:cs="Arial"/>
            <w:color w:val="000000"/>
            <w:sz w:val="20"/>
            <w:u w:val="single"/>
            <w:lang w:val="en-US" w:eastAsia="en-US" w:bidi="ar-SA"/>
          </w:rPr>
          <w:t xml:space="preserve"> </w:t>
        </w:r>
      </w:hyperlink>
      <w:hyperlink r:id="rId9" w:history="1">
        <w:r>
          <w:rPr>
            <w:rFonts w:ascii="Arial" w:eastAsia="Arial" w:hAnsi="Arial" w:cs="Arial"/>
            <w:i/>
            <w:color w:val="0077CC"/>
            <w:sz w:val="20"/>
            <w:u w:val="single"/>
            <w:lang w:val="en-US" w:eastAsia="en-US" w:bidi="ar-SA"/>
          </w:rPr>
          <w:t>Insanity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line="300" w:lineRule="atLeast"/>
        <w:ind w:left="440" w:hanging="290"/>
        <w:rPr>
          <w:lang w:val="en-US" w:eastAsia="en-US" w:bidi="ar-SA"/>
        </w:rPr>
      </w:pPr>
      <w:r>
        <w:rPr>
          <w:rFonts w:ascii="Arial" w:eastAsia="Arial" w:hAnsi="Arial" w:cs="Arial"/>
          <w:sz w:val="20"/>
          <w:lang w:val="en-US" w:eastAsia="en-US" w:bidi="ar-SA"/>
        </w:rPr>
        <w:t>6.</w:t>
      </w:r>
      <w:hyperlink r:id="rId10" w:history="1">
        <w:r>
          <w:rPr>
            <w:rFonts w:ascii="Arial" w:eastAsia="Arial" w:hAnsi="Arial" w:cs="Arial"/>
            <w:color w:val="000000"/>
            <w:sz w:val="20"/>
            <w:u w:val="single"/>
            <w:lang w:val="en-US" w:eastAsia="en-US" w:bidi="ar-SA"/>
          </w:rPr>
          <w:t xml:space="preserve"> </w:t>
        </w:r>
      </w:hyperlink>
      <w:hyperlink r:id="rId10" w:history="1">
        <w:r>
          <w:rPr>
            <w:rFonts w:ascii="Arial" w:eastAsia="Arial" w:hAnsi="Arial" w:cs="Arial"/>
            <w:i/>
            <w:color w:val="0077CC"/>
            <w:sz w:val="20"/>
            <w:u w:val="single"/>
            <w:lang w:val="en-US" w:eastAsia="en-US" w:bidi="ar-SA"/>
          </w:rPr>
          <w:t>Lesser Included Offenses</w:t>
        </w:r>
      </w:hyperlink>
    </w:p>
    <w:p>
      <w:pPr>
        <w:spacing w:before="80" w:line="240" w:lineRule="atLeast"/>
        <w:ind w:left="290"/>
        <w:rPr>
          <w:lang w:val="en-US" w:eastAsia="en-US" w:bidi="ar-SA"/>
        </w:rPr>
        <w:sectPr>
          <w:headerReference w:type="even" r:id="rId11"/>
          <w:headerReference w:type="default" r:id="rId12"/>
          <w:footerReference w:type="even" r:id="rId13"/>
          <w:footerReference w:type="default" r:id="rId14"/>
          <w:headerReference w:type="first" r:id="rId15"/>
          <w:footerReference w:type="first" r:id="rId16"/>
          <w:type w:val="nextPage"/>
          <w:pgMar w:top="840" w:right="1080" w:bottom="840" w:left="1080" w:header="0" w:footer="0"/>
          <w:pgNumType w:fmt="decimal"/>
          <w:cols w:space="720"/>
        </w:sect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rPr>
          <w:lang w:val="en-US" w:eastAsia="en-US" w:bidi="ar-SA"/>
        </w:rPr>
        <w:sectPr>
          <w:headerReference w:type="even" r:id="rId17"/>
          <w:headerReference w:type="default" r:id="rId18"/>
          <w:footerReference w:type="even" r:id="rId19"/>
          <w:footerReference w:type="default" r:id="rId20"/>
          <w:headerReference w:type="first" r:id="rId21"/>
          <w:footerReference w:type="first" r:id="rId22"/>
          <w:type w:val="nextPage"/>
          <w:pgSz w:w="12240" w:h="15840"/>
          <w:pgMar w:top="840" w:right="1000" w:bottom="840" w:left="1000" w:header="400" w:footer="400"/>
          <w:pgNumType w:fmt="decimal"/>
          <w:cols w:space="720"/>
          <w:titlePg/>
        </w:sectPr>
      </w:pPr>
    </w:p>
    <w:p>
      <w:pPr>
        <w:rPr>
          <w:lang w:val="en-US" w:eastAsia="en-US" w:bidi="ar-SA"/>
        </w:rPr>
      </w:pPr>
      <w:bookmarkStart w:id="0" w:name="Bookmark_1"/>
      <w:bookmarkEnd w:id="0"/>
    </w:p>
    <w:p>
      <w:pPr>
        <w:rPr>
          <w:lang w:val="en-US" w:eastAsia="en-US" w:bidi="ar-SA"/>
        </w:rPr>
      </w:pPr>
      <w:r>
        <w:pict>
          <v:shape id="_x0000_i1026" type="#_x0000_t75" alt="LexisNexis®" style="width:147.77pt;height:30pt">
            <v:imagedata r:id="rId4" o:title=""/>
          </v:shape>
        </w:pict>
      </w:r>
      <w:r>
        <w:rPr>
          <w:lang w:val="en-US" w:eastAsia="en-US" w:bidi="ar-SA"/>
        </w:rPr>
        <w:cr/>
      </w:r>
    </w:p>
    <w:p>
      <w:pPr>
        <w:spacing w:before="240" w:after="200" w:line="340" w:lineRule="atLeast"/>
        <w:jc w:val="center"/>
        <w:outlineLvl w:val="0"/>
        <w:rPr>
          <w:rFonts w:ascii="Arial" w:hAnsi="Arial" w:cs="Arial"/>
          <w:b/>
          <w:bCs/>
          <w:kern w:val="32"/>
          <w:sz w:val="32"/>
          <w:szCs w:val="32"/>
          <w:lang w:val="en-US" w:eastAsia="en-US" w:bidi="ar-SA"/>
        </w:rPr>
      </w:pPr>
      <w:hyperlink r:id="rId23" w:history="1">
        <w:r>
          <w:rPr>
            <w:rFonts w:ascii="arial" w:eastAsia="arial" w:hAnsi="arial" w:cs="arial"/>
            <w:b/>
            <w:bCs/>
            <w:i/>
            <w:color w:val="0077CC"/>
            <w:kern w:val="32"/>
            <w:sz w:val="28"/>
            <w:szCs w:val="32"/>
            <w:u w:val="single"/>
            <w:lang w:val="en-US" w:eastAsia="en-US" w:bidi="ar-SA"/>
          </w:rPr>
          <w:t>MPJI-Cr 7:00</w:t>
        </w:r>
      </w:hyperlink>
    </w:p>
    <w:p>
      <w:pPr>
        <w:spacing w:line="240" w:lineRule="atLeast"/>
        <w:jc w:val="both"/>
        <w:rPr>
          <w:lang w:val="en-US" w:eastAsia="en-US" w:bidi="ar-SA"/>
        </w:rPr>
      </w:pPr>
    </w:p>
    <w:p>
      <w:pPr>
        <w:spacing w:before="200" w:line="280" w:lineRule="atLeast"/>
        <w:rPr>
          <w:lang w:val="en-US" w:eastAsia="en-US" w:bidi="ar-SA"/>
        </w:rPr>
      </w:pPr>
      <w:r>
        <w:rPr>
          <w:rFonts w:ascii="arial" w:eastAsia="arial" w:hAnsi="arial" w:cs="arial"/>
          <w:b/>
          <w:i/>
          <w:color w:val="000000"/>
          <w:sz w:val="22"/>
          <w:lang w:val="en-US" w:eastAsia="en-US" w:bidi="ar-SA"/>
        </w:rPr>
        <w:t>Maryland Criminal Pattern Jury Instructions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CHAPTER 7 VERDICT SHEETS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DEATH PENALTY--INTRODUCTORY INSTRUCTION</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7:00Death Penalty--Introductory Instruction</w:t>
      </w:r>
    </w:p>
    <w:p>
      <w:pPr>
        <w:spacing w:line="60" w:lineRule="exact"/>
        <w:rPr>
          <w:lang w:val="en-US" w:eastAsia="en-US" w:bidi="ar-SA"/>
        </w:rPr>
      </w:pPr>
      <w:r>
        <w:pict>
          <v:line id="_x0000_s1027" style="position:absolute;z-index:2516582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color w:val="000000"/>
          <w:sz w:val="20"/>
          <w:lang w:val="en-US" w:eastAsia="en-US" w:bidi="ar-SA"/>
        </w:rPr>
        <w:t>Abrogated</w:t>
      </w:r>
      <w:r>
        <w:rPr>
          <w:rFonts w:ascii="arial" w:eastAsia="arial" w:hAnsi="arial" w:cs="arial"/>
          <w:color w:val="000000"/>
          <w:sz w:val="20"/>
          <w:lang w:val="en-US" w:eastAsia="en-US" w:bidi="ar-SA"/>
        </w:rPr>
        <w:t>.</w:t>
      </w:r>
    </w:p>
    <w:p>
      <w:pPr>
        <w:spacing w:before="60" w:line="260" w:lineRule="atLeast"/>
        <w:ind w:left="720"/>
        <w:jc w:val="both"/>
        <w:rPr>
          <w:lang w:val="en-US" w:eastAsia="en-US" w:bidi="ar-SA"/>
        </w:rPr>
      </w:pPr>
      <w:r>
        <w:rPr>
          <w:rFonts w:ascii="arial" w:eastAsia="arial" w:hAnsi="arial" w:cs="arial"/>
          <w:color w:val="000000"/>
          <w:sz w:val="20"/>
          <w:lang w:val="en-US" w:eastAsia="en-US" w:bidi="ar-SA"/>
        </w:rPr>
        <w:t>#MICPEL#</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Source:</w:t>
      </w:r>
      <w:r>
        <w:rPr>
          <w:rFonts w:ascii="arial" w:eastAsia="arial" w:hAnsi="arial" w:cs="arial"/>
          <w:color w:val="000000"/>
          <w:sz w:val="20"/>
          <w:lang w:val="en-US" w:eastAsia="en-US" w:bidi="ar-SA"/>
        </w:rPr>
        <w:t> MICPEL</w:t>
      </w:r>
    </w:p>
    <w:p>
      <w:pPr>
        <w:spacing w:before="240" w:line="220" w:lineRule="atLeast"/>
        <w:rPr>
          <w:lang w:val="en-US" w:eastAsia="en-US" w:bidi="ar-SA"/>
        </w:rPr>
      </w:pPr>
      <w:r>
        <w:rPr>
          <w:rFonts w:ascii="arial" w:eastAsia="arial" w:hAnsi="arial" w:cs="arial"/>
          <w:color w:val="000000"/>
          <w:sz w:val="16"/>
          <w:lang w:val="en-US" w:eastAsia="en-US" w:bidi="ar-SA"/>
        </w:rPr>
        <w:t>Maryland Criminal Pattern Jury Instructions</w:t>
      </w:r>
    </w:p>
    <w:p>
      <w:pPr>
        <w:spacing w:line="220" w:lineRule="atLeast"/>
        <w:rPr>
          <w:lang w:val="en-US" w:eastAsia="en-US" w:bidi="ar-SA"/>
        </w:rPr>
      </w:pPr>
      <w:r>
        <w:rPr>
          <w:rFonts w:ascii="arial" w:eastAsia="arial" w:hAnsi="arial" w:cs="arial"/>
          <w:color w:val="000000"/>
          <w:sz w:val="16"/>
          <w:lang w:val="en-US" w:eastAsia="en-US" w:bidi="ar-SA"/>
        </w:rPr>
        <w:t>Copyright 2018 by The Maryland State Bar Association, Inc.</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28" style="position:absolute;z-index:2516643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4"/>
          <w:headerReference w:type="default" r:id="rId25"/>
          <w:footerReference w:type="even" r:id="rId26"/>
          <w:footerReference w:type="default" r:id="rId27"/>
          <w:headerReference w:type="first" r:id="rId28"/>
          <w:footerReference w:type="first" r:id="rId29"/>
          <w:type w:val="nextPage"/>
          <w:pgSz w:w="12240" w:h="15840"/>
          <w:pgMar w:top="840" w:right="1000" w:bottom="840" w:left="1000" w:header="400" w:footer="400"/>
          <w:pgNumType w:fmt="decimal"/>
          <w:cols w:space="720"/>
          <w:titlePg/>
        </w:sectPr>
      </w:pPr>
    </w:p>
    <w:p>
      <w:pPr>
        <w:rPr>
          <w:lang w:val="en-US" w:eastAsia="en-US" w:bidi="ar-SA"/>
        </w:rPr>
      </w:pPr>
      <w:bookmarkStart w:id="1" w:name="Bookmark_2"/>
      <w:bookmarkEnd w:id="1"/>
    </w:p>
    <w:p>
      <w:pPr>
        <w:rPr>
          <w:lang w:val="en-US" w:eastAsia="en-US" w:bidi="ar-SA"/>
        </w:rPr>
      </w:pPr>
      <w:r>
        <w:pict>
          <v:shape id="_x0000_i1029" type="#_x0000_t75" alt="LexisNexis®" style="width:147.77pt;height:30pt">
            <v:imagedata r:id="rId4" o:title=""/>
          </v:shape>
        </w:pict>
      </w:r>
      <w:r>
        <w:rPr>
          <w:lang w:val="en-US" w:eastAsia="en-US" w:bidi="ar-SA"/>
        </w:rPr>
        <w:cr/>
      </w:r>
    </w:p>
    <w:p>
      <w:pPr>
        <w:spacing w:before="240" w:after="200" w:line="340" w:lineRule="atLeast"/>
        <w:jc w:val="center"/>
        <w:outlineLvl w:val="0"/>
        <w:rPr>
          <w:rFonts w:ascii="Arial" w:hAnsi="Arial" w:cs="Arial"/>
          <w:b/>
          <w:bCs/>
          <w:kern w:val="32"/>
          <w:sz w:val="32"/>
          <w:szCs w:val="32"/>
          <w:lang w:val="en-US" w:eastAsia="en-US" w:bidi="ar-SA"/>
        </w:rPr>
      </w:pPr>
      <w:hyperlink r:id="rId30" w:history="1">
        <w:r>
          <w:rPr>
            <w:rFonts w:ascii="arial" w:eastAsia="arial" w:hAnsi="arial" w:cs="arial"/>
            <w:b/>
            <w:bCs/>
            <w:i/>
            <w:color w:val="0077CC"/>
            <w:kern w:val="32"/>
            <w:sz w:val="28"/>
            <w:szCs w:val="32"/>
            <w:u w:val="single"/>
            <w:lang w:val="en-US" w:eastAsia="en-US" w:bidi="ar-SA"/>
          </w:rPr>
          <w:t>MPJI-Cr 7:00.1</w:t>
        </w:r>
      </w:hyperlink>
    </w:p>
    <w:p>
      <w:pPr>
        <w:spacing w:line="240" w:lineRule="atLeast"/>
        <w:jc w:val="both"/>
        <w:rPr>
          <w:lang w:val="en-US" w:eastAsia="en-US" w:bidi="ar-SA"/>
        </w:rPr>
      </w:pPr>
    </w:p>
    <w:p>
      <w:pPr>
        <w:spacing w:before="200" w:line="280" w:lineRule="atLeast"/>
        <w:rPr>
          <w:lang w:val="en-US" w:eastAsia="en-US" w:bidi="ar-SA"/>
        </w:rPr>
      </w:pPr>
      <w:r>
        <w:rPr>
          <w:rFonts w:ascii="arial" w:eastAsia="arial" w:hAnsi="arial" w:cs="arial"/>
          <w:b/>
          <w:i/>
          <w:color w:val="000000"/>
          <w:sz w:val="22"/>
          <w:lang w:val="en-US" w:eastAsia="en-US" w:bidi="ar-SA"/>
        </w:rPr>
        <w:t>Maryland Criminal Pattern Jury Instructions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CHAPTER 7 VERDICT SHEETS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DEATH PENALTY--PART I INSTRUCTIONS</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7:00.1Death Penalty--Part I Instructions</w:t>
      </w:r>
    </w:p>
    <w:p>
      <w:pPr>
        <w:spacing w:line="60" w:lineRule="exact"/>
        <w:rPr>
          <w:lang w:val="en-US" w:eastAsia="en-US" w:bidi="ar-SA"/>
        </w:rPr>
      </w:pPr>
      <w:r>
        <w:pict>
          <v:line id="_x0000_s1030" style="position:absolute;z-index:2516592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color w:val="000000"/>
          <w:sz w:val="20"/>
          <w:lang w:val="en-US" w:eastAsia="en-US" w:bidi="ar-SA"/>
        </w:rPr>
        <w:t>Abrogated</w:t>
      </w:r>
      <w:r>
        <w:rPr>
          <w:rFonts w:ascii="arial" w:eastAsia="arial" w:hAnsi="arial" w:cs="arial"/>
          <w:color w:val="000000"/>
          <w:sz w:val="20"/>
          <w:lang w:val="en-US" w:eastAsia="en-US" w:bidi="ar-SA"/>
        </w:rPr>
        <w:t>.</w:t>
      </w:r>
    </w:p>
    <w:p>
      <w:pPr>
        <w:spacing w:before="60" w:line="260" w:lineRule="atLeast"/>
        <w:ind w:left="720"/>
        <w:jc w:val="both"/>
        <w:rPr>
          <w:lang w:val="en-US" w:eastAsia="en-US" w:bidi="ar-SA"/>
        </w:rPr>
      </w:pPr>
      <w:r>
        <w:rPr>
          <w:rFonts w:ascii="arial" w:eastAsia="arial" w:hAnsi="arial" w:cs="arial"/>
          <w:color w:val="000000"/>
          <w:sz w:val="20"/>
          <w:lang w:val="en-US" w:eastAsia="en-US" w:bidi="ar-SA"/>
        </w:rPr>
        <w:t>#MICPEL#</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Source:</w:t>
      </w:r>
      <w:r>
        <w:rPr>
          <w:rFonts w:ascii="arial" w:eastAsia="arial" w:hAnsi="arial" w:cs="arial"/>
          <w:color w:val="000000"/>
          <w:sz w:val="20"/>
          <w:lang w:val="en-US" w:eastAsia="en-US" w:bidi="ar-SA"/>
        </w:rPr>
        <w:t> MICPEL</w:t>
      </w:r>
    </w:p>
    <w:p>
      <w:pPr>
        <w:spacing w:before="240" w:line="220" w:lineRule="atLeast"/>
        <w:rPr>
          <w:lang w:val="en-US" w:eastAsia="en-US" w:bidi="ar-SA"/>
        </w:rPr>
      </w:pPr>
      <w:r>
        <w:rPr>
          <w:rFonts w:ascii="arial" w:eastAsia="arial" w:hAnsi="arial" w:cs="arial"/>
          <w:color w:val="000000"/>
          <w:sz w:val="16"/>
          <w:lang w:val="en-US" w:eastAsia="en-US" w:bidi="ar-SA"/>
        </w:rPr>
        <w:t>Maryland Criminal Pattern Jury Instructions</w:t>
      </w:r>
    </w:p>
    <w:p>
      <w:pPr>
        <w:spacing w:line="220" w:lineRule="atLeast"/>
        <w:rPr>
          <w:lang w:val="en-US" w:eastAsia="en-US" w:bidi="ar-SA"/>
        </w:rPr>
      </w:pPr>
      <w:r>
        <w:rPr>
          <w:rFonts w:ascii="arial" w:eastAsia="arial" w:hAnsi="arial" w:cs="arial"/>
          <w:color w:val="000000"/>
          <w:sz w:val="16"/>
          <w:lang w:val="en-US" w:eastAsia="en-US" w:bidi="ar-SA"/>
        </w:rPr>
        <w:t>Copyright 2018 by The Maryland State Bar Association, Inc.</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1" style="position:absolute;z-index:2516654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1"/>
          <w:headerReference w:type="default" r:id="rId32"/>
          <w:footerReference w:type="even" r:id="rId33"/>
          <w:footerReference w:type="default" r:id="rId34"/>
          <w:headerReference w:type="first" r:id="rId35"/>
          <w:footerReference w:type="first" r:id="rId36"/>
          <w:type w:val="nextPage"/>
          <w:pgSz w:w="12240" w:h="15840"/>
          <w:pgMar w:top="840" w:right="1000" w:bottom="840" w:left="1000" w:header="400" w:footer="400"/>
          <w:pgNumType w:fmt="decimal"/>
          <w:cols w:space="720"/>
          <w:titlePg/>
        </w:sectPr>
      </w:pPr>
    </w:p>
    <w:p>
      <w:pPr>
        <w:rPr>
          <w:lang w:val="en-US" w:eastAsia="en-US" w:bidi="ar-SA"/>
        </w:rPr>
      </w:pPr>
      <w:bookmarkStart w:id="2" w:name="Bookmark_3"/>
      <w:bookmarkEnd w:id="2"/>
    </w:p>
    <w:p>
      <w:pPr>
        <w:rPr>
          <w:lang w:val="en-US" w:eastAsia="en-US" w:bidi="ar-SA"/>
        </w:rPr>
      </w:pPr>
      <w:r>
        <w:pict>
          <v:shape id="_x0000_i1032" type="#_x0000_t75" alt="LexisNexis®" style="width:147.77pt;height:30pt">
            <v:imagedata r:id="rId4" o:title=""/>
          </v:shape>
        </w:pict>
      </w:r>
      <w:r>
        <w:rPr>
          <w:lang w:val="en-US" w:eastAsia="en-US" w:bidi="ar-SA"/>
        </w:rPr>
        <w:cr/>
      </w:r>
    </w:p>
    <w:p>
      <w:pPr>
        <w:spacing w:before="240" w:after="200" w:line="340" w:lineRule="atLeast"/>
        <w:jc w:val="center"/>
        <w:outlineLvl w:val="0"/>
        <w:rPr>
          <w:rFonts w:ascii="Arial" w:hAnsi="Arial" w:cs="Arial"/>
          <w:b/>
          <w:bCs/>
          <w:kern w:val="32"/>
          <w:sz w:val="32"/>
          <w:szCs w:val="32"/>
          <w:lang w:val="en-US" w:eastAsia="en-US" w:bidi="ar-SA"/>
        </w:rPr>
      </w:pPr>
      <w:hyperlink r:id="rId37" w:history="1">
        <w:r>
          <w:rPr>
            <w:rFonts w:ascii="arial" w:eastAsia="arial" w:hAnsi="arial" w:cs="arial"/>
            <w:b/>
            <w:bCs/>
            <w:i/>
            <w:color w:val="0077CC"/>
            <w:kern w:val="32"/>
            <w:sz w:val="28"/>
            <w:szCs w:val="32"/>
            <w:u w:val="single"/>
            <w:lang w:val="en-US" w:eastAsia="en-US" w:bidi="ar-SA"/>
          </w:rPr>
          <w:t>MPJI-Cr 7:00.2</w:t>
        </w:r>
      </w:hyperlink>
    </w:p>
    <w:p>
      <w:pPr>
        <w:spacing w:line="240" w:lineRule="atLeast"/>
        <w:jc w:val="both"/>
        <w:rPr>
          <w:lang w:val="en-US" w:eastAsia="en-US" w:bidi="ar-SA"/>
        </w:rPr>
      </w:pPr>
    </w:p>
    <w:p>
      <w:pPr>
        <w:spacing w:before="200" w:line="280" w:lineRule="atLeast"/>
        <w:rPr>
          <w:lang w:val="en-US" w:eastAsia="en-US" w:bidi="ar-SA"/>
        </w:rPr>
      </w:pPr>
      <w:r>
        <w:rPr>
          <w:rFonts w:ascii="arial" w:eastAsia="arial" w:hAnsi="arial" w:cs="arial"/>
          <w:b/>
          <w:i/>
          <w:color w:val="000000"/>
          <w:sz w:val="22"/>
          <w:lang w:val="en-US" w:eastAsia="en-US" w:bidi="ar-SA"/>
        </w:rPr>
        <w:t>Maryland Criminal Pattern Jury Instructions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CHAPTER 7 VERDICT SHEETS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DEATH PENALTY--PART II INSTRUCTIONS</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7:00.2Death Penalty--Part II Instructions</w:t>
      </w:r>
    </w:p>
    <w:p>
      <w:pPr>
        <w:spacing w:line="60" w:lineRule="exact"/>
        <w:rPr>
          <w:lang w:val="en-US" w:eastAsia="en-US" w:bidi="ar-SA"/>
        </w:rPr>
      </w:pPr>
      <w:r>
        <w:pict>
          <v:line id="_x0000_s1033" style="position:absolute;z-index:2516602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color w:val="000000"/>
          <w:sz w:val="20"/>
          <w:lang w:val="en-US" w:eastAsia="en-US" w:bidi="ar-SA"/>
        </w:rPr>
        <w:t>Abrogated</w:t>
      </w:r>
      <w:r>
        <w:rPr>
          <w:rFonts w:ascii="arial" w:eastAsia="arial" w:hAnsi="arial" w:cs="arial"/>
          <w:color w:val="000000"/>
          <w:sz w:val="20"/>
          <w:lang w:val="en-US" w:eastAsia="en-US" w:bidi="ar-SA"/>
        </w:rPr>
        <w:t>.</w:t>
      </w:r>
    </w:p>
    <w:p>
      <w:pPr>
        <w:spacing w:before="60" w:line="260" w:lineRule="atLeast"/>
        <w:ind w:left="720"/>
        <w:jc w:val="both"/>
        <w:rPr>
          <w:lang w:val="en-US" w:eastAsia="en-US" w:bidi="ar-SA"/>
        </w:rPr>
      </w:pPr>
      <w:r>
        <w:rPr>
          <w:rFonts w:ascii="arial" w:eastAsia="arial" w:hAnsi="arial" w:cs="arial"/>
          <w:color w:val="000000"/>
          <w:sz w:val="20"/>
          <w:lang w:val="en-US" w:eastAsia="en-US" w:bidi="ar-SA"/>
        </w:rPr>
        <w:t>#MICPEL#</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Source:</w:t>
      </w:r>
      <w:r>
        <w:rPr>
          <w:rFonts w:ascii="arial" w:eastAsia="arial" w:hAnsi="arial" w:cs="arial"/>
          <w:color w:val="000000"/>
          <w:sz w:val="20"/>
          <w:lang w:val="en-US" w:eastAsia="en-US" w:bidi="ar-SA"/>
        </w:rPr>
        <w:t> MICPEL</w:t>
      </w:r>
    </w:p>
    <w:p>
      <w:pPr>
        <w:spacing w:before="240" w:line="220" w:lineRule="atLeast"/>
        <w:rPr>
          <w:lang w:val="en-US" w:eastAsia="en-US" w:bidi="ar-SA"/>
        </w:rPr>
      </w:pPr>
      <w:r>
        <w:rPr>
          <w:rFonts w:ascii="arial" w:eastAsia="arial" w:hAnsi="arial" w:cs="arial"/>
          <w:color w:val="000000"/>
          <w:sz w:val="16"/>
          <w:lang w:val="en-US" w:eastAsia="en-US" w:bidi="ar-SA"/>
        </w:rPr>
        <w:t>Maryland Criminal Pattern Jury Instructions</w:t>
      </w:r>
    </w:p>
    <w:p>
      <w:pPr>
        <w:spacing w:line="220" w:lineRule="atLeast"/>
        <w:rPr>
          <w:lang w:val="en-US" w:eastAsia="en-US" w:bidi="ar-SA"/>
        </w:rPr>
      </w:pPr>
      <w:r>
        <w:rPr>
          <w:rFonts w:ascii="arial" w:eastAsia="arial" w:hAnsi="arial" w:cs="arial"/>
          <w:color w:val="000000"/>
          <w:sz w:val="16"/>
          <w:lang w:val="en-US" w:eastAsia="en-US" w:bidi="ar-SA"/>
        </w:rPr>
        <w:t>Copyright 2018 by The Maryland State Bar Association, Inc.</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4" style="position:absolute;z-index:2516664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8"/>
          <w:headerReference w:type="default" r:id="rId39"/>
          <w:footerReference w:type="even" r:id="rId40"/>
          <w:footerReference w:type="default" r:id="rId41"/>
          <w:headerReference w:type="first" r:id="rId42"/>
          <w:footerReference w:type="first" r:id="rId43"/>
          <w:type w:val="nextPage"/>
          <w:pgSz w:w="12240" w:h="15840"/>
          <w:pgMar w:top="840" w:right="1000" w:bottom="840" w:left="1000" w:header="400" w:footer="400"/>
          <w:pgNumType w:fmt="decimal"/>
          <w:cols w:space="720"/>
          <w:titlePg/>
        </w:sectPr>
      </w:pPr>
    </w:p>
    <w:p>
      <w:pPr>
        <w:rPr>
          <w:lang w:val="en-US" w:eastAsia="en-US" w:bidi="ar-SA"/>
        </w:rPr>
      </w:pPr>
      <w:bookmarkStart w:id="3" w:name="Bookmark_4"/>
      <w:bookmarkEnd w:id="3"/>
    </w:p>
    <w:p>
      <w:pPr>
        <w:rPr>
          <w:lang w:val="en-US" w:eastAsia="en-US" w:bidi="ar-SA"/>
        </w:rPr>
      </w:pPr>
      <w:r>
        <w:pict>
          <v:shape id="_x0000_i1035" type="#_x0000_t75" alt="LexisNexis®" style="width:147.77pt;height:30pt">
            <v:imagedata r:id="rId4" o:title=""/>
          </v:shape>
        </w:pict>
      </w:r>
      <w:r>
        <w:rPr>
          <w:lang w:val="en-US" w:eastAsia="en-US" w:bidi="ar-SA"/>
        </w:rPr>
        <w:cr/>
      </w:r>
    </w:p>
    <w:p>
      <w:pPr>
        <w:spacing w:before="240" w:after="200" w:line="340" w:lineRule="atLeast"/>
        <w:jc w:val="center"/>
        <w:outlineLvl w:val="0"/>
        <w:rPr>
          <w:rFonts w:ascii="Arial" w:hAnsi="Arial" w:cs="Arial"/>
          <w:b/>
          <w:bCs/>
          <w:kern w:val="32"/>
          <w:sz w:val="32"/>
          <w:szCs w:val="32"/>
          <w:lang w:val="en-US" w:eastAsia="en-US" w:bidi="ar-SA"/>
        </w:rPr>
      </w:pPr>
      <w:hyperlink r:id="rId44" w:history="1">
        <w:r>
          <w:rPr>
            <w:rFonts w:ascii="arial" w:eastAsia="arial" w:hAnsi="arial" w:cs="arial"/>
            <w:b/>
            <w:bCs/>
            <w:i/>
            <w:color w:val="0077CC"/>
            <w:kern w:val="32"/>
            <w:sz w:val="28"/>
            <w:szCs w:val="32"/>
            <w:u w:val="single"/>
            <w:lang w:val="en-US" w:eastAsia="en-US" w:bidi="ar-SA"/>
          </w:rPr>
          <w:t>MPJI-Cr 7:01</w:t>
        </w:r>
      </w:hyperlink>
    </w:p>
    <w:p>
      <w:pPr>
        <w:spacing w:line="240" w:lineRule="atLeast"/>
        <w:jc w:val="both"/>
        <w:rPr>
          <w:lang w:val="en-US" w:eastAsia="en-US" w:bidi="ar-SA"/>
        </w:rPr>
      </w:pPr>
    </w:p>
    <w:p>
      <w:pPr>
        <w:spacing w:before="200" w:line="280" w:lineRule="atLeast"/>
        <w:rPr>
          <w:lang w:val="en-US" w:eastAsia="en-US" w:bidi="ar-SA"/>
        </w:rPr>
      </w:pPr>
      <w:r>
        <w:rPr>
          <w:rFonts w:ascii="arial" w:eastAsia="arial" w:hAnsi="arial" w:cs="arial"/>
          <w:b/>
          <w:i/>
          <w:color w:val="000000"/>
          <w:sz w:val="22"/>
          <w:lang w:val="en-US" w:eastAsia="en-US" w:bidi="ar-SA"/>
        </w:rPr>
        <w:t>Maryland Criminal Pattern Jury Instructions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CHAPTER 7 VERDICT SHEETS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LIFE WITHOUT PAROLE</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7:01Life Without Parole</w:t>
      </w:r>
    </w:p>
    <w:p>
      <w:pPr>
        <w:spacing w:line="60" w:lineRule="exact"/>
        <w:rPr>
          <w:lang w:val="en-US" w:eastAsia="en-US" w:bidi="ar-SA"/>
        </w:rPr>
      </w:pPr>
      <w:r>
        <w:pict>
          <v:line id="_x0000_s1036" style="position:absolute;z-index:2516613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color w:val="000000"/>
          <w:sz w:val="20"/>
          <w:lang w:val="en-US" w:eastAsia="en-US" w:bidi="ar-SA"/>
        </w:rPr>
        <w:t>Abrogated</w:t>
      </w:r>
      <w:r>
        <w:rPr>
          <w:rFonts w:ascii="arial" w:eastAsia="arial" w:hAnsi="arial" w:cs="arial"/>
          <w:color w:val="000000"/>
          <w:sz w:val="20"/>
          <w:lang w:val="en-US" w:eastAsia="en-US" w:bidi="ar-SA"/>
        </w:rPr>
        <w:t>.</w:t>
      </w:r>
    </w:p>
    <w:p>
      <w:pPr>
        <w:spacing w:before="60" w:line="260" w:lineRule="atLeast"/>
        <w:ind w:left="720"/>
        <w:jc w:val="both"/>
        <w:rPr>
          <w:lang w:val="en-US" w:eastAsia="en-US" w:bidi="ar-SA"/>
        </w:rPr>
      </w:pPr>
      <w:r>
        <w:rPr>
          <w:rFonts w:ascii="arial" w:eastAsia="arial" w:hAnsi="arial" w:cs="arial"/>
          <w:color w:val="000000"/>
          <w:sz w:val="20"/>
          <w:lang w:val="en-US" w:eastAsia="en-US" w:bidi="ar-SA"/>
        </w:rPr>
        <w:t>#MICPEL#</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Source:</w:t>
      </w:r>
      <w:r>
        <w:rPr>
          <w:rFonts w:ascii="arial" w:eastAsia="arial" w:hAnsi="arial" w:cs="arial"/>
          <w:color w:val="000000"/>
          <w:sz w:val="20"/>
          <w:lang w:val="en-US" w:eastAsia="en-US" w:bidi="ar-SA"/>
        </w:rPr>
        <w:t> MICPEL</w:t>
      </w:r>
    </w:p>
    <w:p>
      <w:pPr>
        <w:spacing w:before="240" w:line="220" w:lineRule="atLeast"/>
        <w:rPr>
          <w:lang w:val="en-US" w:eastAsia="en-US" w:bidi="ar-SA"/>
        </w:rPr>
      </w:pPr>
      <w:r>
        <w:rPr>
          <w:rFonts w:ascii="arial" w:eastAsia="arial" w:hAnsi="arial" w:cs="arial"/>
          <w:color w:val="000000"/>
          <w:sz w:val="16"/>
          <w:lang w:val="en-US" w:eastAsia="en-US" w:bidi="ar-SA"/>
        </w:rPr>
        <w:t>Maryland Criminal Pattern Jury Instructions</w:t>
      </w:r>
    </w:p>
    <w:p>
      <w:pPr>
        <w:spacing w:line="220" w:lineRule="atLeast"/>
        <w:rPr>
          <w:lang w:val="en-US" w:eastAsia="en-US" w:bidi="ar-SA"/>
        </w:rPr>
      </w:pPr>
      <w:r>
        <w:rPr>
          <w:rFonts w:ascii="arial" w:eastAsia="arial" w:hAnsi="arial" w:cs="arial"/>
          <w:color w:val="000000"/>
          <w:sz w:val="16"/>
          <w:lang w:val="en-US" w:eastAsia="en-US" w:bidi="ar-SA"/>
        </w:rPr>
        <w:t>Copyright 2018 by The Maryland State Bar Association, Inc.</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7" style="position:absolute;z-index:2516674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5"/>
          <w:headerReference w:type="default" r:id="rId46"/>
          <w:footerReference w:type="even" r:id="rId47"/>
          <w:footerReference w:type="default" r:id="rId48"/>
          <w:headerReference w:type="first" r:id="rId49"/>
          <w:footerReference w:type="first" r:id="rId50"/>
          <w:type w:val="nextPage"/>
          <w:pgSz w:w="12240" w:h="15840"/>
          <w:pgMar w:top="840" w:right="1000" w:bottom="840" w:left="1000" w:header="400" w:footer="400"/>
          <w:pgNumType w:fmt="decimal"/>
          <w:cols w:space="720"/>
          <w:titlePg/>
        </w:sectPr>
      </w:pPr>
    </w:p>
    <w:p>
      <w:pPr>
        <w:rPr>
          <w:lang w:val="en-US" w:eastAsia="en-US" w:bidi="ar-SA"/>
        </w:rPr>
      </w:pPr>
      <w:bookmarkStart w:id="4" w:name="Bookmark_5"/>
      <w:bookmarkEnd w:id="4"/>
    </w:p>
    <w:p>
      <w:pPr>
        <w:rPr>
          <w:lang w:val="en-US" w:eastAsia="en-US" w:bidi="ar-SA"/>
        </w:rPr>
      </w:pPr>
      <w:r>
        <w:pict>
          <v:shape id="_x0000_i1038" type="#_x0000_t75" alt="LexisNexis®" style="width:147.77pt;height:30pt">
            <v:imagedata r:id="rId4" o:title=""/>
          </v:shape>
        </w:pict>
      </w:r>
      <w:r>
        <w:rPr>
          <w:lang w:val="en-US" w:eastAsia="en-US" w:bidi="ar-SA"/>
        </w:rPr>
        <w:cr/>
      </w:r>
    </w:p>
    <w:p>
      <w:pPr>
        <w:spacing w:before="240" w:after="200" w:line="340" w:lineRule="atLeast"/>
        <w:jc w:val="center"/>
        <w:outlineLvl w:val="0"/>
        <w:rPr>
          <w:rFonts w:ascii="Arial" w:hAnsi="Arial" w:cs="Arial"/>
          <w:b/>
          <w:bCs/>
          <w:kern w:val="32"/>
          <w:sz w:val="32"/>
          <w:szCs w:val="32"/>
          <w:lang w:val="en-US" w:eastAsia="en-US" w:bidi="ar-SA"/>
        </w:rPr>
      </w:pPr>
      <w:hyperlink r:id="rId51" w:history="1">
        <w:r>
          <w:rPr>
            <w:rFonts w:ascii="arial" w:eastAsia="arial" w:hAnsi="arial" w:cs="arial"/>
            <w:b/>
            <w:bCs/>
            <w:i/>
            <w:color w:val="0077CC"/>
            <w:kern w:val="32"/>
            <w:sz w:val="28"/>
            <w:szCs w:val="32"/>
            <w:u w:val="single"/>
            <w:lang w:val="en-US" w:eastAsia="en-US" w:bidi="ar-SA"/>
          </w:rPr>
          <w:t>MPJI-Cr 7:02</w:t>
        </w:r>
      </w:hyperlink>
    </w:p>
    <w:p>
      <w:pPr>
        <w:spacing w:line="240" w:lineRule="atLeast"/>
        <w:jc w:val="both"/>
        <w:rPr>
          <w:lang w:val="en-US" w:eastAsia="en-US" w:bidi="ar-SA"/>
        </w:rPr>
      </w:pPr>
    </w:p>
    <w:p>
      <w:pPr>
        <w:spacing w:before="200" w:line="280" w:lineRule="atLeast"/>
        <w:rPr>
          <w:lang w:val="en-US" w:eastAsia="en-US" w:bidi="ar-SA"/>
        </w:rPr>
      </w:pPr>
      <w:r>
        <w:rPr>
          <w:rFonts w:ascii="arial" w:eastAsia="arial" w:hAnsi="arial" w:cs="arial"/>
          <w:b/>
          <w:i/>
          <w:color w:val="000000"/>
          <w:sz w:val="22"/>
          <w:lang w:val="en-US" w:eastAsia="en-US" w:bidi="ar-SA"/>
        </w:rPr>
        <w:t>Maryland Criminal Pattern Jury Instructions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CHAPTER 7 VERDICT SHEETS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INSANITY</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7:02Insanity</w:t>
      </w:r>
    </w:p>
    <w:p>
      <w:pPr>
        <w:spacing w:line="60" w:lineRule="exact"/>
        <w:rPr>
          <w:lang w:val="en-US" w:eastAsia="en-US" w:bidi="ar-SA"/>
        </w:rPr>
      </w:pPr>
      <w:r>
        <w:pict>
          <v:line id="_x0000_s1039" style="position:absolute;z-index:2516623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color w:val="000000"/>
          <w:sz w:val="20"/>
          <w:lang w:val="en-US" w:eastAsia="en-US" w:bidi="ar-SA"/>
        </w:rPr>
        <w:t>(</w:t>
      </w:r>
      <w:r>
        <w:rPr>
          <w:rFonts w:ascii="arial" w:eastAsia="arial" w:hAnsi="arial" w:cs="arial"/>
          <w:b/>
          <w:color w:val="000000"/>
          <w:sz w:val="20"/>
          <w:u w:val="single"/>
          <w:lang w:val="en-US" w:eastAsia="en-US" w:bidi="ar-SA"/>
        </w:rPr>
        <w:t>List criminal offense charged</w:t>
      </w:r>
      <w:r>
        <w:rPr>
          <w:rFonts w:ascii="arial" w:eastAsia="arial" w:hAnsi="arial" w:cs="arial"/>
          <w:b/>
          <w:color w:val="000000"/>
          <w:sz w:val="20"/>
          <w:lang w:val="en-US" w:eastAsia="en-US" w:bidi="ar-SA"/>
        </w:rPr>
        <w:t>)</w:t>
      </w:r>
    </w:p>
    <w:p>
      <w:pPr>
        <w:spacing w:before="200" w:line="260" w:lineRule="atLeast"/>
        <w:jc w:val="both"/>
        <w:rPr>
          <w:lang w:val="en-US" w:eastAsia="en-US" w:bidi="ar-SA"/>
        </w:rPr>
      </w:pPr>
      <w:r>
        <w:rPr>
          <w:rFonts w:ascii="arial" w:eastAsia="arial" w:hAnsi="arial" w:cs="arial"/>
          <w:b/>
          <w:color w:val="000000"/>
          <w:sz w:val="20"/>
          <w:lang w:val="en-US" w:eastAsia="en-US" w:bidi="ar-SA"/>
        </w:rPr>
        <w:t>_____ Not guilty</w:t>
      </w:r>
    </w:p>
    <w:p>
      <w:pPr>
        <w:spacing w:before="200" w:line="260" w:lineRule="atLeast"/>
        <w:jc w:val="both"/>
        <w:rPr>
          <w:lang w:val="en-US" w:eastAsia="en-US" w:bidi="ar-SA"/>
        </w:rPr>
      </w:pPr>
      <w:r>
        <w:rPr>
          <w:rFonts w:ascii="arial" w:eastAsia="arial" w:hAnsi="arial" w:cs="arial"/>
          <w:b/>
          <w:color w:val="000000"/>
          <w:sz w:val="20"/>
          <w:lang w:val="en-US" w:eastAsia="en-US" w:bidi="ar-SA"/>
        </w:rPr>
        <w:t>_____ Guilty</w:t>
      </w:r>
    </w:p>
    <w:p>
      <w:pPr>
        <w:spacing w:before="200" w:line="260" w:lineRule="atLeast"/>
        <w:jc w:val="both"/>
        <w:rPr>
          <w:lang w:val="en-US" w:eastAsia="en-US" w:bidi="ar-SA"/>
        </w:rPr>
      </w:pPr>
      <w:r>
        <w:rPr>
          <w:rFonts w:ascii="arial" w:eastAsia="arial" w:hAnsi="arial" w:cs="arial"/>
          <w:b/>
          <w:color w:val="000000"/>
          <w:sz w:val="20"/>
          <w:lang w:val="en-US" w:eastAsia="en-US" w:bidi="ar-SA"/>
        </w:rPr>
        <w:t>If guilty, insanity defense</w:t>
      </w:r>
    </w:p>
    <w:p>
      <w:pPr>
        <w:spacing w:before="200" w:line="260" w:lineRule="atLeast"/>
        <w:jc w:val="both"/>
        <w:rPr>
          <w:lang w:val="en-US" w:eastAsia="en-US" w:bidi="ar-SA"/>
        </w:rPr>
      </w:pPr>
      <w:r>
        <w:rPr>
          <w:rFonts w:ascii="arial" w:eastAsia="arial" w:hAnsi="arial" w:cs="arial"/>
          <w:b/>
          <w:color w:val="000000"/>
          <w:sz w:val="20"/>
          <w:lang w:val="en-US" w:eastAsia="en-US" w:bidi="ar-SA"/>
        </w:rPr>
        <w:t>_____ Criminally responsible</w:t>
      </w:r>
    </w:p>
    <w:p>
      <w:pPr>
        <w:spacing w:before="200" w:line="260" w:lineRule="atLeast"/>
        <w:jc w:val="both"/>
        <w:rPr>
          <w:lang w:val="en-US" w:eastAsia="en-US" w:bidi="ar-SA"/>
        </w:rPr>
      </w:pPr>
      <w:r>
        <w:rPr>
          <w:rFonts w:ascii="arial" w:eastAsia="arial" w:hAnsi="arial" w:cs="arial"/>
          <w:b/>
          <w:color w:val="000000"/>
          <w:sz w:val="20"/>
          <w:lang w:val="en-US" w:eastAsia="en-US" w:bidi="ar-SA"/>
        </w:rPr>
        <w:t>_____ Not criminally responsible</w:t>
      </w:r>
    </w:p>
    <w:p>
      <w:pPr>
        <w:rPr>
          <w:lang w:val="en-US" w:eastAsia="en-US" w:bidi="ar-SA"/>
        </w:rPr>
      </w:pPr>
    </w:p>
    <w:tbl>
      <w:tblPr>
        <w:tblStyle w:val="TableNormal"/>
        <w:tblW w:w="0" w:type="auto"/>
        <w:tblInd w:w="0" w:type="dxa"/>
        <w:tblBorders>
          <w:top w:val="single" w:sz="8" w:space="0" w:color="BCBEC0"/>
          <w:left w:val="single" w:sz="8" w:space="0" w:color="BCBEC0"/>
          <w:bottom w:val="single" w:sz="8" w:space="0" w:color="BCBEC0"/>
          <w:right w:val="single" w:sz="8" w:space="0" w:color="BCBEC0"/>
          <w:insideH w:val="single" w:sz="8" w:space="0" w:color="BCBEC0"/>
          <w:insideV w:val="single" w:sz="8" w:space="0" w:color="BCBEC0"/>
        </w:tblBorders>
        <w:tblLayout w:type="fixed"/>
        <w:tblCellMar>
          <w:left w:w="108" w:type="dxa"/>
          <w:right w:w="108" w:type="dxa"/>
        </w:tblCellMar>
      </w:tblPr>
      <w:tblGrid>
        <w:gridCol w:w="10240"/>
      </w:tblGrid>
      <w:tr>
        <w:tblPrEx>
          <w:tblW w:w="0" w:type="auto"/>
          <w:tblInd w:w="0" w:type="dxa"/>
          <w:tblBorders>
            <w:top w:val="single" w:sz="8" w:space="0" w:color="BCBEC0"/>
            <w:left w:val="single" w:sz="8" w:space="0" w:color="BCBEC0"/>
            <w:bottom w:val="single" w:sz="8" w:space="0" w:color="BCBEC0"/>
            <w:right w:val="single" w:sz="8" w:space="0" w:color="BCBEC0"/>
            <w:insideH w:val="single" w:sz="8" w:space="0" w:color="BCBEC0"/>
            <w:insideV w:val="single" w:sz="8" w:space="0" w:color="BCBEC0"/>
          </w:tblBorders>
          <w:tblLayout w:type="fixed"/>
          <w:tblCellMar>
            <w:left w:w="108" w:type="dxa"/>
            <w:right w:w="108" w:type="dxa"/>
          </w:tblCellMar>
        </w:tblPrEx>
        <w:tc>
          <w:tcPr>
            <w:tcW w:w="10240" w:type="dxa"/>
            <w:vAlign w:val="center"/>
          </w:tcPr>
          <w:p>
            <w:pPr>
              <w:spacing w:before="240" w:line="260" w:lineRule="atLeast"/>
              <w:ind w:left="60" w:right="360"/>
              <w:rPr>
                <w:lang w:val="en-US" w:eastAsia="en-US" w:bidi="ar-SA"/>
              </w:rPr>
            </w:pPr>
            <w:r>
              <w:rPr>
                <w:rFonts w:ascii="arial" w:eastAsia="arial" w:hAnsi="arial" w:cs="arial"/>
                <w:b/>
                <w:color w:val="000000"/>
                <w:sz w:val="20"/>
                <w:lang w:val="en-US" w:eastAsia="en-US" w:bidi="ar-SA"/>
              </w:rPr>
              <w:t> </w:t>
            </w:r>
          </w:p>
          <w:p>
            <w:pPr>
              <w:spacing w:before="200" w:line="260" w:lineRule="atLeast"/>
              <w:ind w:left="60" w:right="360"/>
              <w:jc w:val="both"/>
              <w:rPr>
                <w:lang w:val="en-US" w:eastAsia="en-US" w:bidi="ar-SA"/>
              </w:rPr>
            </w:pPr>
            <w:r>
              <w:rPr>
                <w:rFonts w:ascii="arial" w:eastAsia="arial" w:hAnsi="arial" w:cs="arial"/>
                <w:color w:val="000000"/>
                <w:sz w:val="20"/>
                <w:lang w:val="en-US" w:eastAsia="en-US" w:bidi="ar-SA"/>
              </w:rPr>
              <w:t>COMMENT</w:t>
            </w:r>
          </w:p>
          <w:p>
            <w:pPr>
              <w:spacing w:before="200" w:line="260" w:lineRule="atLeast"/>
              <w:ind w:left="60" w:right="360"/>
              <w:jc w:val="both"/>
              <w:rPr>
                <w:lang w:val="en-US" w:eastAsia="en-US" w:bidi="ar-SA"/>
              </w:rPr>
            </w:pPr>
            <w:r>
              <w:rPr>
                <w:rFonts w:ascii="arial" w:eastAsia="arial" w:hAnsi="arial" w:cs="arial"/>
                <w:i/>
                <w:color w:val="000000"/>
                <w:sz w:val="20"/>
                <w:lang w:val="en-US" w:eastAsia="en-US" w:bidi="ar-SA"/>
              </w:rPr>
              <w:t>See</w:t>
            </w:r>
            <w:r>
              <w:rPr>
                <w:rFonts w:ascii="arial" w:eastAsia="arial" w:hAnsi="arial" w:cs="arial"/>
                <w:color w:val="000000"/>
                <w:sz w:val="20"/>
                <w:lang w:val="en-US" w:eastAsia="en-US" w:bidi="ar-SA"/>
              </w:rPr>
              <w:t xml:space="preserve"> Comments to MPJI-Cr 5:05 (Insanity--Nonbifurcated Proceeding); MPJI-Cr 5:05.1 (Insanity--Bifurcated Proceeding).</w:t>
            </w:r>
          </w:p>
          <w:p>
            <w:pPr>
              <w:spacing w:before="240" w:line="260" w:lineRule="atLeast"/>
              <w:ind w:left="60" w:right="360"/>
              <w:jc w:val="both"/>
              <w:rPr>
                <w:lang w:val="en-US" w:eastAsia="en-US" w:bidi="ar-SA"/>
              </w:rPr>
            </w:pPr>
            <w:r>
              <w:rPr>
                <w:rFonts w:ascii="arial" w:eastAsia="arial" w:hAnsi="arial" w:cs="arial"/>
                <w:color w:val="000000"/>
                <w:sz w:val="20"/>
                <w:lang w:val="en-US" w:eastAsia="en-US" w:bidi="ar-SA"/>
              </w:rPr>
              <w:t xml:space="preserve">Maryland follows the approach under which a successful plea of insanity results in a verdict of guilty but not criminally responsible. </w:t>
            </w:r>
            <w:hyperlink r:id="rId52" w:history="1">
              <w:r>
                <w:rPr>
                  <w:rFonts w:ascii="arial" w:eastAsia="arial" w:hAnsi="arial" w:cs="arial"/>
                  <w:i/>
                  <w:color w:val="0077CC"/>
                  <w:sz w:val="20"/>
                  <w:u w:val="single"/>
                  <w:lang w:val="en-US" w:eastAsia="en-US" w:bidi="ar-SA"/>
                </w:rPr>
                <w:t>Langworthy v. State, 284 Md. 588, 598, 399 A.2d 578, 584 (1979),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cert. denied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450 U.S. 960 (1981).</w:t>
            </w:r>
            <w:r>
              <w:rPr>
                <w:rFonts w:ascii="arial" w:eastAsia="arial" w:hAnsi="arial" w:cs="arial"/>
                <w:color w:val="000000"/>
                <w:sz w:val="20"/>
                <w:lang w:val="en-US" w:eastAsia="en-US" w:bidi="ar-SA"/>
              </w:rPr>
              <w:t xml:space="preserve"> "[A] finding of insanity is not tantamount to an absence of mens rea, or inconsistent with a general intent to commit a crime." </w:t>
            </w:r>
            <w:hyperlink r:id="rId53" w:history="1">
              <w:r>
                <w:rPr>
                  <w:rFonts w:ascii="arial" w:eastAsia="arial" w:hAnsi="arial" w:cs="arial"/>
                  <w:i/>
                  <w:color w:val="0077CC"/>
                  <w:sz w:val="20"/>
                  <w:u w:val="single"/>
                  <w:lang w:val="en-US" w:eastAsia="en-US" w:bidi="ar-SA"/>
                </w:rPr>
                <w:t>Pouncey v. State, 297 Md. 264, 269, 465 A.2d 475, 478 (1983).</w:t>
              </w:r>
            </w:hyperlink>
            <w:r>
              <w:rPr>
                <w:rFonts w:ascii="arial" w:eastAsia="arial" w:hAnsi="arial" w:cs="arial"/>
                <w:color w:val="000000"/>
                <w:sz w:val="20"/>
                <w:lang w:val="en-US" w:eastAsia="en-US" w:bidi="ar-SA"/>
              </w:rPr>
              <w:t xml:space="preserve"> The legislature intended "not that an accused is to be found not guilty of the criminal act it was proven he committed but that he shall not be punished therefor." </w:t>
            </w:r>
            <w:hyperlink r:id="rId52" w:history="1">
              <w:r>
                <w:rPr>
                  <w:rFonts w:ascii="arial" w:eastAsia="arial" w:hAnsi="arial" w:cs="arial"/>
                  <w:i/>
                  <w:color w:val="0077CC"/>
                  <w:sz w:val="20"/>
                  <w:u w:val="single"/>
                  <w:lang w:val="en-US" w:eastAsia="en-US" w:bidi="ar-SA"/>
                </w:rPr>
                <w:t>Langworthy, 284 Md. at 598, 399 A.2d at 584.</w:t>
              </w:r>
            </w:hyperlink>
          </w:p>
          <w:p>
            <w:pPr>
              <w:spacing w:after="120"/>
              <w:rPr>
                <w:lang w:val="en-US" w:eastAsia="en-US" w:bidi="ar-SA"/>
              </w:rPr>
            </w:pPr>
          </w:p>
        </w:tc>
      </w:tr>
    </w:tbl>
    <w:p>
      <w:pPr>
        <w:spacing w:before="60" w:line="260" w:lineRule="atLeast"/>
        <w:ind w:left="720"/>
        <w:jc w:val="both"/>
        <w:rPr>
          <w:lang w:val="en-US" w:eastAsia="en-US" w:bidi="ar-SA"/>
        </w:rPr>
      </w:pPr>
      <w:r>
        <w:rPr>
          <w:rFonts w:ascii="arial" w:eastAsia="arial" w:hAnsi="arial" w:cs="arial"/>
          <w:color w:val="000000"/>
          <w:sz w:val="20"/>
          <w:lang w:val="en-US" w:eastAsia="en-US" w:bidi="ar-SA"/>
        </w:rPr>
        <w:t>#MICPEL#</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Source:</w:t>
      </w:r>
      <w:r>
        <w:rPr>
          <w:rFonts w:ascii="arial" w:eastAsia="arial" w:hAnsi="arial" w:cs="arial"/>
          <w:color w:val="000000"/>
          <w:sz w:val="20"/>
          <w:lang w:val="en-US" w:eastAsia="en-US" w:bidi="ar-SA"/>
        </w:rPr>
        <w:t> MICPEL</w:t>
      </w:r>
    </w:p>
    <w:p>
      <w:pPr>
        <w:spacing w:before="240" w:line="220" w:lineRule="atLeast"/>
        <w:rPr>
          <w:lang w:val="en-US" w:eastAsia="en-US" w:bidi="ar-SA"/>
        </w:rPr>
      </w:pPr>
      <w:r>
        <w:rPr>
          <w:rFonts w:ascii="arial" w:eastAsia="arial" w:hAnsi="arial" w:cs="arial"/>
          <w:color w:val="000000"/>
          <w:sz w:val="16"/>
          <w:lang w:val="en-US" w:eastAsia="en-US" w:bidi="ar-SA"/>
        </w:rPr>
        <w:t>Maryland Criminal Pattern Jury Instructions</w:t>
      </w:r>
    </w:p>
    <w:p>
      <w:pPr>
        <w:spacing w:line="220" w:lineRule="atLeast"/>
        <w:rPr>
          <w:lang w:val="en-US" w:eastAsia="en-US" w:bidi="ar-SA"/>
        </w:rPr>
      </w:pPr>
      <w:r>
        <w:rPr>
          <w:rFonts w:ascii="arial" w:eastAsia="arial" w:hAnsi="arial" w:cs="arial"/>
          <w:color w:val="000000"/>
          <w:sz w:val="16"/>
          <w:lang w:val="en-US" w:eastAsia="en-US" w:bidi="ar-SA"/>
        </w:rPr>
        <w:t>Copyright 2018 by The Maryland State Bar Association, Inc.</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0" style="position:absolute;z-index:2516684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4"/>
          <w:headerReference w:type="default" r:id="rId55"/>
          <w:footerReference w:type="even" r:id="rId56"/>
          <w:footerReference w:type="default" r:id="rId57"/>
          <w:headerReference w:type="first" r:id="rId58"/>
          <w:footerReference w:type="first" r:id="rId59"/>
          <w:type w:val="nextPage"/>
          <w:pgSz w:w="12240" w:h="15840"/>
          <w:pgMar w:top="840" w:right="1000" w:bottom="840" w:left="1000" w:header="400" w:footer="400"/>
          <w:pgNumType w:fmt="decimal"/>
          <w:cols w:space="720"/>
          <w:titlePg/>
        </w:sectPr>
      </w:pPr>
    </w:p>
    <w:p>
      <w:pPr>
        <w:rPr>
          <w:lang w:val="en-US" w:eastAsia="en-US" w:bidi="ar-SA"/>
        </w:rPr>
      </w:pPr>
      <w:bookmarkStart w:id="5" w:name="Bookmark_6"/>
      <w:bookmarkEnd w:id="5"/>
    </w:p>
    <w:p>
      <w:pPr>
        <w:rPr>
          <w:lang w:val="en-US" w:eastAsia="en-US" w:bidi="ar-SA"/>
        </w:rPr>
      </w:pPr>
      <w:r>
        <w:pict>
          <v:shape id="_x0000_i1041" type="#_x0000_t75" alt="LexisNexis®" style="width:147.77pt;height:30pt">
            <v:imagedata r:id="rId4" o:title=""/>
          </v:shape>
        </w:pict>
      </w:r>
      <w:r>
        <w:rPr>
          <w:lang w:val="en-US" w:eastAsia="en-US" w:bidi="ar-SA"/>
        </w:rPr>
        <w:cr/>
      </w:r>
    </w:p>
    <w:p>
      <w:pPr>
        <w:spacing w:before="240" w:after="200" w:line="340" w:lineRule="atLeast"/>
        <w:jc w:val="center"/>
        <w:outlineLvl w:val="0"/>
        <w:rPr>
          <w:rFonts w:ascii="Arial" w:hAnsi="Arial" w:cs="Arial"/>
          <w:b/>
          <w:bCs/>
          <w:kern w:val="32"/>
          <w:sz w:val="32"/>
          <w:szCs w:val="32"/>
          <w:lang w:val="en-US" w:eastAsia="en-US" w:bidi="ar-SA"/>
        </w:rPr>
      </w:pPr>
      <w:hyperlink r:id="rId60" w:history="1">
        <w:r>
          <w:rPr>
            <w:rFonts w:ascii="arial" w:eastAsia="arial" w:hAnsi="arial" w:cs="arial"/>
            <w:b/>
            <w:bCs/>
            <w:i/>
            <w:color w:val="0077CC"/>
            <w:kern w:val="32"/>
            <w:sz w:val="28"/>
            <w:szCs w:val="32"/>
            <w:u w:val="single"/>
            <w:lang w:val="en-US" w:eastAsia="en-US" w:bidi="ar-SA"/>
          </w:rPr>
          <w:t>MPJI-Cr 7:03</w:t>
        </w:r>
      </w:hyperlink>
    </w:p>
    <w:p>
      <w:pPr>
        <w:spacing w:line="240" w:lineRule="atLeast"/>
        <w:jc w:val="both"/>
        <w:rPr>
          <w:lang w:val="en-US" w:eastAsia="en-US" w:bidi="ar-SA"/>
        </w:rPr>
      </w:pPr>
    </w:p>
    <w:p>
      <w:pPr>
        <w:spacing w:before="200" w:line="280" w:lineRule="atLeast"/>
        <w:rPr>
          <w:lang w:val="en-US" w:eastAsia="en-US" w:bidi="ar-SA"/>
        </w:rPr>
      </w:pPr>
      <w:r>
        <w:rPr>
          <w:rFonts w:ascii="arial" w:eastAsia="arial" w:hAnsi="arial" w:cs="arial"/>
          <w:b/>
          <w:i/>
          <w:color w:val="000000"/>
          <w:sz w:val="22"/>
          <w:lang w:val="en-US" w:eastAsia="en-US" w:bidi="ar-SA"/>
        </w:rPr>
        <w:t>Maryland Criminal Pattern Jury Instructions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CHAPTER 7 VERDICT SHEETS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LESSER INCLUDED OFFENSES</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7:03Lesser Included Offenses</w:t>
      </w:r>
    </w:p>
    <w:p>
      <w:pPr>
        <w:spacing w:line="60" w:lineRule="exact"/>
        <w:rPr>
          <w:lang w:val="en-US" w:eastAsia="en-US" w:bidi="ar-SA"/>
        </w:rPr>
      </w:pPr>
      <w:r>
        <w:pict>
          <v:line id="_x0000_s1042" style="position:absolute;z-index:2516633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color w:val="000000"/>
          <w:sz w:val="20"/>
          <w:lang w:val="en-US" w:eastAsia="en-US" w:bidi="ar-SA"/>
        </w:rPr>
        <w:t>A</w:t>
      </w:r>
    </w:p>
    <w:p>
      <w:pPr>
        <w:spacing w:before="200" w:line="260" w:lineRule="atLeast"/>
        <w:jc w:val="both"/>
        <w:rPr>
          <w:lang w:val="en-US" w:eastAsia="en-US" w:bidi="ar-SA"/>
        </w:rPr>
      </w:pPr>
      <w:r>
        <w:rPr>
          <w:rFonts w:ascii="arial" w:eastAsia="arial" w:hAnsi="arial" w:cs="arial"/>
          <w:b/>
          <w:color w:val="000000"/>
          <w:sz w:val="20"/>
          <w:lang w:val="en-US" w:eastAsia="en-US" w:bidi="ar-SA"/>
        </w:rPr>
        <w:t>Count #1: Greater offense</w:t>
      </w:r>
    </w:p>
    <w:p>
      <w:pPr>
        <w:spacing w:before="200" w:line="260" w:lineRule="atLeast"/>
        <w:jc w:val="both"/>
        <w:rPr>
          <w:lang w:val="en-US" w:eastAsia="en-US" w:bidi="ar-SA"/>
        </w:rPr>
      </w:pPr>
      <w:r>
        <w:rPr>
          <w:rFonts w:ascii="arial" w:eastAsia="arial" w:hAnsi="arial" w:cs="arial"/>
          <w:color w:val="000000"/>
          <w:sz w:val="20"/>
          <w:lang w:val="en-US" w:eastAsia="en-US" w:bidi="ar-SA"/>
        </w:rPr>
        <w:t>_____</w:t>
      </w:r>
    </w:p>
    <w:p>
      <w:pPr>
        <w:spacing w:before="200" w:line="260" w:lineRule="atLeast"/>
        <w:jc w:val="both"/>
        <w:rPr>
          <w:lang w:val="en-US" w:eastAsia="en-US" w:bidi="ar-SA"/>
        </w:rPr>
      </w:pPr>
      <w:r>
        <w:rPr>
          <w:rFonts w:ascii="arial" w:eastAsia="arial" w:hAnsi="arial" w:cs="arial"/>
          <w:b/>
          <w:color w:val="000000"/>
          <w:sz w:val="20"/>
          <w:lang w:val="en-US" w:eastAsia="en-US" w:bidi="ar-SA"/>
        </w:rPr>
        <w:t>Not guilty</w:t>
      </w:r>
    </w:p>
    <w:p>
      <w:pPr>
        <w:spacing w:before="200" w:line="260" w:lineRule="atLeast"/>
        <w:jc w:val="both"/>
        <w:rPr>
          <w:lang w:val="en-US" w:eastAsia="en-US" w:bidi="ar-SA"/>
        </w:rPr>
      </w:pPr>
      <w:r>
        <w:rPr>
          <w:rFonts w:ascii="arial" w:eastAsia="arial" w:hAnsi="arial" w:cs="arial"/>
          <w:color w:val="000000"/>
          <w:sz w:val="20"/>
          <w:lang w:val="en-US" w:eastAsia="en-US" w:bidi="ar-SA"/>
        </w:rPr>
        <w:t>_____</w:t>
      </w:r>
    </w:p>
    <w:p>
      <w:pPr>
        <w:spacing w:before="200" w:line="260" w:lineRule="atLeast"/>
        <w:jc w:val="both"/>
        <w:rPr>
          <w:lang w:val="en-US" w:eastAsia="en-US" w:bidi="ar-SA"/>
        </w:rPr>
      </w:pPr>
      <w:r>
        <w:rPr>
          <w:rFonts w:ascii="arial" w:eastAsia="arial" w:hAnsi="arial" w:cs="arial"/>
          <w:b/>
          <w:color w:val="000000"/>
          <w:sz w:val="20"/>
          <w:lang w:val="en-US" w:eastAsia="en-US" w:bidi="ar-SA"/>
        </w:rPr>
        <w:t>Guilty</w:t>
      </w:r>
    </w:p>
    <w:p>
      <w:pPr>
        <w:spacing w:before="200" w:line="260" w:lineRule="atLeast"/>
        <w:jc w:val="both"/>
        <w:rPr>
          <w:lang w:val="en-US" w:eastAsia="en-US" w:bidi="ar-SA"/>
        </w:rPr>
      </w:pPr>
      <w:r>
        <w:rPr>
          <w:rFonts w:ascii="arial" w:eastAsia="arial" w:hAnsi="arial" w:cs="arial"/>
          <w:b/>
          <w:color w:val="000000"/>
          <w:sz w:val="20"/>
          <w:lang w:val="en-US" w:eastAsia="en-US" w:bidi="ar-SA"/>
        </w:rPr>
        <w:t>If you find the defendant guilty on count # 1, do not go to count # 2. If you find the defendant not guilty on count # 1, go on to consider count # 2</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b/>
          <w:color w:val="000000"/>
          <w:sz w:val="20"/>
          <w:lang w:val="en-US" w:eastAsia="en-US" w:bidi="ar-SA"/>
        </w:rPr>
        <w:t>Count # 2: Lesser offense</w:t>
      </w:r>
    </w:p>
    <w:p>
      <w:pPr>
        <w:spacing w:before="200" w:line="260" w:lineRule="atLeast"/>
        <w:jc w:val="both"/>
        <w:rPr>
          <w:lang w:val="en-US" w:eastAsia="en-US" w:bidi="ar-SA"/>
        </w:rPr>
      </w:pPr>
      <w:r>
        <w:rPr>
          <w:rFonts w:ascii="arial" w:eastAsia="arial" w:hAnsi="arial" w:cs="arial"/>
          <w:color w:val="000000"/>
          <w:sz w:val="20"/>
          <w:lang w:val="en-US" w:eastAsia="en-US" w:bidi="ar-SA"/>
        </w:rPr>
        <w:t>_____</w:t>
      </w:r>
    </w:p>
    <w:p>
      <w:pPr>
        <w:spacing w:before="200" w:line="260" w:lineRule="atLeast"/>
        <w:jc w:val="both"/>
        <w:rPr>
          <w:lang w:val="en-US" w:eastAsia="en-US" w:bidi="ar-SA"/>
        </w:rPr>
      </w:pPr>
      <w:r>
        <w:rPr>
          <w:rFonts w:ascii="arial" w:eastAsia="arial" w:hAnsi="arial" w:cs="arial"/>
          <w:b/>
          <w:color w:val="000000"/>
          <w:sz w:val="20"/>
          <w:lang w:val="en-US" w:eastAsia="en-US" w:bidi="ar-SA"/>
        </w:rPr>
        <w:t>Not guilty</w:t>
      </w:r>
    </w:p>
    <w:p>
      <w:pPr>
        <w:spacing w:before="200" w:line="260" w:lineRule="atLeast"/>
        <w:jc w:val="both"/>
        <w:rPr>
          <w:lang w:val="en-US" w:eastAsia="en-US" w:bidi="ar-SA"/>
        </w:rPr>
      </w:pPr>
      <w:r>
        <w:rPr>
          <w:rFonts w:ascii="arial" w:eastAsia="arial" w:hAnsi="arial" w:cs="arial"/>
          <w:color w:val="000000"/>
          <w:sz w:val="20"/>
          <w:lang w:val="en-US" w:eastAsia="en-US" w:bidi="ar-SA"/>
        </w:rPr>
        <w:t>_____</w:t>
      </w:r>
    </w:p>
    <w:p>
      <w:pPr>
        <w:spacing w:before="200" w:line="260" w:lineRule="atLeast"/>
        <w:jc w:val="both"/>
        <w:rPr>
          <w:lang w:val="en-US" w:eastAsia="en-US" w:bidi="ar-SA"/>
        </w:rPr>
      </w:pPr>
      <w:r>
        <w:rPr>
          <w:rFonts w:ascii="arial" w:eastAsia="arial" w:hAnsi="arial" w:cs="arial"/>
          <w:b/>
          <w:color w:val="000000"/>
          <w:sz w:val="20"/>
          <w:lang w:val="en-US" w:eastAsia="en-US" w:bidi="ar-SA"/>
        </w:rPr>
        <w:t>Guilty</w:t>
      </w:r>
    </w:p>
    <w:p>
      <w:pPr>
        <w:spacing w:before="200" w:line="260" w:lineRule="atLeast"/>
        <w:jc w:val="both"/>
        <w:rPr>
          <w:lang w:val="en-US" w:eastAsia="en-US" w:bidi="ar-SA"/>
        </w:rPr>
      </w:pPr>
      <w:r>
        <w:rPr>
          <w:rFonts w:ascii="arial" w:eastAsia="arial" w:hAnsi="arial" w:cs="arial"/>
          <w:b/>
          <w:color w:val="000000"/>
          <w:sz w:val="20"/>
          <w:lang w:val="en-US" w:eastAsia="en-US" w:bidi="ar-SA"/>
        </w:rPr>
        <w:t>B</w:t>
      </w:r>
    </w:p>
    <w:p>
      <w:pPr>
        <w:spacing w:before="200" w:line="260" w:lineRule="atLeast"/>
        <w:jc w:val="both"/>
        <w:rPr>
          <w:lang w:val="en-US" w:eastAsia="en-US" w:bidi="ar-SA"/>
        </w:rPr>
      </w:pPr>
      <w:r>
        <w:rPr>
          <w:rFonts w:ascii="arial" w:eastAsia="arial" w:hAnsi="arial" w:cs="arial"/>
          <w:b/>
          <w:color w:val="000000"/>
          <w:sz w:val="20"/>
          <w:lang w:val="en-US" w:eastAsia="en-US" w:bidi="ar-SA"/>
        </w:rPr>
        <w:t>Count # 1: Greater offense</w:t>
      </w:r>
    </w:p>
    <w:p>
      <w:pPr>
        <w:spacing w:before="200" w:line="260" w:lineRule="atLeast"/>
        <w:jc w:val="both"/>
        <w:rPr>
          <w:lang w:val="en-US" w:eastAsia="en-US" w:bidi="ar-SA"/>
        </w:rPr>
      </w:pPr>
      <w:r>
        <w:rPr>
          <w:rFonts w:ascii="arial" w:eastAsia="arial" w:hAnsi="arial" w:cs="arial"/>
          <w:color w:val="000000"/>
          <w:sz w:val="20"/>
          <w:lang w:val="en-US" w:eastAsia="en-US" w:bidi="ar-SA"/>
        </w:rPr>
        <w:t>_____</w:t>
      </w:r>
    </w:p>
    <w:p>
      <w:pPr>
        <w:spacing w:before="200" w:line="260" w:lineRule="atLeast"/>
        <w:jc w:val="both"/>
        <w:rPr>
          <w:lang w:val="en-US" w:eastAsia="en-US" w:bidi="ar-SA"/>
        </w:rPr>
      </w:pPr>
      <w:r>
        <w:rPr>
          <w:rFonts w:ascii="arial" w:eastAsia="arial" w:hAnsi="arial" w:cs="arial"/>
          <w:b/>
          <w:color w:val="000000"/>
          <w:sz w:val="20"/>
          <w:lang w:val="en-US" w:eastAsia="en-US" w:bidi="ar-SA"/>
        </w:rPr>
        <w:t>Not guilty</w:t>
      </w:r>
    </w:p>
    <w:p>
      <w:pPr>
        <w:spacing w:before="200" w:line="260" w:lineRule="atLeast"/>
        <w:jc w:val="both"/>
        <w:rPr>
          <w:lang w:val="en-US" w:eastAsia="en-US" w:bidi="ar-SA"/>
        </w:rPr>
      </w:pPr>
      <w:r>
        <w:rPr>
          <w:rFonts w:ascii="arial" w:eastAsia="arial" w:hAnsi="arial" w:cs="arial"/>
          <w:color w:val="000000"/>
          <w:sz w:val="20"/>
          <w:lang w:val="en-US" w:eastAsia="en-US" w:bidi="ar-SA"/>
        </w:rPr>
        <w:t>_____</w:t>
      </w:r>
    </w:p>
    <w:p>
      <w:pPr>
        <w:spacing w:before="200" w:line="260" w:lineRule="atLeast"/>
        <w:jc w:val="both"/>
        <w:rPr>
          <w:lang w:val="en-US" w:eastAsia="en-US" w:bidi="ar-SA"/>
        </w:rPr>
      </w:pPr>
      <w:r>
        <w:rPr>
          <w:rFonts w:ascii="arial" w:eastAsia="arial" w:hAnsi="arial" w:cs="arial"/>
          <w:b/>
          <w:color w:val="000000"/>
          <w:sz w:val="20"/>
          <w:lang w:val="en-US" w:eastAsia="en-US" w:bidi="ar-SA"/>
        </w:rPr>
        <w:t>Guilty</w:t>
      </w:r>
    </w:p>
    <w:p>
      <w:pPr>
        <w:spacing w:before="200" w:line="260" w:lineRule="atLeast"/>
        <w:jc w:val="both"/>
        <w:rPr>
          <w:lang w:val="en-US" w:eastAsia="en-US" w:bidi="ar-SA"/>
        </w:rPr>
      </w:pPr>
      <w:r>
        <w:rPr>
          <w:rFonts w:ascii="arial" w:eastAsia="arial" w:hAnsi="arial" w:cs="arial"/>
          <w:b/>
          <w:color w:val="000000"/>
          <w:sz w:val="20"/>
          <w:lang w:val="en-US" w:eastAsia="en-US" w:bidi="ar-SA"/>
        </w:rPr>
        <w:t>Count # 2: Lesser offense</w:t>
      </w:r>
    </w:p>
    <w:p>
      <w:pPr>
        <w:spacing w:before="200" w:line="260" w:lineRule="atLeast"/>
        <w:jc w:val="both"/>
        <w:rPr>
          <w:lang w:val="en-US" w:eastAsia="en-US" w:bidi="ar-SA"/>
        </w:rPr>
      </w:pPr>
      <w:r>
        <w:rPr>
          <w:rFonts w:ascii="arial" w:eastAsia="arial" w:hAnsi="arial" w:cs="arial"/>
          <w:color w:val="000000"/>
          <w:sz w:val="20"/>
          <w:lang w:val="en-US" w:eastAsia="en-US" w:bidi="ar-SA"/>
        </w:rPr>
        <w:t>_____</w:t>
      </w:r>
    </w:p>
    <w:p>
      <w:pPr>
        <w:spacing w:before="200" w:line="260" w:lineRule="atLeast"/>
        <w:jc w:val="both"/>
        <w:rPr>
          <w:lang w:val="en-US" w:eastAsia="en-US" w:bidi="ar-SA"/>
        </w:rPr>
      </w:pPr>
      <w:r>
        <w:rPr>
          <w:rFonts w:ascii="arial" w:eastAsia="arial" w:hAnsi="arial" w:cs="arial"/>
          <w:b/>
          <w:color w:val="000000"/>
          <w:sz w:val="20"/>
          <w:lang w:val="en-US" w:eastAsia="en-US" w:bidi="ar-SA"/>
        </w:rPr>
        <w:t>Not guilty</w:t>
      </w:r>
    </w:p>
    <w:p>
      <w:pPr>
        <w:spacing w:before="200" w:line="260" w:lineRule="atLeast"/>
        <w:jc w:val="both"/>
        <w:rPr>
          <w:lang w:val="en-US" w:eastAsia="en-US" w:bidi="ar-SA"/>
        </w:rPr>
      </w:pPr>
      <w:r>
        <w:rPr>
          <w:rFonts w:ascii="arial" w:eastAsia="arial" w:hAnsi="arial" w:cs="arial"/>
          <w:color w:val="000000"/>
          <w:sz w:val="20"/>
          <w:lang w:val="en-US" w:eastAsia="en-US" w:bidi="ar-SA"/>
        </w:rPr>
        <w:t>_____</w:t>
      </w:r>
    </w:p>
    <w:p>
      <w:pPr>
        <w:spacing w:before="200" w:line="260" w:lineRule="atLeast"/>
        <w:jc w:val="both"/>
        <w:rPr>
          <w:lang w:val="en-US" w:eastAsia="en-US" w:bidi="ar-SA"/>
        </w:rPr>
      </w:pPr>
      <w:r>
        <w:rPr>
          <w:rFonts w:ascii="arial" w:eastAsia="arial" w:hAnsi="arial" w:cs="arial"/>
          <w:b/>
          <w:color w:val="000000"/>
          <w:sz w:val="20"/>
          <w:lang w:val="en-US" w:eastAsia="en-US" w:bidi="ar-SA"/>
        </w:rPr>
        <w:t>Guilty</w:t>
      </w:r>
    </w:p>
    <w:p>
      <w:pPr>
        <w:spacing w:before="200" w:line="260" w:lineRule="atLeast"/>
        <w:jc w:val="both"/>
        <w:rPr>
          <w:lang w:val="en-US" w:eastAsia="en-US" w:bidi="ar-SA"/>
        </w:rPr>
      </w:pPr>
      <w:r>
        <w:rPr>
          <w:rFonts w:ascii="arial" w:eastAsia="arial" w:hAnsi="arial" w:cs="arial"/>
          <w:color w:val="000000"/>
          <w:sz w:val="20"/>
          <w:lang w:val="en-US" w:eastAsia="en-US" w:bidi="ar-SA"/>
        </w:rPr>
        <w:t>_____</w:t>
      </w:r>
    </w:p>
    <w:p>
      <w:pPr>
        <w:spacing w:before="200" w:line="260" w:lineRule="atLeast"/>
        <w:jc w:val="both"/>
        <w:rPr>
          <w:lang w:val="en-US" w:eastAsia="en-US" w:bidi="ar-SA"/>
        </w:rPr>
      </w:pPr>
      <w:r>
        <w:rPr>
          <w:rFonts w:ascii="arial" w:eastAsia="arial" w:hAnsi="arial" w:cs="arial"/>
          <w:b/>
          <w:color w:val="000000"/>
          <w:sz w:val="20"/>
          <w:lang w:val="en-US" w:eastAsia="en-US" w:bidi="ar-SA"/>
        </w:rPr>
        <w:t>Notes on Use</w:t>
      </w:r>
    </w:p>
    <w:p>
      <w:pPr>
        <w:spacing w:before="200" w:line="260" w:lineRule="atLeast"/>
        <w:jc w:val="both"/>
        <w:rPr>
          <w:lang w:val="en-US" w:eastAsia="en-US" w:bidi="ar-SA"/>
        </w:rPr>
      </w:pPr>
      <w:r>
        <w:rPr>
          <w:rFonts w:ascii="arial" w:eastAsia="arial" w:hAnsi="arial" w:cs="arial"/>
          <w:color w:val="000000"/>
          <w:sz w:val="20"/>
          <w:lang w:val="en-US" w:eastAsia="en-US" w:bidi="ar-SA"/>
        </w:rPr>
        <w:t>Use version "A" if requesting a verdict on the lesser included offense only upon a not guilty verdict on the greater offense. Use version "B" if requesting a verdict on the lesser included offense regardless of the verdict on the greater offense.</w:t>
      </w:r>
    </w:p>
    <w:p>
      <w:pPr>
        <w:rPr>
          <w:lang w:val="en-US" w:eastAsia="en-US" w:bidi="ar-SA"/>
        </w:rPr>
      </w:pPr>
    </w:p>
    <w:tbl>
      <w:tblPr>
        <w:tblStyle w:val="TableNormal"/>
        <w:tblW w:w="0" w:type="auto"/>
        <w:tblInd w:w="0" w:type="dxa"/>
        <w:tblBorders>
          <w:top w:val="single" w:sz="8" w:space="0" w:color="BCBEC0"/>
          <w:left w:val="single" w:sz="8" w:space="0" w:color="BCBEC0"/>
          <w:bottom w:val="single" w:sz="8" w:space="0" w:color="BCBEC0"/>
          <w:right w:val="single" w:sz="8" w:space="0" w:color="BCBEC0"/>
          <w:insideH w:val="single" w:sz="8" w:space="0" w:color="BCBEC0"/>
          <w:insideV w:val="single" w:sz="8" w:space="0" w:color="BCBEC0"/>
        </w:tblBorders>
        <w:tblLayout w:type="fixed"/>
        <w:tblCellMar>
          <w:left w:w="108" w:type="dxa"/>
          <w:right w:w="108" w:type="dxa"/>
        </w:tblCellMar>
      </w:tblPr>
      <w:tblGrid>
        <w:gridCol w:w="10240"/>
      </w:tblGrid>
      <w:tr>
        <w:tblPrEx>
          <w:tblW w:w="0" w:type="auto"/>
          <w:tblInd w:w="0" w:type="dxa"/>
          <w:tblBorders>
            <w:top w:val="single" w:sz="8" w:space="0" w:color="BCBEC0"/>
            <w:left w:val="single" w:sz="8" w:space="0" w:color="BCBEC0"/>
            <w:bottom w:val="single" w:sz="8" w:space="0" w:color="BCBEC0"/>
            <w:right w:val="single" w:sz="8" w:space="0" w:color="BCBEC0"/>
            <w:insideH w:val="single" w:sz="8" w:space="0" w:color="BCBEC0"/>
            <w:insideV w:val="single" w:sz="8" w:space="0" w:color="BCBEC0"/>
          </w:tblBorders>
          <w:tblLayout w:type="fixed"/>
          <w:tblCellMar>
            <w:left w:w="108" w:type="dxa"/>
            <w:right w:w="108" w:type="dxa"/>
          </w:tblCellMar>
        </w:tblPrEx>
        <w:tc>
          <w:tcPr>
            <w:tcW w:w="10240" w:type="dxa"/>
            <w:vAlign w:val="center"/>
          </w:tcPr>
          <w:p>
            <w:pPr>
              <w:spacing w:before="240" w:line="260" w:lineRule="atLeast"/>
              <w:ind w:left="60" w:right="360"/>
              <w:rPr>
                <w:lang w:val="en-US" w:eastAsia="en-US" w:bidi="ar-SA"/>
              </w:rPr>
            </w:pPr>
            <w:r>
              <w:rPr>
                <w:rFonts w:ascii="arial" w:eastAsia="arial" w:hAnsi="arial" w:cs="arial"/>
                <w:b/>
                <w:color w:val="000000"/>
                <w:sz w:val="20"/>
                <w:lang w:val="en-US" w:eastAsia="en-US" w:bidi="ar-SA"/>
              </w:rPr>
              <w:t> </w:t>
            </w:r>
          </w:p>
          <w:p>
            <w:pPr>
              <w:spacing w:before="200" w:line="260" w:lineRule="atLeast"/>
              <w:ind w:left="60" w:right="360"/>
              <w:jc w:val="both"/>
              <w:rPr>
                <w:lang w:val="en-US" w:eastAsia="en-US" w:bidi="ar-SA"/>
              </w:rPr>
            </w:pPr>
            <w:r>
              <w:rPr>
                <w:rFonts w:ascii="arial" w:eastAsia="arial" w:hAnsi="arial" w:cs="arial"/>
                <w:color w:val="000000"/>
                <w:sz w:val="20"/>
                <w:lang w:val="en-US" w:eastAsia="en-US" w:bidi="ar-SA"/>
              </w:rPr>
              <w:t>COMMENT</w:t>
            </w:r>
          </w:p>
          <w:p>
            <w:pPr>
              <w:spacing w:before="240" w:line="260" w:lineRule="atLeast"/>
              <w:ind w:left="60" w:right="360"/>
              <w:jc w:val="both"/>
              <w:rPr>
                <w:lang w:val="en-US" w:eastAsia="en-US" w:bidi="ar-SA"/>
              </w:rPr>
            </w:pPr>
            <w:r>
              <w:rPr>
                <w:rFonts w:ascii="arial" w:eastAsia="arial" w:hAnsi="arial" w:cs="arial"/>
                <w:color w:val="000000"/>
                <w:sz w:val="20"/>
                <w:lang w:val="en-US" w:eastAsia="en-US" w:bidi="ar-SA"/>
              </w:rPr>
              <w:t xml:space="preserve">In </w:t>
            </w:r>
            <w:hyperlink r:id="rId61" w:history="1">
              <w:r>
                <w:rPr>
                  <w:rFonts w:ascii="arial" w:eastAsia="arial" w:hAnsi="arial" w:cs="arial"/>
                  <w:i/>
                  <w:color w:val="0077CC"/>
                  <w:sz w:val="20"/>
                  <w:u w:val="single"/>
                  <w:lang w:val="en-US" w:eastAsia="en-US" w:bidi="ar-SA"/>
                </w:rPr>
                <w:t>State v. Frye, 283 Md. 709, 393 A.2d 1372 (1978),</w:t>
              </w:r>
            </w:hyperlink>
            <w:r>
              <w:rPr>
                <w:rFonts w:ascii="arial" w:eastAsia="arial" w:hAnsi="arial" w:cs="arial"/>
                <w:color w:val="000000"/>
                <w:sz w:val="20"/>
                <w:lang w:val="en-US" w:eastAsia="en-US" w:bidi="ar-SA"/>
              </w:rPr>
              <w:t xml:space="preserve"> the Court of Appeals made the following statement in dicta:</w:t>
            </w:r>
          </w:p>
          <w:p>
            <w:pPr>
              <w:spacing w:before="60" w:line="260" w:lineRule="atLeast"/>
              <w:ind w:left="460" w:right="360"/>
              <w:jc w:val="both"/>
              <w:rPr>
                <w:lang w:val="en-US" w:eastAsia="en-US" w:bidi="ar-SA"/>
              </w:rPr>
            </w:pPr>
            <w:r>
              <w:rPr>
                <w:rFonts w:ascii="arial" w:eastAsia="arial" w:hAnsi="arial" w:cs="arial"/>
                <w:color w:val="000000"/>
                <w:sz w:val="20"/>
                <w:lang w:val="en-US" w:eastAsia="en-US" w:bidi="ar-SA"/>
              </w:rPr>
              <w:t>In the normal situation where a defendant is charged both with a greater crime and a lesser included offense, and where a guilty verdict with regard to the greater crime will result in a merger, the proper method of instructing the jurors is to advise them that if the verdict on the count charging the greater crime is guilty, then they should not consider the count charging the lesser crime.</w:t>
            </w:r>
          </w:p>
          <w:p>
            <w:pPr>
              <w:spacing w:before="240" w:line="260" w:lineRule="atLeast"/>
              <w:ind w:left="60" w:right="360"/>
              <w:jc w:val="both"/>
              <w:rPr>
                <w:lang w:val="en-US" w:eastAsia="en-US" w:bidi="ar-SA"/>
              </w:rPr>
            </w:pPr>
            <w:hyperlink r:id="rId61" w:history="1">
              <w:r>
                <w:rPr>
                  <w:rFonts w:ascii="arial" w:eastAsia="arial" w:hAnsi="arial" w:cs="arial"/>
                  <w:i/>
                  <w:color w:val="0077CC"/>
                  <w:sz w:val="20"/>
                  <w:u w:val="single"/>
                  <w:lang w:val="en-US" w:eastAsia="en-US" w:bidi="ar-SA"/>
                </w:rPr>
                <w:t>Id. at 723-24, 393 A.2d at 1379-80.</w:t>
              </w:r>
            </w:hyperlink>
            <w:r>
              <w:rPr>
                <w:rFonts w:ascii="arial" w:eastAsia="arial" w:hAnsi="arial" w:cs="arial"/>
                <w:color w:val="000000"/>
                <w:sz w:val="20"/>
                <w:lang w:val="en-US" w:eastAsia="en-US" w:bidi="ar-SA"/>
              </w:rPr>
              <w:t xml:space="preserve"> However, in the special case of murder and an underlying felony, with murder charged both as premeditated killing and felony murder, the court should instruct the jury that, in the event it finds the defendant guilty of murder, it should indicate on which basis, and it should render a verdict on the underlying felony as well. In this situation, the absence of the special murder instruction will require a merger of the underlying felony into the murder because it cannot be determined that the jury found the independent basis of premeditation beyond a reasonable doubt. </w:t>
            </w:r>
            <w:hyperlink r:id="rId61" w:history="1">
              <w:r>
                <w:rPr>
                  <w:rFonts w:ascii="arial" w:eastAsia="arial" w:hAnsi="arial" w:cs="arial"/>
                  <w:i/>
                  <w:color w:val="0077CC"/>
                  <w:sz w:val="20"/>
                  <w:u w:val="single"/>
                  <w:lang w:val="en-US" w:eastAsia="en-US" w:bidi="ar-SA"/>
                </w:rPr>
                <w:t>Id. at 724, 393 A.2d at 1380.</w:t>
              </w:r>
            </w:hyperlink>
          </w:p>
          <w:p>
            <w:pPr>
              <w:spacing w:before="200" w:line="260" w:lineRule="atLeast"/>
              <w:ind w:left="60" w:right="360"/>
              <w:jc w:val="both"/>
              <w:rPr>
                <w:lang w:val="en-US" w:eastAsia="en-US" w:bidi="ar-SA"/>
              </w:rPr>
            </w:pPr>
            <w:r>
              <w:rPr>
                <w:rFonts w:ascii="arial" w:eastAsia="arial" w:hAnsi="arial" w:cs="arial"/>
                <w:color w:val="000000"/>
                <w:sz w:val="20"/>
                <w:lang w:val="en-US" w:eastAsia="en-US" w:bidi="ar-SA"/>
              </w:rPr>
              <w:t xml:space="preserve">In the event that version "A" is used, if the defendant is convicted of the greater offense, with no verdict rendered on the lesser included offense, and the defendant successfully appeals, upon remand, the defendant may be tried for the lesser included offense. The failure to submit the lesser included offense to the jury is not treated as an acquittal or a nolle prosequi, and thus double jeopardy does not preclude further trial proceedings on the lesser included offense. The rationale for this result is that the jury "was </w:t>
            </w:r>
            <w:r>
              <w:rPr>
                <w:rFonts w:ascii="arial" w:eastAsia="arial" w:hAnsi="arial" w:cs="arial"/>
                <w:i/>
                <w:color w:val="000000"/>
                <w:sz w:val="20"/>
                <w:lang w:val="en-US" w:eastAsia="en-US" w:bidi="ar-SA"/>
              </w:rPr>
              <w:t>not</w:t>
            </w:r>
            <w:r>
              <w:rPr>
                <w:rFonts w:ascii="arial" w:eastAsia="arial" w:hAnsi="arial" w:cs="arial"/>
                <w:color w:val="000000"/>
                <w:sz w:val="20"/>
                <w:lang w:val="en-US" w:eastAsia="en-US" w:bidi="ar-SA"/>
              </w:rPr>
              <w:t xml:space="preserve"> 'given a full opportunity to return a verdict' … ." </w:t>
            </w:r>
            <w:hyperlink r:id="rId62" w:history="1">
              <w:r>
                <w:rPr>
                  <w:rFonts w:ascii="arial" w:eastAsia="arial" w:hAnsi="arial" w:cs="arial"/>
                  <w:i/>
                  <w:color w:val="0077CC"/>
                  <w:sz w:val="20"/>
                  <w:u w:val="single"/>
                  <w:lang w:val="en-US" w:eastAsia="en-US" w:bidi="ar-SA"/>
                </w:rPr>
                <w:t>State v. Moulden, 292 Md. 666, 679, 441 A.2d 699, 705-06 (1982)</w:t>
              </w:r>
            </w:hyperlink>
            <w:r>
              <w:rPr>
                <w:rFonts w:ascii="arial" w:eastAsia="arial" w:hAnsi="arial" w:cs="arial"/>
                <w:color w:val="000000"/>
                <w:sz w:val="20"/>
                <w:lang w:val="en-US" w:eastAsia="en-US" w:bidi="ar-SA"/>
              </w:rPr>
              <w:t xml:space="preserve"> (quoting </w:t>
            </w:r>
            <w:hyperlink r:id="rId63" w:history="1">
              <w:r>
                <w:rPr>
                  <w:rFonts w:ascii="arial" w:eastAsia="arial" w:hAnsi="arial" w:cs="arial"/>
                  <w:i/>
                  <w:color w:val="0077CC"/>
                  <w:sz w:val="20"/>
                  <w:u w:val="single"/>
                  <w:lang w:val="en-US" w:eastAsia="en-US" w:bidi="ar-SA"/>
                </w:rPr>
                <w:t>Green v. United States, 355 U.S. 184, 191 (1957))</w:t>
              </w:r>
            </w:hyperlink>
            <w:r>
              <w:rPr>
                <w:rFonts w:ascii="arial" w:eastAsia="arial" w:hAnsi="arial" w:cs="arial"/>
                <w:color w:val="000000"/>
                <w:sz w:val="20"/>
                <w:lang w:val="en-US" w:eastAsia="en-US" w:bidi="ar-SA"/>
              </w:rPr>
              <w:t xml:space="preserve"> (emphasis in </w:t>
            </w:r>
            <w:r>
              <w:rPr>
                <w:rFonts w:ascii="arial" w:eastAsia="arial" w:hAnsi="arial" w:cs="arial"/>
                <w:i/>
                <w:color w:val="000000"/>
                <w:sz w:val="20"/>
                <w:lang w:val="en-US" w:eastAsia="en-US" w:bidi="ar-SA"/>
              </w:rPr>
              <w:t>Moulden</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 xml:space="preserve">accord </w:t>
            </w:r>
            <w:hyperlink r:id="rId64" w:history="1">
              <w:r>
                <w:rPr>
                  <w:rFonts w:ascii="arial" w:eastAsia="arial" w:hAnsi="arial" w:cs="arial"/>
                  <w:i/>
                  <w:color w:val="0077CC"/>
                  <w:sz w:val="20"/>
                  <w:u w:val="single"/>
                  <w:lang w:val="en-US" w:eastAsia="en-US" w:bidi="ar-SA"/>
                </w:rPr>
                <w:t>Howell v. State, 62 Md. App. 278, 290, 489 A.2d 55, 60-61,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cert. denied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304 Md. 46, 497 A.2d 484,</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cert. denied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474 U.S. 996 (1985),</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reh'g denied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474 U.S. 1077 (1986).</w:t>
            </w:r>
          </w:p>
          <w:p>
            <w:pPr>
              <w:spacing w:after="120"/>
              <w:rPr>
                <w:lang w:val="en-US" w:eastAsia="en-US" w:bidi="ar-SA"/>
              </w:rPr>
            </w:pPr>
          </w:p>
        </w:tc>
      </w:tr>
    </w:tbl>
    <w:p>
      <w:pPr>
        <w:spacing w:before="60" w:line="260" w:lineRule="atLeast"/>
        <w:ind w:left="720"/>
        <w:jc w:val="both"/>
        <w:rPr>
          <w:lang w:val="en-US" w:eastAsia="en-US" w:bidi="ar-SA"/>
        </w:rPr>
      </w:pPr>
      <w:r>
        <w:rPr>
          <w:rFonts w:ascii="arial" w:eastAsia="arial" w:hAnsi="arial" w:cs="arial"/>
          <w:color w:val="000000"/>
          <w:sz w:val="20"/>
          <w:lang w:val="en-US" w:eastAsia="en-US" w:bidi="ar-SA"/>
        </w:rPr>
        <w:t>#MICPEL#</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Source:</w:t>
      </w:r>
      <w:r>
        <w:rPr>
          <w:rFonts w:ascii="arial" w:eastAsia="arial" w:hAnsi="arial" w:cs="arial"/>
          <w:color w:val="000000"/>
          <w:sz w:val="20"/>
          <w:lang w:val="en-US" w:eastAsia="en-US" w:bidi="ar-SA"/>
        </w:rPr>
        <w:t> MICPEL</w:t>
      </w:r>
    </w:p>
    <w:p>
      <w:pPr>
        <w:spacing w:before="240" w:line="220" w:lineRule="atLeast"/>
        <w:rPr>
          <w:lang w:val="en-US" w:eastAsia="en-US" w:bidi="ar-SA"/>
        </w:rPr>
      </w:pPr>
      <w:r>
        <w:rPr>
          <w:rFonts w:ascii="arial" w:eastAsia="arial" w:hAnsi="arial" w:cs="arial"/>
          <w:color w:val="000000"/>
          <w:sz w:val="16"/>
          <w:lang w:val="en-US" w:eastAsia="en-US" w:bidi="ar-SA"/>
        </w:rPr>
        <w:t>Maryland Criminal Pattern Jury Instructions</w:t>
      </w:r>
    </w:p>
    <w:p>
      <w:pPr>
        <w:spacing w:line="220" w:lineRule="atLeast"/>
        <w:rPr>
          <w:lang w:val="en-US" w:eastAsia="en-US" w:bidi="ar-SA"/>
        </w:rPr>
      </w:pPr>
      <w:r>
        <w:rPr>
          <w:rFonts w:ascii="arial" w:eastAsia="arial" w:hAnsi="arial" w:cs="arial"/>
          <w:color w:val="000000"/>
          <w:sz w:val="16"/>
          <w:lang w:val="en-US" w:eastAsia="en-US" w:bidi="ar-SA"/>
        </w:rPr>
        <w:t>Copyright 2018 by The Maryland State Bar Association, Inc.</w:t>
      </w:r>
    </w:p>
    <w:p>
      <w:pPr>
        <w:rPr>
          <w:lang w:val="en-US" w:eastAsia="en-US" w:bidi="ar-SA"/>
        </w:rPr>
      </w:pPr>
    </w:p>
    <w:p>
      <w:pPr>
        <w:ind w:left="200"/>
        <w:rPr>
          <w:lang w:val="en-US" w:eastAsia="en-US" w:bidi="ar-SA"/>
        </w:rPr>
      </w:pPr>
      <w:r>
        <w:rPr>
          <w:lang w:val="en-US" w:eastAsia="en-US" w:bidi="ar-SA"/>
        </w:rPr>
        <w:br/>
      </w:r>
      <w:r>
        <w:pict>
          <v:line id="_x0000_s1043" style="position:absolute;z-index:251669504" from="0,10pt" to="512pt,10pt" strokecolor="black" strokeweight="1pt">
            <v:stroke linestyle="single"/>
          </v:line>
        </w:pict>
      </w:r>
      <w:r>
        <w:rPr>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15"/>
        <w:jc w:val="center"/>
      </w:trPr>
      <w:tc>
        <w:tcPr>
          <w:tcW w:w="10240" w:type="dxa"/>
          <w:shd w:val="solid" w:color="000000" w:fill="000000"/>
        </w:tcPr>
        <w:p>
          <w:pPr>
            <w:keepNext w:val="0"/>
            <w:spacing w:after="0" w:line="40" w:lineRule="exact"/>
            <w:ind w:left="0" w:right="0" w:firstLine="0"/>
            <w:jc w:val="both"/>
          </w:pPr>
        </w:p>
      </w:tc>
    </w:tr>
  </w:tbl>
  <w:p>
    <w:pPr>
      <w:keepNext w:val="0"/>
      <w:spacing w:after="0" w:line="40" w:lineRule="exact"/>
      <w:ind w:left="0" w:right="0" w:firstLine="0"/>
      <w:jc w:val="both"/>
    </w:pPr>
  </w:p>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480"/>
        <w:jc w:val="center"/>
      </w:trPr>
      <w:tc>
        <w:tcPr>
          <w:tcW w:w="10240" w:type="dxa"/>
          <w:vAlign w:val="center"/>
        </w:tcPr>
        <w:p>
          <w:pPr>
            <w:keepNext w:val="0"/>
            <w:spacing w:after="0" w:line="260" w:lineRule="atLeast"/>
            <w:ind w:left="0" w:right="0" w:firstLine="0"/>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49" type="#_x0000_t75" style="width:68.97pt;height:15.92pt">
                <v:imagedata r:id="rId1" o:title=""/>
              </v:shape>
            </w:pict>
          </w:r>
          <w:r>
            <w:rPr>
              <w:rFonts w:ascii="Arial" w:eastAsia="Arial" w:hAnsi="Arial" w:cs="Arial"/>
              <w:b w:val="0"/>
              <w:i w:val="0"/>
              <w:strike w:val="0"/>
              <w:noProof w:val="0"/>
              <w:color w:val="000000"/>
              <w:position w:val="10"/>
              <w:sz w:val="18"/>
              <w:u w:val="none"/>
              <w:vertAlign w:val="baseline"/>
            </w:rPr>
            <w:t xml:space="preserve">| </w:t>
          </w:r>
          <w:hyperlink r:id="rId2" w:history="1">
            <w:r>
              <w:rPr>
                <w:rFonts w:ascii="Arial" w:eastAsia="Arial" w:hAnsi="Arial" w:cs="Arial"/>
                <w:b w:val="0"/>
                <w:i w:val="0"/>
                <w:strike w:val="0"/>
                <w:noProof w:val="0"/>
                <w:color w:val="0077CC"/>
                <w:position w:val="10"/>
                <w:sz w:val="18"/>
                <w:u w:val="single"/>
                <w:vertAlign w:val="baseline"/>
              </w:rPr>
              <w:t>About LexisNexis</w:t>
            </w:r>
          </w:hyperlink>
          <w:r>
            <w:rPr>
              <w:rFonts w:ascii="Arial" w:eastAsia="Arial" w:hAnsi="Arial" w:cs="Arial"/>
              <w:b w:val="0"/>
              <w:i w:val="0"/>
              <w:strike w:val="0"/>
              <w:noProof w:val="0"/>
              <w:color w:val="000000"/>
              <w:position w:val="10"/>
              <w:sz w:val="18"/>
              <w:u w:val="none"/>
              <w:vertAlign w:val="baseline"/>
            </w:rPr>
            <w:t xml:space="preserve"> | </w:t>
          </w:r>
          <w:hyperlink r:id="rId3" w:history="1">
            <w:r>
              <w:rPr>
                <w:rFonts w:ascii="Arial" w:eastAsia="Arial" w:hAnsi="Arial" w:cs="Arial"/>
                <w:b w:val="0"/>
                <w:i w:val="0"/>
                <w:strike w:val="0"/>
                <w:noProof w:val="0"/>
                <w:color w:val="0077CC"/>
                <w:position w:val="10"/>
                <w:sz w:val="18"/>
                <w:u w:val="single"/>
                <w:vertAlign w:val="baseline"/>
              </w:rPr>
              <w:t>Privacy Policy</w:t>
            </w:r>
          </w:hyperlink>
          <w:r>
            <w:rPr>
              <w:rFonts w:ascii="Arial" w:eastAsia="Arial" w:hAnsi="Arial" w:cs="Arial"/>
              <w:b w:val="0"/>
              <w:i w:val="0"/>
              <w:strike w:val="0"/>
              <w:noProof w:val="0"/>
              <w:color w:val="000000"/>
              <w:position w:val="10"/>
              <w:sz w:val="18"/>
              <w:u w:val="none"/>
              <w:vertAlign w:val="baseline"/>
            </w:rPr>
            <w:t xml:space="preserve"> | </w:t>
          </w:r>
          <w:hyperlink r:id="rId4" w:history="1">
            <w:r>
              <w:rPr>
                <w:rFonts w:ascii="Arial" w:eastAsia="Arial" w:hAnsi="Arial" w:cs="Arial"/>
                <w:b w:val="0"/>
                <w:i w:val="0"/>
                <w:strike w:val="0"/>
                <w:noProof w:val="0"/>
                <w:color w:val="0077CC"/>
                <w:position w:val="10"/>
                <w:sz w:val="18"/>
                <w:u w:val="single"/>
                <w:vertAlign w:val="baseline"/>
              </w:rPr>
              <w:t>Terms &amp; Conditions</w:t>
            </w:r>
          </w:hyperlink>
          <w:r>
            <w:rPr>
              <w:rFonts w:ascii="Arial" w:eastAsia="Arial" w:hAnsi="Arial" w:cs="Arial"/>
              <w:b w:val="0"/>
              <w:i w:val="0"/>
              <w:strike w:val="0"/>
              <w:noProof w:val="0"/>
              <w:color w:val="000000"/>
              <w:position w:val="10"/>
              <w:sz w:val="18"/>
              <w:u w:val="none"/>
              <w:vertAlign w:val="baseline"/>
            </w:rPr>
            <w:t xml:space="preserve"> | </w:t>
          </w:r>
          <w:hyperlink r:id="rId5" w:history="1">
            <w:r>
              <w:rPr>
                <w:rFonts w:ascii="Arial" w:eastAsia="Arial" w:hAnsi="Arial" w:cs="Arial"/>
                <w:b w:val="0"/>
                <w:i w:val="0"/>
                <w:strike w:val="0"/>
                <w:noProof w:val="0"/>
                <w:color w:val="0077CC"/>
                <w:position w:val="10"/>
                <w:sz w:val="18"/>
                <w:u w:val="single"/>
                <w:vertAlign w:val="baseline"/>
              </w:rPr>
              <w:t>Copyright © 2018 LexisNexis</w:t>
            </w:r>
          </w:hyperlink>
        </w:p>
      </w:tc>
    </w:tr>
    <w:tr>
      <w:tblPrEx>
        <w:tblW w:w="10240" w:type="dxa"/>
        <w:jc w:val="center"/>
        <w:tblLayout w:type="fixed"/>
        <w:tblCellMar>
          <w:left w:w="108" w:type="dxa"/>
          <w:right w:w="108" w:type="dxa"/>
        </w:tblCellMar>
      </w:tblPrEx>
      <w:trPr>
        <w:trHeight w:val="620"/>
        <w:jc w:val="center"/>
      </w:trPr>
      <w:tc>
        <w:tcPr>
          <w:tcW w:w="10240" w:type="dxa"/>
          <w:vAlign w:val="top"/>
        </w:tcPr>
        <w:p>
          <w:pPr>
            <w:keepNext w:val="0"/>
            <w:spacing w:after="0" w:line="260" w:lineRule="atLeast"/>
            <w:ind w:left="0" w:right="0" w:firstLine="0"/>
            <w:jc w:val="center"/>
          </w:pPr>
          <w:r>
            <w:rPr>
              <w:rFonts w:ascii="Arial" w:eastAsia="Arial" w:hAnsi="Arial" w:cs="Arial"/>
              <w:b w:val="0"/>
              <w:i w:val="0"/>
              <w:strike w:val="0"/>
              <w:noProof w:val="0"/>
              <w:color w:val="000000"/>
              <w:position w:val="10"/>
              <w:sz w:val="18"/>
              <w:u w:val="none"/>
              <w:vertAlign w:val="baseline"/>
            </w:rPr>
            <w:t>Michael Fiorenza</w:t>
          </w: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Michael Fiorenza</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Michael Fiorenza</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Michael Fiorenza</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Michael Fiorenza</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Michael Fiorenza</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Michael Fiorenza</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Michael Fiorenza</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Michael Fiorenza</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Michael Fiorenza</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Michael Fiorenza</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Michael Fiorenza</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Michael Fiorenza</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MPJI-Cr 7:00</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MPJI-Cr 7:00.1</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MPJI-Cr 7:00.2</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MPJI-Cr 7:01</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MPJI-Cr 7:02</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MPJI-Cr 7:03</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id=urn:contentItem:5T0Y-CDN0-01KN-B08H-00000-00&amp;idtype=PID&amp;context=1000516" TargetMode="External" /><Relationship Id="rId11" Type="http://schemas.openxmlformats.org/officeDocument/2006/relationships/header" Target="header1.xml" /><Relationship Id="rId12" Type="http://schemas.openxmlformats.org/officeDocument/2006/relationships/header" Target="header2.xml" /><Relationship Id="rId13" Type="http://schemas.openxmlformats.org/officeDocument/2006/relationships/footer" Target="footer1.xml" /><Relationship Id="rId14" Type="http://schemas.openxmlformats.org/officeDocument/2006/relationships/footer" Target="footer2.xml" /><Relationship Id="rId15" Type="http://schemas.openxmlformats.org/officeDocument/2006/relationships/header" Target="header3.xml" /><Relationship Id="rId16" Type="http://schemas.openxmlformats.org/officeDocument/2006/relationships/footer" Target="footer3.xml" /><Relationship Id="rId17" Type="http://schemas.openxmlformats.org/officeDocument/2006/relationships/header" Target="header4.xml" /><Relationship Id="rId18" Type="http://schemas.openxmlformats.org/officeDocument/2006/relationships/header" Target="header5.xml" /><Relationship Id="rId19" Type="http://schemas.openxmlformats.org/officeDocument/2006/relationships/footer" Target="footer4.xml" /><Relationship Id="rId2" Type="http://schemas.openxmlformats.org/officeDocument/2006/relationships/webSettings" Target="webSettings.xml" /><Relationship Id="rId20" Type="http://schemas.openxmlformats.org/officeDocument/2006/relationships/footer" Target="footer5.xml" /><Relationship Id="rId21" Type="http://schemas.openxmlformats.org/officeDocument/2006/relationships/header" Target="header6.xml" /><Relationship Id="rId22" Type="http://schemas.openxmlformats.org/officeDocument/2006/relationships/footer" Target="footer6.xml" /><Relationship Id="rId23" Type="http://schemas.openxmlformats.org/officeDocument/2006/relationships/hyperlink" Target="https://advance.lexis.com/api/document?collection=jury-instructions&amp;id=urn:contentItem:5T0Y-CDN0-01KN-B08B-00000-00&amp;context=" TargetMode="External" /><Relationship Id="rId24" Type="http://schemas.openxmlformats.org/officeDocument/2006/relationships/header" Target="header7.xml" /><Relationship Id="rId25" Type="http://schemas.openxmlformats.org/officeDocument/2006/relationships/header" Target="header8.xml" /><Relationship Id="rId26" Type="http://schemas.openxmlformats.org/officeDocument/2006/relationships/footer" Target="footer7.xml" /><Relationship Id="rId27" Type="http://schemas.openxmlformats.org/officeDocument/2006/relationships/footer" Target="footer8.xml" /><Relationship Id="rId28" Type="http://schemas.openxmlformats.org/officeDocument/2006/relationships/header" Target="header9.xml" /><Relationship Id="rId29" Type="http://schemas.openxmlformats.org/officeDocument/2006/relationships/footer" Target="footer9.xml" /><Relationship Id="rId3" Type="http://schemas.openxmlformats.org/officeDocument/2006/relationships/fontTable" Target="fontTable.xml" /><Relationship Id="rId30" Type="http://schemas.openxmlformats.org/officeDocument/2006/relationships/hyperlink" Target="https://advance.lexis.com/api/document?collection=jury-instructions&amp;id=urn:contentItem:5T0Y-CDN0-01KN-B08C-00000-00&amp;context=" TargetMode="External" /><Relationship Id="rId31" Type="http://schemas.openxmlformats.org/officeDocument/2006/relationships/header" Target="header10.xml" /><Relationship Id="rId32" Type="http://schemas.openxmlformats.org/officeDocument/2006/relationships/header" Target="header11.xml" /><Relationship Id="rId33" Type="http://schemas.openxmlformats.org/officeDocument/2006/relationships/footer" Target="footer10.xml" /><Relationship Id="rId34" Type="http://schemas.openxmlformats.org/officeDocument/2006/relationships/footer" Target="footer11.xml" /><Relationship Id="rId35" Type="http://schemas.openxmlformats.org/officeDocument/2006/relationships/header" Target="header12.xml" /><Relationship Id="rId36" Type="http://schemas.openxmlformats.org/officeDocument/2006/relationships/footer" Target="footer12.xml" /><Relationship Id="rId37" Type="http://schemas.openxmlformats.org/officeDocument/2006/relationships/hyperlink" Target="https://advance.lexis.com/api/document?collection=jury-instructions&amp;id=urn:contentItem:5T0Y-CDN0-01KN-B08D-00000-00&amp;context=" TargetMode="External" /><Relationship Id="rId38" Type="http://schemas.openxmlformats.org/officeDocument/2006/relationships/header" Target="header13.xml" /><Relationship Id="rId39" Type="http://schemas.openxmlformats.org/officeDocument/2006/relationships/header" Target="header14.xml" /><Relationship Id="rId4" Type="http://schemas.openxmlformats.org/officeDocument/2006/relationships/image" Target="media/image1.png" /><Relationship Id="rId40" Type="http://schemas.openxmlformats.org/officeDocument/2006/relationships/footer" Target="footer13.xml" /><Relationship Id="rId41" Type="http://schemas.openxmlformats.org/officeDocument/2006/relationships/footer" Target="footer14.xml" /><Relationship Id="rId42" Type="http://schemas.openxmlformats.org/officeDocument/2006/relationships/header" Target="header15.xml" /><Relationship Id="rId43" Type="http://schemas.openxmlformats.org/officeDocument/2006/relationships/footer" Target="footer15.xml" /><Relationship Id="rId44" Type="http://schemas.openxmlformats.org/officeDocument/2006/relationships/hyperlink" Target="https://advance.lexis.com/api/document?collection=jury-instructions&amp;id=urn:contentItem:5T0Y-CDN0-01KN-B08F-00000-00&amp;context=" TargetMode="External" /><Relationship Id="rId45" Type="http://schemas.openxmlformats.org/officeDocument/2006/relationships/header" Target="header16.xml" /><Relationship Id="rId46" Type="http://schemas.openxmlformats.org/officeDocument/2006/relationships/header" Target="header17.xml" /><Relationship Id="rId47" Type="http://schemas.openxmlformats.org/officeDocument/2006/relationships/footer" Target="footer16.xml" /><Relationship Id="rId48" Type="http://schemas.openxmlformats.org/officeDocument/2006/relationships/footer" Target="footer17.xml" /><Relationship Id="rId49" Type="http://schemas.openxmlformats.org/officeDocument/2006/relationships/header" Target="header18.xml" /><Relationship Id="rId5" Type="http://schemas.openxmlformats.org/officeDocument/2006/relationships/hyperlink" Target="https://advance.lexis.com/api/document?id=urn:contentItem:5T0Y-CDN0-01KN-B08B-00000-00&amp;idtype=PID&amp;context=1000516" TargetMode="External" /><Relationship Id="rId50" Type="http://schemas.openxmlformats.org/officeDocument/2006/relationships/footer" Target="footer18.xml" /><Relationship Id="rId51" Type="http://schemas.openxmlformats.org/officeDocument/2006/relationships/hyperlink" Target="https://advance.lexis.com/api/document?collection=jury-instructions&amp;id=urn:contentItem:5T0Y-CDN0-01KN-B08G-00000-00&amp;context=" TargetMode="External" /><Relationship Id="rId52" Type="http://schemas.openxmlformats.org/officeDocument/2006/relationships/hyperlink" Target="https://advance.lexis.com/api/document?collection=cases&amp;id=urn:contentItem:3RX4-4WW0-003G-24BT-00000-00&amp;context=" TargetMode="External" /><Relationship Id="rId53" Type="http://schemas.openxmlformats.org/officeDocument/2006/relationships/hyperlink" Target="https://advance.lexis.com/api/document?collection=cases&amp;id=urn:contentItem:3RX4-4F10-003G-23DV-00000-00&amp;context=" TargetMode="External" /><Relationship Id="rId54" Type="http://schemas.openxmlformats.org/officeDocument/2006/relationships/header" Target="header19.xml" /><Relationship Id="rId55" Type="http://schemas.openxmlformats.org/officeDocument/2006/relationships/header" Target="header20.xml" /><Relationship Id="rId56" Type="http://schemas.openxmlformats.org/officeDocument/2006/relationships/footer" Target="footer19.xml" /><Relationship Id="rId57" Type="http://schemas.openxmlformats.org/officeDocument/2006/relationships/footer" Target="footer20.xml" /><Relationship Id="rId58" Type="http://schemas.openxmlformats.org/officeDocument/2006/relationships/header" Target="header21.xml" /><Relationship Id="rId59" Type="http://schemas.openxmlformats.org/officeDocument/2006/relationships/footer" Target="footer21.xml" /><Relationship Id="rId6" Type="http://schemas.openxmlformats.org/officeDocument/2006/relationships/hyperlink" Target="https://advance.lexis.com/api/document?id=urn:contentItem:5T0Y-CDN0-01KN-B08C-00000-00&amp;idtype=PID&amp;context=1000516" TargetMode="External" /><Relationship Id="rId60" Type="http://schemas.openxmlformats.org/officeDocument/2006/relationships/hyperlink" Target="https://advance.lexis.com/api/document?collection=jury-instructions&amp;id=urn:contentItem:5T0Y-CDN0-01KN-B08H-00000-00&amp;context=" TargetMode="External" /><Relationship Id="rId61" Type="http://schemas.openxmlformats.org/officeDocument/2006/relationships/hyperlink" Target="https://advance.lexis.com/api/document?collection=cases&amp;id=urn:contentItem:3RX4-4XN0-003G-24D9-00000-00&amp;context=" TargetMode="External" /><Relationship Id="rId62" Type="http://schemas.openxmlformats.org/officeDocument/2006/relationships/hyperlink" Target="https://advance.lexis.com/api/document?collection=cases&amp;id=urn:contentItem:3RX4-4KK0-003G-23SH-00000-00&amp;context=" TargetMode="External" /><Relationship Id="rId63" Type="http://schemas.openxmlformats.org/officeDocument/2006/relationships/hyperlink" Target="https://advance.lexis.com/api/document?collection=cases&amp;id=urn:contentItem:3S4X-J560-003B-S1CF-00000-00&amp;context=" TargetMode="External" /><Relationship Id="rId64" Type="http://schemas.openxmlformats.org/officeDocument/2006/relationships/hyperlink" Target="https://advance.lexis.com/api/document?collection=cases&amp;id=urn:contentItem:3RX4-9XP0-003G-2236-00000-00&amp;context=" TargetMode="External" /><Relationship Id="rId65" Type="http://schemas.openxmlformats.org/officeDocument/2006/relationships/styles" Target="styles.xml" /><Relationship Id="rId7" Type="http://schemas.openxmlformats.org/officeDocument/2006/relationships/hyperlink" Target="https://advance.lexis.com/api/document?id=urn:contentItem:5T0Y-CDN0-01KN-B08D-00000-00&amp;idtype=PID&amp;context=1000516" TargetMode="External" /><Relationship Id="rId8" Type="http://schemas.openxmlformats.org/officeDocument/2006/relationships/hyperlink" Target="https://advance.lexis.com/api/document?id=urn:contentItem:5T0Y-CDN0-01KN-B08F-00000-00&amp;idtype=PID&amp;context=1000516" TargetMode="External" /><Relationship Id="rId9" Type="http://schemas.openxmlformats.org/officeDocument/2006/relationships/hyperlink" Target="https://advance.lexis.com/api/document?id=urn:contentItem:5T0Y-CDN0-01KN-B08G-00000-00&amp;idtype=PID&amp;context=1000516" TargetMode="External" /></Relationships>
</file>

<file path=word/_rels/footer2.xml.rels>&#65279;<?xml version="1.0" encoding="utf-8" standalone="yes"?><Relationships xmlns="http://schemas.openxmlformats.org/package/2006/relationships"><Relationship Id="rId1" Type="http://schemas.openxmlformats.org/officeDocument/2006/relationships/image" Target="media/image2.jpeg" /><Relationship Id="rId2" Type="http://schemas.openxmlformats.org/officeDocument/2006/relationships/hyperlink" Target="http://www.lexisnexis.com/about-us/" TargetMode="External" /><Relationship Id="rId3" Type="http://schemas.openxmlformats.org/officeDocument/2006/relationships/hyperlink" Target="http://www.lexisnexis.com/en-us/terms/privacy-policy.page" TargetMode="External" /><Relationship Id="rId4" Type="http://schemas.openxmlformats.org/officeDocument/2006/relationships/hyperlink" Target="http://www.lexisnexis.com/terms/general.aspx" TargetMode="External" /><Relationship Id="rId5" Type="http://schemas.openxmlformats.org/officeDocument/2006/relationships/hyperlink" Target="http://www.lexisnexis.com/terms/copyright.aspx" TargetMode="External" /></Relationships>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MPJI-Cr 7:03</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77923563</vt:lpwstr>
  </property>
  <property fmtid="{D5CDD505-2E9C-101B-9397-08002B2CF9AE}" pid="3" name="LADocCount">
    <vt:i4>7</vt:i4>
  </property>
  <property fmtid="{D5CDD505-2E9C-101B-9397-08002B2CF9AE}" pid="4" name="UserPermID">
    <vt:lpwstr>urn:user:PA182399192</vt:lpwstr>
  </property>
</Properties>
</file>