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9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Michael Fiorenza</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November 19, 2018 10:36:00 PM EST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77923336</w:t>
      </w:r>
    </w:p>
    <w:p>
      <w:pPr>
        <w:spacing w:before="360" w:line="360" w:lineRule="atLeast"/>
        <w:jc w:val="both"/>
        <w:rPr>
          <w:lang w:val="en-US" w:eastAsia="en-US" w:bidi="ar-SA"/>
        </w:rPr>
      </w:pPr>
      <w:r>
        <w:rPr>
          <w:rFonts w:ascii="Arial" w:eastAsia="Arial" w:hAnsi="Arial" w:cs="Arial"/>
          <w:b/>
          <w:color w:val="000000"/>
          <w:lang w:val="en-US" w:eastAsia="en-US" w:bidi="ar-SA"/>
        </w:rPr>
        <w:t>Documents (5)</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Pretrial Introductory Instructions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Note Taking by Jury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Publicity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Admonition Upon Recess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Post-Verdict Advice</w:t>
        </w:r>
      </w:hyperlink>
    </w:p>
    <w:p>
      <w:pPr>
        <w:spacing w:before="80" w:line="240" w:lineRule="atLeast"/>
        <w:ind w:left="290"/>
        <w:rPr>
          <w:lang w:val="en-US" w:eastAsia="en-US" w:bidi="ar-SA"/>
        </w:rPr>
        <w:sectPr>
          <w:headerReference w:type="even" r:id="rId10"/>
          <w:headerReference w:type="default" r:id="rId11"/>
          <w:footerReference w:type="even" r:id="rId12"/>
          <w:footerReference w:type="default" r:id="rId13"/>
          <w:headerReference w:type="first" r:id="rId14"/>
          <w:footerReference w:type="first" r:id="rId15"/>
          <w:type w:val="nextPage"/>
          <w:pgMar w:top="840" w:right="1080" w:bottom="840" w:left="1080" w:header="0" w:footer="0"/>
          <w:pgNumType w:fmt="decimal"/>
          <w:cols w:space="720"/>
        </w:sect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rPr>
          <w:lang w:val="en-US" w:eastAsia="en-US" w:bidi="ar-SA"/>
        </w:rPr>
        <w:sectPr>
          <w:headerReference w:type="even" r:id="rId16"/>
          <w:headerReference w:type="default" r:id="rId17"/>
          <w:footerReference w:type="even" r:id="rId18"/>
          <w:footerReference w:type="default" r:id="rId19"/>
          <w:headerReference w:type="first" r:id="rId20"/>
          <w:footerReference w:type="first" r:id="rId2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2" w:history="1">
        <w:r>
          <w:rPr>
            <w:rFonts w:ascii="arial" w:eastAsia="arial" w:hAnsi="arial" w:cs="arial"/>
            <w:b/>
            <w:bCs/>
            <w:i/>
            <w:color w:val="0077CC"/>
            <w:kern w:val="32"/>
            <w:sz w:val="28"/>
            <w:szCs w:val="32"/>
            <w:u w:val="single"/>
            <w:lang w:val="en-US" w:eastAsia="en-US" w:bidi="ar-SA"/>
          </w:rPr>
          <w:t>MPJI-Cr 1:00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1 INTRODUCTORY AND CAUTIONARY</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PRETRIAL INTRODUCTORY INSTRUCTIONS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1:00Pretrial Introductory Instructions</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Members of the Jury, as you heard during jury selection, this is a criminal case in which the State of Maryland has charged [name] with [crime(s)]. At this time, I would like to give you an overview of how this case is going to proceed so that you will be better able to perform your important duty of deciding the facts diligently and conscientiously</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prosecutor and the defense attorney may choose to make an opening statement. Opening statements are not evidence. They are an opportunity for the lawyers to give you an overview of what the case is about and what they expect the evidence will be at trial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After the openings, the evidence portion of the trial begins. Evidence may come to you from two sources. Evidence comes to you primarily through the sworn testimony of witnesses. When witnesses are called to the stand, they are first examined by the side that calls them, and then the opposing side is permitted to cross examine them</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During the course of testimony, the lawyers may object from time to time. It is the duty of a lawyer to make objections which the lawyer believes are proper. You should not be influenced by the fact that a lawyer has made objections or by the number of objections that a lawyer may make. You should not draw conclusions from my rulings, either as to the merits of the case, or as to my views regarding any witness. My responsibility during the evidence portion of the trial is to decide what you, as the jury, should consider in deciding this case. If the evidence is something you should consider, I will overrule the objection. However, if the matter is not something that should be considered, I will sustain the objection, and you should not consider the question or speculate about any possible answer. You must not guess or speculate about evidence that is not before you, and you must decide this case based only upon evidence properly admitted in this courtroom</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addition to the testimony of witnesses, there may be documents, photographs, or other forms of physical evidence that are admitted at trial. Items that are marked as an exhibit and admitted into evidence at trial will generally be available to you to examine in more detail, if you wish to do so, during your deliberations at the end of the case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at any time you are unable to hear a witness or see an exhibit being displayed, please let me know. In addition, if you need a break or a recess for some reason, please let me know</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Following the evidence portion of the case, I will instruct you on the law that applies to the case. You must apply the law as I explain it to you in arriving at your verdict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Following my instructions, the lawyers are permitted to give closing arguments. These arguments are not evidence. They are an opportunity for the lawyers to summarize and to comment on the evidence that you have heard, and to argue to you how to decide the charges in this case. The State proceeds first with its closing, followed by the defense, and then the State is permitted to make a final rebuttal argument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State proceeds first in the trial process because the State has the burden of proving its case against the defendant beyond a reasonable doubt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lang w:val="en-US" w:eastAsia="en-US" w:bidi="ar-SA"/>
        </w:rPr>
        <w:t>Presumption of Innocence and Reasonable Doubt</w:t>
      </w: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is presumed to be innocent of the charges. This presumption remains throughout every stage of the trial and is not overcome unless you are convinced beyond a reasonable doubt that the defendant is guilty</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State has the burden of proving the guilt of the defendant beyond a reasonable doubt. This means that the State has the burden of proving, beyond a reasonable doubt, each and every element of the crime [crimes] charged. The elements of a crime are the component parts of the crime about which I will instruct you later. This burden remains on the State throughout the trial. The defendant is not required to prove [his] [her] innocence. However, the State is not required to prove guilt beyond all possible doubt or to a mathematical certainty. Nor is the State required to negate every conceivable circumstance of innocence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 reasonable doubt is a doubt founded upon reason. Proof beyond a reasonable doubt requires such proof as would convince you of the truth of a fact to the extent that you would be willing to act upon such belief without reservation in an important matter in your own business or personal affairs. If you are not satisfied of the defendant's guilt to that extent for each and every element of a [the] crime charged, then reasonable doubt exists and the defendant must be found not guilty that [the] crime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After the closing arguments, you will begin your deliberations. You must decide this case based upon the evidence produced at trial. Nothing the court may say or do during the course of the trial is intended to indicate, or should be taken by you as indicating, what your verdict should be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During any break or recess, including any overnight break, you must not conduct any research or investigation about the case or any of the individuals involved in it. You may not consult with any dictionaries, reference materials, search the internet, websites or blogs, or consult any other source for information about the case. You must not visit any place mentioned in this case. You must decide this case fairly and impartially based only upon information presented together to you and your fellow jurors in this courtroom</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Until you retire to deliberate and decide this case, you may not discuss this case with anyone else. You should not even discuss the case with your fellow jurors. I know that request seems odd, as this case is the only reason you all are together. The reason I am asking you not to discuss this case until you begin your deliberations is that evidence comes to you in little bits and pieces throughout a trial. If you start to talk about the case too soon, you may start to form opinions before you have heard all of the evidence, and the instructions on the law, and the arguments of counsel. In order to remain fair and impartial, you should not discuss and decide this case until you begin your deliberations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Many of you use cell phones and other electronic devices to communicate with family, friends, co-workers, and others. During this trial, you must not communicate any information or opinions about this case, or about the individuals involved in it, by any method to anyone, including by sending text or electronic messages. You also must not communicate in any way about the case on any social media or networking site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You should also not allow anyone to talk to you or communicate with you about the case. Outside the courtroom, avoid the people involved in the case, including the lawyers and any witnesses. Do not read, watch or listen to any media reports about the case, including newspaper, television, radio, or internet reports. Do not visit any internet sites where there may be reports or discussions about the case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Relying on information from any other source outside the courtroom, including social media sources, is unfair because the parties do not have the opportunity to refute, explain, or correct the information, and the information may be inaccurate or misleading. You must base your decision only on the evidence presented in this courtroom</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anyone tries to communicate with you about the case, or if you inadvertently overhear or receive any information from any outside source about this trial that is not part of the evidence presented in this courtroom, or that violates the rules that I have just explained, please immediately write me a note and give it to [person responsible for handling jury] as soon as possible, and do not discuss the matter with anyone else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in its discretion, may give opening and interim instructions. MD. RULE 4-325(a). Recent social science research suggests that detailed preliminary instructions aid the jury in following instructions during the trial.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Nancy Marder, </w:t>
            </w:r>
            <w:r>
              <w:rPr>
                <w:rFonts w:ascii="arial" w:eastAsia="arial" w:hAnsi="arial" w:cs="arial"/>
                <w:i/>
                <w:color w:val="000000"/>
                <w:sz w:val="20"/>
                <w:lang w:val="en-US" w:eastAsia="en-US" w:bidi="ar-SA"/>
              </w:rPr>
              <w:t>Bringing Jury Instructions into the Twenty-First Century</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lang w:val="en-US" w:eastAsia="en-US" w:bidi="ar-SA"/>
                </w:rPr>
                <w:t>81 NOTRE DAME L. REV. 449, 498 (2006)</w:t>
              </w:r>
            </w:hyperlink>
            <w:r>
              <w:rPr>
                <w:rFonts w:ascii="arial" w:eastAsia="arial" w:hAnsi="arial" w:cs="arial"/>
                <w:color w:val="000000"/>
                <w:sz w:val="20"/>
                <w:lang w:val="en-US" w:eastAsia="en-US" w:bidi="ar-SA"/>
              </w:rPr>
              <w:t xml:space="preserve"> ("It would be useful for judges to give jurors 'preliminary jury instructions' in which they tell jurors about their role, the case, and the law so that jurors have some framework in which to place the trial that is about to unfold.").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Committee specifically recommends the instruction to educate the jury on presumption of innocence and proof beyond a reasonable doubt since studies have shown that jurors routinely misunderstand or misapply these concepts.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William S. Laufer, </w:t>
            </w:r>
            <w:r>
              <w:rPr>
                <w:rFonts w:ascii="arial" w:eastAsia="arial" w:hAnsi="arial" w:cs="arial"/>
                <w:i/>
                <w:color w:val="000000"/>
                <w:sz w:val="20"/>
                <w:lang w:val="en-US" w:eastAsia="en-US" w:bidi="ar-SA"/>
              </w:rPr>
              <w:t>The Rhetoric of Innocence</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lang w:val="en-US" w:eastAsia="en-US" w:bidi="ar-SA"/>
                </w:rPr>
                <w:t>70 WASH. L. REV. 329, 366-7 (1995);</w:t>
              </w:r>
            </w:hyperlink>
            <w:r>
              <w:rPr>
                <w:rFonts w:ascii="arial" w:eastAsia="arial" w:hAnsi="arial" w:cs="arial"/>
                <w:color w:val="000000"/>
                <w:sz w:val="20"/>
                <w:lang w:val="en-US" w:eastAsia="en-US" w:bidi="ar-SA"/>
              </w:rPr>
              <w:t xml:space="preserve"> Mitchell J. Frank and Dawn Broschard, </w:t>
            </w:r>
            <w:r>
              <w:rPr>
                <w:rFonts w:ascii="arial" w:eastAsia="arial" w:hAnsi="arial" w:cs="arial"/>
                <w:i/>
                <w:color w:val="000000"/>
                <w:sz w:val="20"/>
                <w:lang w:val="en-US" w:eastAsia="en-US" w:bidi="ar-SA"/>
              </w:rPr>
              <w:t>The Silent Criminal Defendant and the Presumption of Innocence: In the Hands of Real Jurors, Is Either of Them Safe?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lang w:val="en-US" w:eastAsia="en-US" w:bidi="ar-SA"/>
                </w:rPr>
                <w:t>10 LEWIS &amp; CLARK L. REV. 237, 250 (2006).</w:t>
              </w:r>
            </w:hyperlink>
            <w:r>
              <w:rPr>
                <w:rFonts w:ascii="arial" w:eastAsia="arial" w:hAnsi="arial" w:cs="arial"/>
                <w:color w:val="000000"/>
                <w:sz w:val="20"/>
                <w:lang w:val="en-US" w:eastAsia="en-US" w:bidi="ar-SA"/>
              </w:rPr>
              <w:t xml:space="preserve"> Given that Court of Appeals has held that questions about juror "quarrels" with the constitutional standards of the presumption of innocence and proof beyond a reasonable doubt are "not the proper subject of voir dire," </w:t>
            </w:r>
            <w:hyperlink r:id="rId26" w:history="1">
              <w:r>
                <w:rPr>
                  <w:rFonts w:ascii="arial" w:eastAsia="arial" w:hAnsi="arial" w:cs="arial"/>
                  <w:i/>
                  <w:color w:val="0077CC"/>
                  <w:sz w:val="20"/>
                  <w:u w:val="single"/>
                  <w:lang w:val="en-US" w:eastAsia="en-US" w:bidi="ar-SA"/>
                </w:rPr>
                <w:t>Stewart v. State, 399 Md. 146, 153, 165, 923 A.2d 44, 55 (2007),</w:t>
              </w:r>
            </w:hyperlink>
            <w:r>
              <w:rPr>
                <w:rFonts w:ascii="arial" w:eastAsia="arial" w:hAnsi="arial" w:cs="arial"/>
                <w:color w:val="000000"/>
                <w:sz w:val="20"/>
                <w:lang w:val="en-US" w:eastAsia="en-US" w:bidi="ar-SA"/>
              </w:rPr>
              <w:t xml:space="preserve"> the preliminary instruction is the only real time to make clear that these constitutional standards apply "throughout the trial." Cf. SAUL M. KASSIN &amp; LAWRENCE S. WRIGHTSMAN, THE AMERICAN JURY ON TRIAL: PSYCHOLOGICAL PERSPECTIVES 144 (1988) (advocating preliminary instruction and asking "When was the last time you learned the rules of the game after you played it?").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this instruction is given, it is further recommended that the proof-beyond-a-reasonable-doubt portion be read in its entirety. See </w:t>
            </w:r>
            <w:hyperlink r:id="rId27" w:history="1">
              <w:r>
                <w:rPr>
                  <w:rFonts w:ascii="arial" w:eastAsia="arial" w:hAnsi="arial" w:cs="arial"/>
                  <w:i/>
                  <w:color w:val="0077CC"/>
                  <w:sz w:val="20"/>
                  <w:u w:val="single"/>
                  <w:lang w:val="en-US" w:eastAsia="en-US" w:bidi="ar-SA"/>
                </w:rPr>
                <w:t>Ruffin v. State, 394 Md. 355, 365, 906 A.2d 360, 365 (2006)</w:t>
              </w:r>
            </w:hyperlink>
            <w:r>
              <w:rPr>
                <w:rFonts w:ascii="arial" w:eastAsia="arial" w:hAnsi="arial" w:cs="arial"/>
                <w:color w:val="000000"/>
                <w:sz w:val="20"/>
                <w:lang w:val="en-US" w:eastAsia="en-US" w:bidi="ar-SA"/>
              </w:rPr>
              <w:t xml:space="preserve"> (holding that "as a matter of non-constitutional Maryland criminal law, in every criminal jury trial, the trial court shall instruct the jury utilizing the Maryland Criminal Pattern Jury Instruction on the presumption of innocence and proof beyond a reasonable doubt" and citing MPJI-Cr 2:02).</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While giving the pretrial instruction is recommended, it bears emphasis that only those instructions given at the conclusion of all the evidence before closing argument ordinarily satisfy MD. RULE 4-325. Thus, an instruction given at the outset, even if correct and complete, must be given again, at the close of the trial. </w:t>
            </w:r>
            <w:hyperlink r:id="rId28" w:history="1">
              <w:r>
                <w:rPr>
                  <w:rFonts w:ascii="arial" w:eastAsia="arial" w:hAnsi="arial" w:cs="arial"/>
                  <w:i/>
                  <w:color w:val="0077CC"/>
                  <w:sz w:val="20"/>
                  <w:u w:val="single"/>
                  <w:lang w:val="en-US" w:eastAsia="en-US" w:bidi="ar-SA"/>
                </w:rPr>
                <w:t>Lansdowne v. State, 287 Md. 232, 243-47, 412 A.2d 88, 94-96 (1980)</w:t>
              </w:r>
            </w:hyperlink>
            <w:r>
              <w:rPr>
                <w:rFonts w:ascii="arial" w:eastAsia="arial" w:hAnsi="arial" w:cs="arial"/>
                <w:color w:val="000000"/>
                <w:sz w:val="20"/>
                <w:lang w:val="en-US" w:eastAsia="en-US" w:bidi="ar-SA"/>
              </w:rPr>
              <w:t xml:space="preserve"> ("Because preliminary remarks ordinarily do not perform the function of jury instructions, such remarks cannot be considered to be jury instructions within the meaning of [the rule]"). </w:t>
            </w:r>
            <w:r>
              <w:rPr>
                <w:rFonts w:ascii="arial" w:eastAsia="arial" w:hAnsi="arial" w:cs="arial"/>
                <w:i/>
                <w:color w:val="000000"/>
                <w:sz w:val="20"/>
                <w:lang w:val="en-US" w:eastAsia="en-US" w:bidi="ar-SA"/>
              </w:rPr>
              <w:t xml:space="preserve">But see </w:t>
            </w:r>
            <w:hyperlink r:id="rId29" w:history="1">
              <w:r>
                <w:rPr>
                  <w:rFonts w:ascii="arial" w:eastAsia="arial" w:hAnsi="arial" w:cs="arial"/>
                  <w:i/>
                  <w:color w:val="0077CC"/>
                  <w:sz w:val="20"/>
                  <w:u w:val="single"/>
                  <w:lang w:val="en-US" w:eastAsia="en-US" w:bidi="ar-SA"/>
                </w:rPr>
                <w:t>Nance v. State, 93 Md. App. 475, 613 A.2d 428 (1992)</w:t>
              </w:r>
            </w:hyperlink>
            <w:r>
              <w:rPr>
                <w:rFonts w:ascii="arial" w:eastAsia="arial" w:hAnsi="arial" w:cs="arial"/>
                <w:color w:val="000000"/>
                <w:sz w:val="20"/>
                <w:lang w:val="en-US" w:eastAsia="en-US" w:bidi="ar-SA"/>
              </w:rPr>
              <w:t xml:space="preserve"> (under MD. RULE 4-325(c), the trial court need not give a requested instruction if the matter is fairly covered in instructions already given),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lang w:val="en-US" w:eastAsia="en-US" w:bidi="ar-SA"/>
                </w:rPr>
                <w:t>331 Md. 549, 629 A.2d 633 (1993).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JOSEPH F. MURPHY, JR., MARYLAND EVIDENCE HANDBOOK § 109, at 51, § 305(E), at 111-18 (4th ed. 2010 &amp; Supp. 2010) (if the court gives supplemental instructions to the jury after deliberations begin, exceptions must be taken after those instructions are given) (citing </w:t>
            </w:r>
            <w:hyperlink r:id="rId31" w:history="1">
              <w:r>
                <w:rPr>
                  <w:rFonts w:ascii="arial" w:eastAsia="arial" w:hAnsi="arial" w:cs="arial"/>
                  <w:i/>
                  <w:color w:val="0077CC"/>
                  <w:sz w:val="20"/>
                  <w:u w:val="single"/>
                  <w:lang w:val="en-US" w:eastAsia="en-US" w:bidi="ar-SA"/>
                </w:rPr>
                <w:t>Dawkins v. State, 313 Md. 638, 642-43, 547 A.2d 1041, 1043 (1988)).</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This instruction also responds to the need to warn the jury against using electronic devices that give jurors immediate and independent access through the internet to all forms of information. See </w:t>
            </w:r>
            <w:hyperlink r:id="rId32" w:history="1">
              <w:r>
                <w:rPr>
                  <w:rFonts w:ascii="arial" w:eastAsia="arial" w:hAnsi="arial" w:cs="arial"/>
                  <w:i/>
                  <w:color w:val="0077CC"/>
                  <w:sz w:val="20"/>
                  <w:u w:val="single"/>
                  <w:lang w:val="en-US" w:eastAsia="en-US" w:bidi="ar-SA"/>
                </w:rPr>
                <w:t>Wardlaw v. State, 185 Md. App. 440, 971 A.2d 331 (2009)</w:t>
              </w:r>
            </w:hyperlink>
            <w:r>
              <w:rPr>
                <w:rFonts w:ascii="arial" w:eastAsia="arial" w:hAnsi="arial" w:cs="arial"/>
                <w:color w:val="000000"/>
                <w:sz w:val="20"/>
                <w:lang w:val="en-US" w:eastAsia="en-US" w:bidi="ar-SA"/>
              </w:rPr>
              <w:t xml:space="preserve"> (the trial court abused its discretion by failing to grant a mistrial after a deliberating juror conducted internet research on the credibility of a State's witness and provided the results of that research to the entire jury). Additionally, the popularity of social media sites presents opportunities for jurors to receive or send information or opinions about the case or individuals involved in the case that can later jeopardize a verdict. </w:t>
            </w:r>
            <w:r>
              <w:rPr>
                <w:rFonts w:ascii="arial" w:eastAsia="arial" w:hAnsi="arial" w:cs="arial"/>
                <w:i/>
                <w:color w:val="000000"/>
                <w:sz w:val="20"/>
                <w:lang w:val="en-US" w:eastAsia="en-US" w:bidi="ar-SA"/>
              </w:rPr>
              <w:t xml:space="preserve">See generally </w:t>
            </w:r>
            <w:hyperlink r:id="rId33" w:history="1">
              <w:r>
                <w:rPr>
                  <w:rFonts w:ascii="arial" w:eastAsia="arial" w:hAnsi="arial" w:cs="arial"/>
                  <w:i/>
                  <w:color w:val="0077CC"/>
                  <w:sz w:val="20"/>
                  <w:u w:val="single"/>
                  <w:lang w:val="en-US" w:eastAsia="en-US" w:bidi="ar-SA"/>
                </w:rPr>
                <w:t>People v. Collins, 232 P.3d 32, 93 (Cal. 2010)</w:t>
              </w:r>
            </w:hyperlink>
            <w:r>
              <w:rPr>
                <w:rFonts w:ascii="arial" w:eastAsia="arial" w:hAnsi="arial" w:cs="arial"/>
                <w:color w:val="000000"/>
                <w:sz w:val="20"/>
                <w:lang w:val="en-US" w:eastAsia="en-US" w:bidi="ar-SA"/>
              </w:rPr>
              <w:t xml:space="preserve"> (citing with approval </w:t>
            </w:r>
            <w:r>
              <w:rPr>
                <w:rFonts w:ascii="arial" w:eastAsia="arial" w:hAnsi="arial" w:cs="arial"/>
                <w:i/>
                <w:color w:val="000000"/>
                <w:sz w:val="20"/>
                <w:lang w:val="en-US" w:eastAsia="en-US" w:bidi="ar-SA"/>
              </w:rPr>
              <w:t>Wardlaw</w:t>
            </w:r>
            <w:r>
              <w:rPr>
                <w:rFonts w:ascii="arial" w:eastAsia="arial" w:hAnsi="arial" w:cs="arial"/>
                <w:color w:val="000000"/>
                <w:sz w:val="20"/>
                <w:lang w:val="en-US" w:eastAsia="en-US" w:bidi="ar-SA"/>
              </w:rPr>
              <w:t xml:space="preserve"> and identifying several cases in which appellate courts reversed criminal convictions because jurors misused online media); Comment, </w:t>
            </w:r>
            <w:r>
              <w:rPr>
                <w:rFonts w:ascii="arial" w:eastAsia="arial" w:hAnsi="arial" w:cs="arial"/>
                <w:i/>
                <w:color w:val="000000"/>
                <w:sz w:val="20"/>
                <w:lang w:val="en-US" w:eastAsia="en-US" w:bidi="ar-SA"/>
              </w:rPr>
              <w:t>Silencing The "Twittering Juror:" The Need to Modernize Pattern Cautionary Jury Instructions to Reflect the Realities of the Electronic Age</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lang w:val="en-US" w:eastAsia="en-US" w:bidi="ar-SA"/>
                </w:rPr>
                <w:t>60 DEPAUL L. REV. 181 (2010).</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28" style="position:absolute;z-index:25166336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1:02, MPJI-Cr 1:03, MPJI-Cr 2:05, MPJI-Cr 3:00, MPJI-Cr 7:00.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68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 w:name="Bookmark_2"/>
      <w:bookmarkEnd w:id="1"/>
    </w:p>
    <w:p>
      <w:pPr>
        <w:rPr>
          <w:lang w:val="en-US" w:eastAsia="en-US" w:bidi="ar-SA"/>
        </w:rPr>
      </w:pPr>
      <w:r>
        <w:pict>
          <v:shape id="_x0000_i1030"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lang w:val="en-US" w:eastAsia="en-US" w:bidi="ar-SA"/>
          </w:rPr>
          <w:t>MPJI-Cr 1:01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1 INTRODUCTORY AND CAUTIONARY</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NOTE TAKING BY JURY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1:01Note Taking by Jury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Each of you has been given a note pad to be used if you wish to take notes during the trial. Please write your name and nothing else on the first page of your note pad. At the end of the day, the bailiff will collect the note pads and no one will be permitted to read them. Any notes you take are only to help you remember and are not evidence. Please do not let note taking interfere with watching and listening to the witnesses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Rule 4-326(a) provides: "The court may, and on request of any party shall, provide paper notepads for use by sworn jurors, including any alternates, during trial and deliberations. The court shall maintain control over the jurors' notes during the trial and promptly destroy the notes after the trial." Rule 4-326(b) provides: "Sworn jurors may take their notes with them when they retire for deliberation." This instruction is designed to address the three major concerns associated with juror note taking: (1) the need for security of the notes during the trial and an assurance that no juror will be privy to the notes of another juror until the jury retires for its deliberations, (2) juror emphasis on the process of note taking at the expense of listening to and absorbing the testimony and observing the demeanor of the witnesses and (3) undue reverence for the written word among lay jurors.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 LAFAVE &amp; J. ISRAEL, CRIMINAL PROCEDURE § 24.9(b), at 1186-87 (5th ed. 2009 &amp; Supp. 2010); Faye A. Silas, </w:t>
            </w:r>
            <w:r>
              <w:rPr>
                <w:rFonts w:ascii="arial" w:eastAsia="arial" w:hAnsi="arial" w:cs="arial"/>
                <w:i/>
                <w:color w:val="000000"/>
                <w:sz w:val="20"/>
                <w:lang w:val="en-US" w:eastAsia="en-US" w:bidi="ar-SA"/>
              </w:rPr>
              <w:t>Juror notes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Say They Aid Fact-Finding</w:t>
            </w:r>
            <w:r>
              <w:rPr>
                <w:rFonts w:ascii="arial" w:eastAsia="arial" w:hAnsi="arial" w:cs="arial"/>
                <w:color w:val="000000"/>
                <w:sz w:val="20"/>
                <w:lang w:val="en-US" w:eastAsia="en-US" w:bidi="ar-SA"/>
              </w:rPr>
              <w:t xml:space="preserve">, 72 A.B.A. J. 20 (1986) (based on surveys of jurors); Flango, </w:t>
            </w:r>
            <w:r>
              <w:rPr>
                <w:rFonts w:ascii="arial" w:eastAsia="arial" w:hAnsi="arial" w:cs="arial"/>
                <w:i/>
                <w:color w:val="000000"/>
                <w:sz w:val="20"/>
                <w:lang w:val="en-US" w:eastAsia="en-US" w:bidi="ar-SA"/>
              </w:rPr>
              <w:t>Would Jurors Do a Better Job If They Could Take Notes?</w:t>
            </w:r>
            <w:r>
              <w:rPr>
                <w:rFonts w:ascii="arial" w:eastAsia="arial" w:hAnsi="arial" w:cs="arial"/>
                <w:color w:val="000000"/>
                <w:sz w:val="20"/>
                <w:lang w:val="en-US" w:eastAsia="en-US" w:bidi="ar-SA"/>
              </w:rPr>
              <w:t xml:space="preserve">, 63 JUDICATURE 436 (1980); Comment, </w:t>
            </w:r>
            <w:r>
              <w:rPr>
                <w:rFonts w:ascii="arial" w:eastAsia="arial" w:hAnsi="arial" w:cs="arial"/>
                <w:i/>
                <w:color w:val="000000"/>
                <w:sz w:val="20"/>
                <w:lang w:val="en-US" w:eastAsia="en-US" w:bidi="ar-SA"/>
              </w:rPr>
              <w:t>Taking Note of Note-Taking</w:t>
            </w:r>
            <w:r>
              <w:rPr>
                <w:rFonts w:ascii="arial" w:eastAsia="arial" w:hAnsi="arial" w:cs="arial"/>
                <w:color w:val="000000"/>
                <w:sz w:val="20"/>
                <w:lang w:val="en-US" w:eastAsia="en-US" w:bidi="ar-SA"/>
              </w:rPr>
              <w:t>, 10 COLUM. J.L. &amp; SOC. PROBS. 565, 574-77 (1974).</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4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2" w:name="Bookmark_3"/>
      <w:bookmarkEnd w:id="2"/>
    </w:p>
    <w:p>
      <w:pPr>
        <w:rPr>
          <w:lang w:val="en-US" w:eastAsia="en-US" w:bidi="ar-SA"/>
        </w:rPr>
      </w:pPr>
      <w:r>
        <w:pict>
          <v:shape id="_x0000_i1033"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lang w:val="en-US" w:eastAsia="en-US" w:bidi="ar-SA"/>
          </w:rPr>
          <w:t>MPJI-Cr 1:02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1 INTRODUCTORY AND CAUTIONARY</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PUBLICITY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1:02Publicity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Beginning of Case</w:t>
      </w:r>
    </w:p>
    <w:p>
      <w:pPr>
        <w:spacing w:before="200" w:line="260" w:lineRule="atLeast"/>
        <w:jc w:val="both"/>
        <w:rPr>
          <w:lang w:val="en-US" w:eastAsia="en-US" w:bidi="ar-SA"/>
        </w:rPr>
      </w:pPr>
      <w:r>
        <w:rPr>
          <w:rFonts w:ascii="arial" w:eastAsia="arial" w:hAnsi="arial" w:cs="arial"/>
          <w:b/>
          <w:color w:val="000000"/>
          <w:sz w:val="20"/>
          <w:lang w:val="en-US" w:eastAsia="en-US" w:bidi="ar-SA"/>
        </w:rPr>
        <w:t>There may be public interest in this case and news coverage or other discussion of it. For that reason, do not read any article or any other report, or watch or listen to any television or radio news report, about the case. If anything occurs contrary to these instructions, please write me a note and give it to the bailiff as soon as possible and do not discuss it with anyone else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End of Case</w:t>
      </w:r>
    </w:p>
    <w:p>
      <w:pPr>
        <w:spacing w:before="200" w:line="260" w:lineRule="atLeast"/>
        <w:jc w:val="both"/>
        <w:rPr>
          <w:lang w:val="en-US" w:eastAsia="en-US" w:bidi="ar-SA"/>
        </w:rPr>
      </w:pPr>
      <w:r>
        <w:rPr>
          <w:rFonts w:ascii="arial" w:eastAsia="arial" w:hAnsi="arial" w:cs="arial"/>
          <w:b/>
          <w:color w:val="000000"/>
          <w:sz w:val="20"/>
          <w:lang w:val="en-US" w:eastAsia="en-US" w:bidi="ar-SA"/>
        </w:rPr>
        <w:t>You must completely disregard any information that you may have read, seen or heard concerning this case from any source including newspapers, television, radio, or internet sites. Such information is not evidence and you may not consider it or be influenced by it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jury's verdict must be based on evidence received in open court and not from outside sources. </w:t>
            </w:r>
            <w:hyperlink r:id="rId49" w:history="1">
              <w:r>
                <w:rPr>
                  <w:rFonts w:ascii="arial" w:eastAsia="arial" w:hAnsi="arial" w:cs="arial"/>
                  <w:i/>
                  <w:color w:val="0077CC"/>
                  <w:sz w:val="20"/>
                  <w:u w:val="single"/>
                  <w:lang w:val="en-US" w:eastAsia="en-US" w:bidi="ar-SA"/>
                </w:rPr>
                <w:t>Sheppard v. Maxwell, 384 U.S. 333, 351 (1966).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 LAFAVE &amp; J. ISRAEL, CRIMINAL PROCEDURE §§ 23.1 to 23.3, at 1099-1131 (5th ed. 2009 &amp; Supp. 2010). Publicity may be so prejudicial as to constitute a denial of due process. </w:t>
            </w:r>
            <w:r>
              <w:rPr>
                <w:rFonts w:ascii="arial" w:eastAsia="arial" w:hAnsi="arial" w:cs="arial"/>
                <w:i/>
                <w:color w:val="000000"/>
                <w:sz w:val="20"/>
                <w:lang w:val="en-US" w:eastAsia="en-US" w:bidi="ar-SA"/>
              </w:rPr>
              <w:t xml:space="preserve">See, e.g., </w:t>
            </w:r>
            <w:hyperlink r:id="rId50" w:history="1">
              <w:r>
                <w:rPr>
                  <w:rFonts w:ascii="arial" w:eastAsia="arial" w:hAnsi="arial" w:cs="arial"/>
                  <w:i/>
                  <w:color w:val="0077CC"/>
                  <w:sz w:val="20"/>
                  <w:u w:val="single"/>
                  <w:lang w:val="en-US" w:eastAsia="en-US" w:bidi="ar-SA"/>
                </w:rPr>
                <w:t>Basiliko v. State, 212 Md. 248, 129 A.2d 375 (1957);</w:t>
              </w:r>
            </w:hyperlink>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lang w:val="en-US" w:eastAsia="en-US" w:bidi="ar-SA"/>
                </w:rPr>
                <w:t>Barber v. State, 16 Md. App. 235, 240, 295 A.2d 814, 816 (1972)</w:t>
              </w:r>
            </w:hyperlink>
            <w:r>
              <w:rPr>
                <w:rFonts w:ascii="arial" w:eastAsia="arial" w:hAnsi="arial" w:cs="arial"/>
                <w:color w:val="000000"/>
                <w:sz w:val="20"/>
                <w:lang w:val="en-US" w:eastAsia="en-US" w:bidi="ar-SA"/>
              </w:rPr>
              <w:t xml:space="preserve"> ("where the publicity was so 'massive, pervasive and prejudicial' that it 'inflamed and prejudiced the public,' the Supreme Court presumed jury prejudice"). "[T]he appropriate safeguard against such prejudice is the defendant's right to demonstrate that the media's coverage of his case--be it printed or broadcast--compromised the ability of the particular jury that heard the case to adjudicate fairly." </w:t>
            </w:r>
            <w:hyperlink r:id="rId52" w:history="1">
              <w:r>
                <w:rPr>
                  <w:rFonts w:ascii="arial" w:eastAsia="arial" w:hAnsi="arial" w:cs="arial"/>
                  <w:i/>
                  <w:color w:val="0077CC"/>
                  <w:sz w:val="20"/>
                  <w:u w:val="single"/>
                  <w:lang w:val="en-US" w:eastAsia="en-US" w:bidi="ar-SA"/>
                </w:rPr>
                <w:t>Chandler v. Florida, 449 U.S. 560, 575 (1981).</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 noted in </w:t>
            </w:r>
            <w:hyperlink r:id="rId51" w:history="1">
              <w:r>
                <w:rPr>
                  <w:rFonts w:ascii="arial" w:eastAsia="arial" w:hAnsi="arial" w:cs="arial"/>
                  <w:i/>
                  <w:color w:val="0077CC"/>
                  <w:sz w:val="20"/>
                  <w:u w:val="single"/>
                  <w:lang w:val="en-US" w:eastAsia="en-US" w:bidi="ar-SA"/>
                </w:rPr>
                <w:t>Barber v. State, 16 Md. App. 235, 240, 295 A.2d 814, 816 (1972),</w:t>
              </w:r>
            </w:hyperlink>
            <w:r>
              <w:rPr>
                <w:rFonts w:ascii="arial" w:eastAsia="arial" w:hAnsi="arial" w:cs="arial"/>
                <w:color w:val="000000"/>
                <w:sz w:val="20"/>
                <w:lang w:val="en-US" w:eastAsia="en-US" w:bidi="ar-SA"/>
              </w:rPr>
              <w:t xml:space="preserve"> in extreme circumstances, courts may presume that massive pretrial publicity has been prejudicial, </w:t>
            </w:r>
            <w:hyperlink r:id="rId53" w:history="1">
              <w:r>
                <w:rPr>
                  <w:rFonts w:ascii="arial" w:eastAsia="arial" w:hAnsi="arial" w:cs="arial"/>
                  <w:i/>
                  <w:color w:val="0077CC"/>
                  <w:sz w:val="20"/>
                  <w:u w:val="single"/>
                  <w:lang w:val="en-US" w:eastAsia="en-US" w:bidi="ar-SA"/>
                </w:rPr>
                <w:t>Rideau v. Louisiana, 373 U.S. 723 (1963);</w:t>
              </w:r>
            </w:hyperlink>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lang w:val="en-US" w:eastAsia="en-US" w:bidi="ar-SA"/>
                </w:rPr>
                <w:t>Estes v. Texas, 381 U.S. 532 (1965),</w:t>
              </w:r>
            </w:hyperlink>
            <w:r>
              <w:rPr>
                <w:rFonts w:ascii="arial" w:eastAsia="arial" w:hAnsi="arial" w:cs="arial"/>
                <w:color w:val="000000"/>
                <w:sz w:val="20"/>
                <w:lang w:val="en-US" w:eastAsia="en-US" w:bidi="ar-SA"/>
              </w:rPr>
              <w:t xml:space="preserve"> but that presumption is not warranted, for example, when the trial jury was drawn from a large voir dire panel (in a populous area), the pre-trial publicity was not inherently prejudicial (e.g., it did not indicate that the defendant had confessed), a substantial period of time had elapsed between the events producing the publicity and the trial, and the trial jury acquitted the defendant on a number of the charges, "undermin[ing] … the supposition of juror bias." </w:t>
            </w:r>
            <w:hyperlink r:id="rId55" w:history="1">
              <w:r>
                <w:rPr>
                  <w:rFonts w:ascii="arial" w:eastAsia="arial" w:hAnsi="arial" w:cs="arial"/>
                  <w:i/>
                  <w:color w:val="0077CC"/>
                  <w:sz w:val="20"/>
                  <w:u w:val="single"/>
                  <w:lang w:val="en-US" w:eastAsia="en-US" w:bidi="ar-SA"/>
                </w:rPr>
                <w:t>Skilling v. United States, 561 U.S. 358, 383 (2010).</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burden is on the party alleging prejudice to prove (1) that the publicity is prejudicial, (2) that a juror has been exposed to the prejudicial material, and (3) that the juror's decision was influenced by the prejudicial material. </w:t>
            </w:r>
            <w:hyperlink r:id="rId56" w:history="1">
              <w:r>
                <w:rPr>
                  <w:rFonts w:ascii="arial" w:eastAsia="arial" w:hAnsi="arial" w:cs="arial"/>
                  <w:i/>
                  <w:color w:val="0077CC"/>
                  <w:sz w:val="20"/>
                  <w:u w:val="single"/>
                  <w:lang w:val="en-US" w:eastAsia="en-US" w:bidi="ar-SA"/>
                </w:rPr>
                <w:t>Baby v. State, 172 Md. App. 588, 624 (2007),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vacated, remanded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lang w:val="en-US" w:eastAsia="en-US" w:bidi="ar-SA"/>
                </w:rPr>
                <w:t>404 Md. 220, 946 A.2d 463 (2008).</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lang w:val="en-US" w:eastAsia="en-US" w:bidi="ar-SA"/>
                </w:rPr>
                <w:t>Wright v. State, 131 Md. App. 243, 254, 748 A.2d 1050, 1055-56 (2000).</w:t>
              </w:r>
            </w:hyperlink>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lang w:val="en-US" w:eastAsia="en-US" w:bidi="ar-SA"/>
                </w:rPr>
                <w:t>Seidman v. State, 230 Md. 305, 324, 187 A.2d 109, 120 (1962)</w:t>
              </w:r>
            </w:hyperlink>
            <w:r>
              <w:rPr>
                <w:rFonts w:ascii="arial" w:eastAsia="arial" w:hAnsi="arial" w:cs="arial"/>
                <w:color w:val="000000"/>
                <w:sz w:val="20"/>
                <w:lang w:val="en-US" w:eastAsia="en-US" w:bidi="ar-SA"/>
              </w:rPr>
              <w:t xml:space="preserve"> ("the accused must make an affirmative showing that he has been prejudiced by the newspaper reports, and that the accused was not in a position to rely upon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examination for protection against a prejudiced juror"),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374 U.S. 807 (1963);</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lang w:val="en-US" w:eastAsia="en-US" w:bidi="ar-SA"/>
                </w:rPr>
                <w:t>Presley v. State, 224 Md. 550, 555, 168 A.2d 510, 512 (1961),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368 U.S. 957 (1962);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61" w:history="1">
              <w:r>
                <w:rPr>
                  <w:rFonts w:ascii="arial" w:eastAsia="arial" w:hAnsi="arial" w:cs="arial"/>
                  <w:i/>
                  <w:color w:val="0077CC"/>
                  <w:sz w:val="20"/>
                  <w:u w:val="single"/>
                  <w:lang w:val="en-US" w:eastAsia="en-US" w:bidi="ar-SA"/>
                </w:rPr>
                <w:t>Mu'Min v. Virginia, 500 U.S. 415,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501 U.S. 1269 (1991)</w:t>
            </w:r>
            <w:r>
              <w:rPr>
                <w:rFonts w:ascii="arial" w:eastAsia="arial" w:hAnsi="arial" w:cs="arial"/>
                <w:color w:val="000000"/>
                <w:sz w:val="20"/>
                <w:lang w:val="en-US" w:eastAsia="en-US" w:bidi="ar-SA"/>
              </w:rPr>
              <w:t xml:space="preserve"> (although eight of the 12 jurors had familiarity with the case, there was no prejudice because none had formed an opinion). The injured party's remedy is a mistrial or a reversal on appeal. </w:t>
            </w:r>
            <w:r>
              <w:rPr>
                <w:rFonts w:ascii="arial" w:eastAsia="arial" w:hAnsi="arial" w:cs="arial"/>
                <w:i/>
                <w:color w:val="000000"/>
                <w:sz w:val="20"/>
                <w:lang w:val="en-US" w:eastAsia="en-US" w:bidi="ar-SA"/>
              </w:rPr>
              <w:t xml:space="preserve">See </w:t>
            </w:r>
            <w:hyperlink r:id="rId51" w:history="1">
              <w:r>
                <w:rPr>
                  <w:rFonts w:ascii="arial" w:eastAsia="arial" w:hAnsi="arial" w:cs="arial"/>
                  <w:i/>
                  <w:color w:val="0077CC"/>
                  <w:sz w:val="20"/>
                  <w:u w:val="single"/>
                  <w:lang w:val="en-US" w:eastAsia="en-US" w:bidi="ar-SA"/>
                </w:rPr>
                <w:t>Barber, 16 Md. App. 235, 295 A.2d 814.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303.3, at 462 n.1 (2d ed. 2001 &amp; Supp. 2010). $140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NOTES ON USE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Version "A" should be given at the beginning of the case or during the case only if media attention is anticipated.</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Version "B" should be given at the end of any case that received media attention or if the instruction is requested.</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5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3" w:name="Bookmark_4"/>
      <w:bookmarkEnd w:id="3"/>
    </w:p>
    <w:p>
      <w:pPr>
        <w:rPr>
          <w:lang w:val="en-US" w:eastAsia="en-US" w:bidi="ar-SA"/>
        </w:rPr>
      </w:pPr>
      <w:r>
        <w:pict>
          <v:shape id="_x0000_i103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lang w:val="en-US" w:eastAsia="en-US" w:bidi="ar-SA"/>
          </w:rPr>
          <w:t>MPJI-Cr 1:03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1 INTRODUCTORY AND CAUTIONARY</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ADMONITION UPON RECESS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1:03Admonition Upon Recess</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Do not discuss this case with anyone or let anyone discuss this case with you or in your presence. This includes other jurors, courtroom personnel, friends, relatives or anyone else. In addition, you should avoid any contact with the parties, witnesses and lawyers involved in this case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Please remember that you should not research or investigate the case or the individuals involved in it. Do not conduct any searches relating to this case in books, newspapers or on the internet, websites, blogs or any other source of information. Do not visit or do any research about locations or places related to the case. You also must not express any views, comments or opinions about the case to anyone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anyone tries to discuss this case with you or if you learn that my instructions are not being followed, please write me a note and give it to the bailiff as soon as possible, and do not discuss it with anyone else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appropriate admonition from the court, before separation of the jury, will ordinarily protect the deliberative process from the potential harm of outside contact because the members of the jury are presumed to be impressed with their solemn duty. </w:t>
            </w:r>
            <w:r>
              <w:rPr>
                <w:rFonts w:ascii="arial" w:eastAsia="arial" w:hAnsi="arial" w:cs="arial"/>
                <w:i/>
                <w:color w:val="000000"/>
                <w:sz w:val="20"/>
                <w:lang w:val="en-US" w:eastAsia="en-US" w:bidi="ar-SA"/>
              </w:rPr>
              <w:t xml:space="preserve">See </w:t>
            </w:r>
            <w:hyperlink r:id="rId69" w:history="1">
              <w:r>
                <w:rPr>
                  <w:rFonts w:ascii="arial" w:eastAsia="arial" w:hAnsi="arial" w:cs="arial"/>
                  <w:i/>
                  <w:color w:val="0077CC"/>
                  <w:sz w:val="20"/>
                  <w:u w:val="single"/>
                  <w:lang w:val="en-US" w:eastAsia="en-US" w:bidi="ar-SA"/>
                </w:rPr>
                <w:t>State v. Magwood, 290 Md. 615, 432 A.2d 446 (1981);</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lang w:val="en-US" w:eastAsia="en-US" w:bidi="ar-SA"/>
                </w:rPr>
                <w:t>Midgett v. State, 223 Md. 282, 164 A.2d 526 (1960),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365 U.S. 853 (1961);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71" w:history="1">
              <w:r>
                <w:rPr>
                  <w:rFonts w:ascii="arial" w:eastAsia="arial" w:hAnsi="arial" w:cs="arial"/>
                  <w:i/>
                  <w:color w:val="0077CC"/>
                  <w:sz w:val="20"/>
                  <w:u w:val="single"/>
                  <w:lang w:val="en-US" w:eastAsia="en-US" w:bidi="ar-SA"/>
                </w:rPr>
                <w:t>Leckliter v. State, 75 Md. App. 143, 540 A.2d 847</w:t>
              </w:r>
            </w:hyperlink>
            <w:r>
              <w:rPr>
                <w:rFonts w:ascii="arial" w:eastAsia="arial" w:hAnsi="arial" w:cs="arial"/>
                <w:color w:val="000000"/>
                <w:sz w:val="20"/>
                <w:lang w:val="en-US" w:eastAsia="en-US" w:bidi="ar-SA"/>
              </w:rPr>
              <w:t xml:space="preserve"> (although not required by statute or rule, admonition to jurors prior to separation is an established practice and it is entirely proper that jurors be cautioned against discussing the case with others or among themselves),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506, 545 A.2d 1344 (1988);</w:t>
            </w:r>
            <w:r>
              <w:rPr>
                <w:rFonts w:ascii="arial" w:eastAsia="arial" w:hAnsi="arial" w:cs="arial"/>
                <w:color w:val="000000"/>
                <w:sz w:val="20"/>
                <w:lang w:val="en-US" w:eastAsia="en-US" w:bidi="ar-SA"/>
              </w:rPr>
              <w:t xml:space="preserve"> Annotation, </w:t>
            </w:r>
            <w:r>
              <w:rPr>
                <w:rFonts w:ascii="arial" w:eastAsia="arial" w:hAnsi="arial" w:cs="arial"/>
                <w:i/>
                <w:color w:val="000000"/>
                <w:sz w:val="20"/>
                <w:lang w:val="en-US" w:eastAsia="en-US" w:bidi="ar-SA"/>
              </w:rPr>
              <w:t>Propriety and Effect of Jurors' Discussion of Evidence Among Themselves Before Final Submission of Criminal Case</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lang w:val="en-US" w:eastAsia="en-US" w:bidi="ar-SA"/>
                </w:rPr>
                <w:t>21 A.L.R.4th 444 (1983).</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Improper contact between a party or witness and a juror may implicate a defendant's right to a fair trial. </w:t>
            </w:r>
            <w:r>
              <w:rPr>
                <w:rFonts w:ascii="arial" w:eastAsia="arial" w:hAnsi="arial" w:cs="arial"/>
                <w:i/>
                <w:color w:val="000000"/>
                <w:sz w:val="20"/>
                <w:lang w:val="en-US" w:eastAsia="en-US" w:bidi="ar-SA"/>
              </w:rPr>
              <w:t xml:space="preserve">See </w:t>
            </w:r>
            <w:hyperlink r:id="rId73" w:history="1">
              <w:r>
                <w:rPr>
                  <w:rFonts w:ascii="arial" w:eastAsia="arial" w:hAnsi="arial" w:cs="arial"/>
                  <w:i/>
                  <w:color w:val="0077CC"/>
                  <w:sz w:val="20"/>
                  <w:u w:val="single"/>
                  <w:lang w:val="en-US" w:eastAsia="en-US" w:bidi="ar-SA"/>
                </w:rPr>
                <w:t>Dillard v. State, 415 Md. 445, 454-55, 3 A.3d 403 (2010);</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lang w:val="en-US" w:eastAsia="en-US" w:bidi="ar-SA"/>
                </w:rPr>
                <w:t>Jenkins v. State, 375 Md. 284, 289, 825 A.2d 1008, 1011 (2003)</w:t>
              </w:r>
            </w:hyperlink>
            <w:r>
              <w:rPr>
                <w:rFonts w:ascii="arial" w:eastAsia="arial" w:hAnsi="arial" w:cs="arial"/>
                <w:color w:val="000000"/>
                <w:sz w:val="20"/>
                <w:lang w:val="en-US" w:eastAsia="en-US" w:bidi="ar-SA"/>
              </w:rPr>
              <w:t xml:space="preserve"> (prejudice to the defendant presumed and a new trial required when, despite the trial court's admonition pursuant to MPJI-Cr 1:03, during a trial recess, a juror "intentionally sought out" a detective who had testified for the State, and thereafter during the trial, the juror "went to lunch with the detective" and "they discussed personal details of their lives."); </w:t>
            </w:r>
            <w:hyperlink r:id="rId75" w:history="1">
              <w:r>
                <w:rPr>
                  <w:rFonts w:ascii="arial" w:eastAsia="arial" w:hAnsi="arial" w:cs="arial"/>
                  <w:i/>
                  <w:color w:val="0077CC"/>
                  <w:sz w:val="20"/>
                  <w:u w:val="single"/>
                  <w:lang w:val="en-US" w:eastAsia="en-US" w:bidi="ar-SA"/>
                </w:rPr>
                <w:t>Allen v. State, 89 Md. App. 25, 597 A.2d 489 (1991)</w:t>
              </w:r>
            </w:hyperlink>
            <w:r>
              <w:rPr>
                <w:rFonts w:ascii="arial" w:eastAsia="arial" w:hAnsi="arial" w:cs="arial"/>
                <w:color w:val="000000"/>
                <w:sz w:val="20"/>
                <w:lang w:val="en-US" w:eastAsia="en-US" w:bidi="ar-SA"/>
              </w:rPr>
              <w:t xml:space="preserve"> (no error in denying motion for mistrial based on communication by one defendant to dismissed alternate juror, transmitted to sitting juror, who informed foreperson; judge held immediate hearing on the question),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325 Md. 396, 601 A.2d 129 (1992).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606.2, at 117-18 (2d ed. 2001 &amp; Supp.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there is an allegation of improper contact between anyone and a juror, the trial court may conduct a voir dire examination to determine if the contact occurred and was prejudicial. Contacts between jurors and witnesses are presumptively prejudicial. </w:t>
            </w:r>
            <w:hyperlink r:id="rId73" w:history="1">
              <w:r>
                <w:rPr>
                  <w:rFonts w:ascii="arial" w:eastAsia="arial" w:hAnsi="arial" w:cs="arial"/>
                  <w:i/>
                  <w:color w:val="0077CC"/>
                  <w:sz w:val="20"/>
                  <w:u w:val="single"/>
                  <w:lang w:val="en-US" w:eastAsia="en-US" w:bidi="ar-SA"/>
                </w:rPr>
                <w:t>Dillard, 415 Md. at 460-61, 3 A.3d at 412.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Dillard</w:t>
            </w:r>
            <w:r>
              <w:rPr>
                <w:rFonts w:ascii="arial" w:eastAsia="arial" w:hAnsi="arial" w:cs="arial"/>
                <w:color w:val="000000"/>
                <w:sz w:val="20"/>
                <w:lang w:val="en-US" w:eastAsia="en-US" w:bidi="ar-SA"/>
              </w:rPr>
              <w:t>, the trial court abused its discretion by failing to conduct a voir dire examination of two jurors, who in passing a police officer witness in the hall, complimented him on his testimony. The Court of Appeals said: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Without a voir dire examination of the jurors to determine the intent or sub-text of their comments and whether they had discussed the issue of Dillard's guilt or innocence, the trial judge did not have sufficient information to determine whether the presumption of prejudice attached to the contact or to rule on Dillard's motion for a mistrial. Thus, the trial judge's failure to clarify the factual scenario raised by the contact between the jurors and Detective Smith constituted an abuse of discretion.</w:t>
            </w:r>
          </w:p>
          <w:p>
            <w:pPr>
              <w:spacing w:before="240" w:line="260" w:lineRule="atLeast"/>
              <w:ind w:left="60" w:right="360"/>
              <w:jc w:val="both"/>
              <w:rPr>
                <w:lang w:val="en-US" w:eastAsia="en-US" w:bidi="ar-SA"/>
              </w:rPr>
            </w:pPr>
            <w:hyperlink r:id="rId73" w:history="1">
              <w:r>
                <w:rPr>
                  <w:rFonts w:ascii="arial" w:eastAsia="arial" w:hAnsi="arial" w:cs="arial"/>
                  <w:i/>
                  <w:color w:val="0077CC"/>
                  <w:sz w:val="20"/>
                  <w:u w:val="single"/>
                  <w:lang w:val="en-US" w:eastAsia="en-US" w:bidi="ar-SA"/>
                </w:rPr>
                <w:t>Id. at 451, 3 A.3d at 410.</w:t>
              </w:r>
            </w:hyperlink>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lang w:val="en-US" w:eastAsia="en-US" w:bidi="ar-SA"/>
                </w:rPr>
                <w:t>Johnson v. State, 423 Md. 137, 154, 31 A.3d 239, 249 (2011):</w:t>
              </w:r>
            </w:hyperlink>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Much as we said in </w:t>
            </w:r>
            <w:r>
              <w:rPr>
                <w:rFonts w:ascii="arial" w:eastAsia="arial" w:hAnsi="arial" w:cs="arial"/>
                <w:i/>
                <w:color w:val="000000"/>
                <w:sz w:val="20"/>
                <w:lang w:val="en-US" w:eastAsia="en-US" w:bidi="ar-SA"/>
              </w:rPr>
              <w:t>Dillard</w:t>
            </w:r>
            <w:r>
              <w:rPr>
                <w:rFonts w:ascii="arial" w:eastAsia="arial" w:hAnsi="arial" w:cs="arial"/>
                <w:color w:val="000000"/>
                <w:sz w:val="20"/>
                <w:lang w:val="en-US" w:eastAsia="en-US" w:bidi="ar-SA"/>
              </w:rPr>
              <w:t xml:space="preserve">, individual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of the jurors would have given the court insight into the degree to which the various members of the jury were touched by the misconduct of one of them and whether, ultimately, it was possible to have defendant's case be fairly decided.</w:t>
            </w:r>
          </w:p>
          <w:p>
            <w:pPr>
              <w:spacing w:before="60" w:line="260" w:lineRule="atLeast"/>
              <w:ind w:left="60" w:right="360"/>
              <w:jc w:val="both"/>
              <w:rPr>
                <w:lang w:val="en-US" w:eastAsia="en-US" w:bidi="ar-SA"/>
              </w:rPr>
            </w:pPr>
            <w:r>
              <w:rPr>
                <w:rFonts w:ascii="arial" w:eastAsia="arial" w:hAnsi="arial" w:cs="arial"/>
                <w:color w:val="000000"/>
                <w:sz w:val="20"/>
                <w:lang w:val="en-US" w:eastAsia="en-US" w:bidi="ar-SA"/>
              </w:rPr>
              <w:t>The separation or sequestration of the jurors before or after submission of the case to the jury is within the discretion of the court. MD. CODE ANN., CTS. &amp; JUD. PROC. II § 8-422 (2013 &amp; Supp. 2018) ("At any time before or after submission of a case to a jury, a trial judge may allow the jury to separate or be sequestered."); Md. Rule 4-311(c) ("The court, either before or after submission of the case to the jury, may permit the jurors to separate or require that they be sequestered.").</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66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4" w:name="Bookmark_5"/>
      <w:bookmarkEnd w:id="4"/>
    </w:p>
    <w:p>
      <w:pPr>
        <w:rPr>
          <w:lang w:val="en-US" w:eastAsia="en-US" w:bidi="ar-SA"/>
        </w:rPr>
      </w:pPr>
      <w:r>
        <w:pict>
          <v:shape id="_x0000_i103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lang w:val="en-US" w:eastAsia="en-US" w:bidi="ar-SA"/>
          </w:rPr>
          <w:t>MPJI-Cr 1:04</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1 INTRODUCTORY AND CAUTIONARY</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POST-VERDICT ADVICE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1:04Post-Verdict Advice</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now completed your duties as jurors in this case and are discharged with the sincere thanks of this Court. Before I dismiss you, I want to say a few words about whether you may discuss this case with the attorneys or with anyone else. My advice on this topic is for your guidance only and is not binding on you. Whether you talk to the attorneys, or anyone else about this case, is entirely your own decision. You may discuss this case if you wish to, but you are not required to do so, and you may choose not to discuss the case with anyone at all. If you choose to, you may discuss as much or as little as you like. [In the event of a hung jury, add: "The attorneys may find your comments useful in deciding how to proceed going forward."]</w:t>
      </w:r>
    </w:p>
    <w:p>
      <w:pPr>
        <w:spacing w:before="200" w:line="260" w:lineRule="atLeast"/>
        <w:jc w:val="both"/>
        <w:rPr>
          <w:lang w:val="en-US" w:eastAsia="en-US" w:bidi="ar-SA"/>
        </w:rPr>
      </w:pPr>
      <w:r>
        <w:rPr>
          <w:rFonts w:ascii="arial" w:eastAsia="arial" w:hAnsi="arial" w:cs="arial"/>
          <w:b/>
          <w:color w:val="000000"/>
          <w:sz w:val="20"/>
          <w:lang w:val="en-US" w:eastAsia="en-US" w:bidi="ar-SA"/>
        </w:rPr>
        <w:t>If you do decide to discuss the case, I ask that you respect the privacy and feelings of your fellow jurors and not disclose any identifying information about any of them. If anyone persists in discussing the case over your objection or becomes critical of you or your service, please report it to my chambers or to the Jury Commissioner</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After receiving requests for post-verdict advice to the jury, the committee approved this new language in June 2018. Strictly speaking, this is not a "jury instruction," but rather non-binding advisory language to clarify common juror concerns. While jurors have a strict First Amendment right to speak about their service, they also have a legitimate interest in their own privacy. </w:t>
            </w:r>
            <w:r>
              <w:rPr>
                <w:rFonts w:ascii="arial" w:eastAsia="arial" w:hAnsi="arial" w:cs="arial"/>
                <w:i/>
                <w:color w:val="000000"/>
                <w:sz w:val="20"/>
                <w:lang w:val="en-US" w:eastAsia="en-US" w:bidi="ar-SA"/>
              </w:rPr>
              <w:t xml:space="preserve">Compare, e.g., </w:t>
            </w:r>
            <w:hyperlink r:id="rId84" w:history="1">
              <w:r>
                <w:rPr>
                  <w:rFonts w:ascii="arial" w:eastAsia="arial" w:hAnsi="arial" w:cs="arial"/>
                  <w:i/>
                  <w:color w:val="0077CC"/>
                  <w:sz w:val="20"/>
                  <w:u w:val="single"/>
                  <w:lang w:val="en-US" w:eastAsia="en-US" w:bidi="ar-SA"/>
                </w:rPr>
                <w:t>Journal Pub. Co. v. Mechem, 801 F.2d 1233, 1236 (10th Cir. 1986)</w:t>
              </w:r>
            </w:hyperlink>
            <w:r>
              <w:rPr>
                <w:rFonts w:ascii="arial" w:eastAsia="arial" w:hAnsi="arial" w:cs="arial"/>
                <w:color w:val="000000"/>
                <w:sz w:val="20"/>
                <w:lang w:val="en-US" w:eastAsia="en-US" w:bidi="ar-SA"/>
              </w:rPr>
              <w:t xml:space="preserve"> (noting that courts may broadly proscribe attorney and party contact with former jurors, but lack the same power to restrict press interviews with former jurors), </w:t>
            </w:r>
            <w:r>
              <w:rPr>
                <w:rFonts w:ascii="arial" w:eastAsia="arial" w:hAnsi="arial" w:cs="arial"/>
                <w:i/>
                <w:color w:val="000000"/>
                <w:sz w:val="20"/>
                <w:lang w:val="en-US" w:eastAsia="en-US" w:bidi="ar-SA"/>
              </w:rPr>
              <w:t xml:space="preserve">with </w:t>
            </w:r>
            <w:hyperlink r:id="rId85" w:history="1">
              <w:r>
                <w:rPr>
                  <w:rFonts w:ascii="arial" w:eastAsia="arial" w:hAnsi="arial" w:cs="arial"/>
                  <w:i/>
                  <w:color w:val="0077CC"/>
                  <w:sz w:val="20"/>
                  <w:u w:val="single"/>
                  <w:lang w:val="en-US" w:eastAsia="en-US" w:bidi="ar-SA"/>
                </w:rPr>
                <w:t>United States v. Brown, 62 F. App'x 516, 519 (4th Cir. 2003)</w:t>
              </w:r>
            </w:hyperlink>
            <w:r>
              <w:rPr>
                <w:rFonts w:ascii="arial" w:eastAsia="arial" w:hAnsi="arial" w:cs="arial"/>
                <w:color w:val="000000"/>
                <w:sz w:val="20"/>
                <w:lang w:val="en-US" w:eastAsia="en-US" w:bidi="ar-SA"/>
              </w:rPr>
              <w:t xml:space="preserve"> (holding that juror's contact with government case agent to discuss criminal trial and jury deliberations did not violate local rule barring attorneys and litigants from interviewing jurors). This advisory language is therefore designed to inform jurors that it is their choice whether or not to speak. It also seeks to promote the general value of respect for the privacy of jury members.</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pPr>
      <w:r>
        <w:rPr>
          <w:lang w:val="en-US" w:eastAsia="en-US" w:bidi="ar-SA"/>
        </w:rPr>
        <w:br/>
      </w:r>
      <w:r>
        <w:pict>
          <v:line id="_x0000_s1041" style="position:absolute;z-index:2516674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2018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Michael Fiorenza</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1:00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1:01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1:02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1:03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1:04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header" Target="header4.xml" /><Relationship Id="rId17" Type="http://schemas.openxmlformats.org/officeDocument/2006/relationships/header" Target="header5.xml" /><Relationship Id="rId18" Type="http://schemas.openxmlformats.org/officeDocument/2006/relationships/footer" Target="footer4.xml" /><Relationship Id="rId19" Type="http://schemas.openxmlformats.org/officeDocument/2006/relationships/footer" Target="footer5.xml" /><Relationship Id="rId2" Type="http://schemas.openxmlformats.org/officeDocument/2006/relationships/webSettings" Target="webSettings.xml" /><Relationship Id="rId20" Type="http://schemas.openxmlformats.org/officeDocument/2006/relationships/header" Target="header6.xml" /><Relationship Id="rId21" Type="http://schemas.openxmlformats.org/officeDocument/2006/relationships/footer" Target="footer6.xml" /><Relationship Id="rId22" Type="http://schemas.openxmlformats.org/officeDocument/2006/relationships/hyperlink" Target="https://advance.lexis.com/api/document?collection=jury-instructions&amp;id=urn:contentItem:5T0Y-CDN0-01KN-B001-00000-00&amp;context=" TargetMode="External" /><Relationship Id="rId23" Type="http://schemas.openxmlformats.org/officeDocument/2006/relationships/hyperlink" Target="https://advance.lexis.com/api/document?collection=analytical-materials&amp;id=urn:contentItem:4JRT-GSS0-00CT-S05B-00000-00&amp;context=" TargetMode="External" /><Relationship Id="rId24" Type="http://schemas.openxmlformats.org/officeDocument/2006/relationships/hyperlink" Target="https://advance.lexis.com/api/document?collection=analytical-materials&amp;id=urn:contentItem:3S41-2X20-00CV-6236-00000-00&amp;context=" TargetMode="External" /><Relationship Id="rId25" Type="http://schemas.openxmlformats.org/officeDocument/2006/relationships/hyperlink" Target="https://advance.lexis.com/api/document?collection=analytical-materials&amp;id=urn:contentItem:4KDC-4W10-00CW-5075-00000-00&amp;context=" TargetMode="External" /><Relationship Id="rId26" Type="http://schemas.openxmlformats.org/officeDocument/2006/relationships/hyperlink" Target="https://advance.lexis.com/api/document?collection=cases&amp;id=urn:contentItem:4NPR-MCX0-0039-41TP-00000-00&amp;context=" TargetMode="External" /><Relationship Id="rId27" Type="http://schemas.openxmlformats.org/officeDocument/2006/relationships/hyperlink" Target="https://advance.lexis.com/api/document?collection=cases&amp;id=urn:contentItem:4KST-VC70-0039-40YM-00000-00&amp;context=" TargetMode="External" /><Relationship Id="rId28" Type="http://schemas.openxmlformats.org/officeDocument/2006/relationships/hyperlink" Target="https://advance.lexis.com/api/document?collection=cases&amp;id=urn:contentItem:3RX4-4T30-003G-2451-00000-00&amp;context=" TargetMode="External" /><Relationship Id="rId29" Type="http://schemas.openxmlformats.org/officeDocument/2006/relationships/hyperlink" Target="https://advance.lexis.com/api/document?collection=cases&amp;id=urn:contentItem:3RX4-9190-003G-255G-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RX4-3670-003G-20VD-00000-00&amp;context=" TargetMode="External" /><Relationship Id="rId31" Type="http://schemas.openxmlformats.org/officeDocument/2006/relationships/hyperlink" Target="https://advance.lexis.com/api/document?collection=cases&amp;id=urn:contentItem:3RX4-3S30-003G-220M-00000-00&amp;context=" TargetMode="External" /><Relationship Id="rId32" Type="http://schemas.openxmlformats.org/officeDocument/2006/relationships/hyperlink" Target="https://advance.lexis.com/api/document?collection=cases&amp;id=urn:contentItem:7VNX-8PD1-2R6J-22B6-00000-00&amp;context=" TargetMode="External" /><Relationship Id="rId33" Type="http://schemas.openxmlformats.org/officeDocument/2006/relationships/hyperlink" Target="https://advance.lexis.com/api/document?collection=cases&amp;id=urn:contentItem:7YJP-W3R1-2RHH-V0YK-00000-00&amp;context=" TargetMode="External" /><Relationship Id="rId34" Type="http://schemas.openxmlformats.org/officeDocument/2006/relationships/hyperlink" Target="https://advance.lexis.com/api/document?collection=analytical-materials&amp;id=urn:contentItem:52HP-JC30-00CW-D095-00000-00&amp;context=" TargetMode="External" /><Relationship Id="rId35" Type="http://schemas.openxmlformats.org/officeDocument/2006/relationships/header" Target="header7.xml" /><Relationship Id="rId36" Type="http://schemas.openxmlformats.org/officeDocument/2006/relationships/header" Target="header8.xml" /><Relationship Id="rId37" Type="http://schemas.openxmlformats.org/officeDocument/2006/relationships/footer" Target="footer7.xml" /><Relationship Id="rId38" Type="http://schemas.openxmlformats.org/officeDocument/2006/relationships/footer" Target="footer8.xml" /><Relationship Id="rId39" Type="http://schemas.openxmlformats.org/officeDocument/2006/relationships/header" Target="header9.xml" /><Relationship Id="rId4" Type="http://schemas.openxmlformats.org/officeDocument/2006/relationships/image" Target="media/image1.png" /><Relationship Id="rId40" Type="http://schemas.openxmlformats.org/officeDocument/2006/relationships/footer" Target="footer9.xml" /><Relationship Id="rId41" Type="http://schemas.openxmlformats.org/officeDocument/2006/relationships/hyperlink" Target="https://advance.lexis.com/api/document?collection=jury-instructions&amp;id=urn:contentItem:5T0Y-CDN0-01KN-B002-00000-00&amp;context=" TargetMode="External" /><Relationship Id="rId42" Type="http://schemas.openxmlformats.org/officeDocument/2006/relationships/header" Target="header10.xml" /><Relationship Id="rId43" Type="http://schemas.openxmlformats.org/officeDocument/2006/relationships/header" Target="header11.xml" /><Relationship Id="rId44" Type="http://schemas.openxmlformats.org/officeDocument/2006/relationships/footer" Target="footer10.xml" /><Relationship Id="rId45" Type="http://schemas.openxmlformats.org/officeDocument/2006/relationships/footer" Target="footer11.xml" /><Relationship Id="rId46" Type="http://schemas.openxmlformats.org/officeDocument/2006/relationships/header" Target="header12.xml" /><Relationship Id="rId47" Type="http://schemas.openxmlformats.org/officeDocument/2006/relationships/footer" Target="footer12.xml" /><Relationship Id="rId48" Type="http://schemas.openxmlformats.org/officeDocument/2006/relationships/hyperlink" Target="https://advance.lexis.com/api/document?collection=jury-instructions&amp;id=urn:contentItem:5T0Y-CDN0-01KN-B003-00000-00&amp;context=" TargetMode="External" /><Relationship Id="rId49" Type="http://schemas.openxmlformats.org/officeDocument/2006/relationships/hyperlink" Target="https://advance.lexis.com/api/document?collection=cases&amp;id=urn:contentItem:3S4X-G490-003B-S2W4-00000-00&amp;context=" TargetMode="External" /><Relationship Id="rId5" Type="http://schemas.openxmlformats.org/officeDocument/2006/relationships/hyperlink" Target="https://advance.lexis.com/api/document?id=urn:contentItem:5T0Y-CDN0-01KN-B001-00000-00&amp;idtype=PID&amp;context=1000516" TargetMode="External" /><Relationship Id="rId50" Type="http://schemas.openxmlformats.org/officeDocument/2006/relationships/hyperlink" Target="https://advance.lexis.com/api/document?collection=cases&amp;id=urn:contentItem:3S12-2WD0-003D-Y3FV-00000-00&amp;context=" TargetMode="External" /><Relationship Id="rId51" Type="http://schemas.openxmlformats.org/officeDocument/2006/relationships/hyperlink" Target="https://advance.lexis.com/api/document?collection=cases&amp;id=urn:contentItem:3RX4-CF30-003G-20HD-00000-00&amp;context=" TargetMode="External" /><Relationship Id="rId52" Type="http://schemas.openxmlformats.org/officeDocument/2006/relationships/hyperlink" Target="https://advance.lexis.com/api/document?collection=cases&amp;id=urn:contentItem:3S4X-6RK0-003B-S350-00000-00&amp;context=" TargetMode="External" /><Relationship Id="rId53" Type="http://schemas.openxmlformats.org/officeDocument/2006/relationships/hyperlink" Target="https://advance.lexis.com/api/document?collection=cases&amp;id=urn:contentItem:3S4X-H320-003B-S2BS-00000-00&amp;context=" TargetMode="External" /><Relationship Id="rId54" Type="http://schemas.openxmlformats.org/officeDocument/2006/relationships/hyperlink" Target="https://advance.lexis.com/api/document?collection=cases&amp;id=urn:contentItem:3S4X-GMC0-003B-S0YG-00000-00&amp;context=" TargetMode="External" /><Relationship Id="rId55" Type="http://schemas.openxmlformats.org/officeDocument/2006/relationships/hyperlink" Target="https://advance.lexis.com/api/document?collection=cases&amp;id=urn:contentItem:7YSN-XP80-YB0V-90M9-00000-00&amp;context=" TargetMode="External" /><Relationship Id="rId56" Type="http://schemas.openxmlformats.org/officeDocument/2006/relationships/hyperlink" Target="https://advance.lexis.com/api/document?collection=cases&amp;id=urn:contentItem:4NGB-HHD0-0039-452K-00000-00&amp;context=" TargetMode="External" /><Relationship Id="rId57" Type="http://schemas.openxmlformats.org/officeDocument/2006/relationships/hyperlink" Target="https://advance.lexis.com/api/document?collection=cases&amp;id=urn:contentItem:4S9G-1JC0-TX4N-G0YG-00000-00&amp;context=" TargetMode="External" /><Relationship Id="rId58" Type="http://schemas.openxmlformats.org/officeDocument/2006/relationships/hyperlink" Target="https://advance.lexis.com/api/document?collection=cases&amp;id=urn:contentItem:3YYC-9PH0-0039-41YD-00000-00&amp;context=" TargetMode="External" /><Relationship Id="rId59" Type="http://schemas.openxmlformats.org/officeDocument/2006/relationships/hyperlink" Target="https://advance.lexis.com/api/document?collection=cases&amp;id=urn:contentItem:3S12-2B50-003D-Y12V-00000-00&amp;context=" TargetMode="External" /><Relationship Id="rId6" Type="http://schemas.openxmlformats.org/officeDocument/2006/relationships/hyperlink" Target="https://advance.lexis.com/api/document?id=urn:contentItem:5T0Y-CDN0-01KN-B002-00000-00&amp;idtype=PID&amp;context=1000516" TargetMode="External" /><Relationship Id="rId60" Type="http://schemas.openxmlformats.org/officeDocument/2006/relationships/hyperlink" Target="https://advance.lexis.com/api/document?collection=cases&amp;id=urn:contentItem:3S12-2HN0-003D-Y1VM-00000-00&amp;context=" TargetMode="External" /><Relationship Id="rId61" Type="http://schemas.openxmlformats.org/officeDocument/2006/relationships/hyperlink" Target="https://advance.lexis.com/api/document?collection=cases&amp;id=urn:contentItem:3S65-KSH0-003B-R12N-00000-00&amp;context=" TargetMode="External" /><Relationship Id="rId62" Type="http://schemas.openxmlformats.org/officeDocument/2006/relationships/header" Target="header13.xml" /><Relationship Id="rId63" Type="http://schemas.openxmlformats.org/officeDocument/2006/relationships/header" Target="header14.xml" /><Relationship Id="rId64" Type="http://schemas.openxmlformats.org/officeDocument/2006/relationships/footer" Target="footer13.xml" /><Relationship Id="rId65" Type="http://schemas.openxmlformats.org/officeDocument/2006/relationships/footer" Target="footer14.xml" /><Relationship Id="rId66" Type="http://schemas.openxmlformats.org/officeDocument/2006/relationships/header" Target="header15.xml" /><Relationship Id="rId67" Type="http://schemas.openxmlformats.org/officeDocument/2006/relationships/footer" Target="footer15.xml" /><Relationship Id="rId68" Type="http://schemas.openxmlformats.org/officeDocument/2006/relationships/hyperlink" Target="https://advance.lexis.com/api/document?collection=jury-instructions&amp;id=urn:contentItem:5T0Y-CDN0-01KN-B004-00000-00&amp;context=" TargetMode="External" /><Relationship Id="rId69" Type="http://schemas.openxmlformats.org/officeDocument/2006/relationships/hyperlink" Target="https://advance.lexis.com/api/document?collection=cases&amp;id=urn:contentItem:3RX4-4NS0-003G-23XT-00000-00&amp;context=" TargetMode="External" /><Relationship Id="rId7" Type="http://schemas.openxmlformats.org/officeDocument/2006/relationships/hyperlink" Target="https://advance.lexis.com/api/document?id=urn:contentItem:5T0Y-CDN0-01KN-B003-00000-00&amp;idtype=PID&amp;context=1000516" TargetMode="External" /><Relationship Id="rId70" Type="http://schemas.openxmlformats.org/officeDocument/2006/relationships/hyperlink" Target="https://advance.lexis.com/api/document?collection=cases&amp;id=urn:contentItem:3S12-2JS0-003D-Y227-00000-00&amp;context=" TargetMode="External" /><Relationship Id="rId71" Type="http://schemas.openxmlformats.org/officeDocument/2006/relationships/hyperlink" Target="https://advance.lexis.com/api/document?collection=cases&amp;id=urn:contentItem:3RX4-9HX0-003G-2155-00000-00&amp;context=" TargetMode="External" /><Relationship Id="rId72" Type="http://schemas.openxmlformats.org/officeDocument/2006/relationships/hyperlink" Target="https://advance.lexis.com/api/document?collection=analytical-materials&amp;id=urn:contentItem:5RMV-4JV0-00CR-14M8-00000-00&amp;context=" TargetMode="External" /><Relationship Id="rId73" Type="http://schemas.openxmlformats.org/officeDocument/2006/relationships/hyperlink" Target="https://advance.lexis.com/api/document?collection=cases&amp;id=urn:contentItem:50VX-0WM1-652M-600B-00000-00&amp;context=" TargetMode="External" /><Relationship Id="rId74" Type="http://schemas.openxmlformats.org/officeDocument/2006/relationships/hyperlink" Target="https://advance.lexis.com/api/document?collection=cases&amp;id=urn:contentItem:48TW-51T0-0039-40D2-00000-00&amp;context=" TargetMode="External" /><Relationship Id="rId75" Type="http://schemas.openxmlformats.org/officeDocument/2006/relationships/hyperlink" Target="https://advance.lexis.com/api/document?collection=cases&amp;id=urn:contentItem:3RX4-94T0-003G-206N-00000-00&amp;context=" TargetMode="External" /><Relationship Id="rId76" Type="http://schemas.openxmlformats.org/officeDocument/2006/relationships/hyperlink" Target="https://advance.lexis.com/api/document?collection=cases&amp;id=urn:contentItem:83H5-M031-652M-603T-00000-00&amp;context=" TargetMode="External" /><Relationship Id="rId77" Type="http://schemas.openxmlformats.org/officeDocument/2006/relationships/header" Target="header16.xml" /><Relationship Id="rId78" Type="http://schemas.openxmlformats.org/officeDocument/2006/relationships/header" Target="header17.xml" /><Relationship Id="rId79" Type="http://schemas.openxmlformats.org/officeDocument/2006/relationships/footer" Target="footer16.xml" /><Relationship Id="rId8" Type="http://schemas.openxmlformats.org/officeDocument/2006/relationships/hyperlink" Target="https://advance.lexis.com/api/document?id=urn:contentItem:5T0Y-CDN0-01KN-B004-00000-00&amp;idtype=PID&amp;context=1000516" TargetMode="External" /><Relationship Id="rId80" Type="http://schemas.openxmlformats.org/officeDocument/2006/relationships/footer" Target="footer17.xml" /><Relationship Id="rId81" Type="http://schemas.openxmlformats.org/officeDocument/2006/relationships/header" Target="header18.xml" /><Relationship Id="rId82" Type="http://schemas.openxmlformats.org/officeDocument/2006/relationships/footer" Target="footer18.xml" /><Relationship Id="rId83" Type="http://schemas.openxmlformats.org/officeDocument/2006/relationships/hyperlink" Target="https://advance.lexis.com/api/document?collection=jury-instructions&amp;id=urn:contentItem:5T0Y-CDN0-01KN-B005-00000-00&amp;context=" TargetMode="External" /><Relationship Id="rId84" Type="http://schemas.openxmlformats.org/officeDocument/2006/relationships/hyperlink" Target="https://advance.lexis.com/api/document?collection=cases&amp;id=urn:contentItem:3S4X-0RN0-0039-P0DW-00000-00&amp;context=" TargetMode="External" /><Relationship Id="rId85" Type="http://schemas.openxmlformats.org/officeDocument/2006/relationships/hyperlink" Target="https://advance.lexis.com/api/document?collection=cases&amp;id=urn:contentItem:48DS-K300-0038-X173-00000-00&amp;context=" TargetMode="External" /><Relationship Id="rId86" Type="http://schemas.openxmlformats.org/officeDocument/2006/relationships/styles" Target="styles.xml" /><Relationship Id="rId9" Type="http://schemas.openxmlformats.org/officeDocument/2006/relationships/hyperlink" Target="https://advance.lexis.com/api/document?id=urn:contentItem:5T0Y-CDN0-01KN-B005-00000-00&amp;idtype=PID&amp;context=1000516"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1:04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77923336</vt:lpwstr>
  </property>
  <property fmtid="{D5CDD505-2E9C-101B-9397-08002B2CF9AE}" pid="3" name="LADocCount">
    <vt:i4>6</vt:i4>
  </property>
  <property fmtid="{D5CDD505-2E9C-101B-9397-08002B2CF9AE}" pid="4" name="UserPermID">
    <vt:lpwstr>urn:user:PA182399192</vt:lpwstr>
  </property>
</Properties>
</file>