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Override PartName="/word/theme/themeOverride5.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wordWrap w:val="0"/>
        <w:spacing w:line="360" w:lineRule="auto"/>
        <w:jc w:val="center"/>
        <w:rPr>
          <w:rFonts w:hint="eastAsia" w:ascii="黑体" w:hAnsi="黑体" w:eastAsia="黑体" w:cs="黑体"/>
          <w:b/>
          <w:bCs/>
          <w:sz w:val="52"/>
          <w:szCs w:val="52"/>
        </w:rPr>
      </w:pPr>
    </w:p>
    <w:p>
      <w:pPr>
        <w:widowControl/>
        <w:wordWrap w:val="0"/>
        <w:spacing w:line="360" w:lineRule="auto"/>
        <w:jc w:val="center"/>
        <w:rPr>
          <w:rFonts w:ascii="黑体" w:hAnsi="黑体" w:eastAsia="黑体" w:cs="黑体"/>
          <w:b/>
          <w:bCs/>
          <w:sz w:val="52"/>
          <w:szCs w:val="52"/>
        </w:rPr>
      </w:pPr>
      <w:r>
        <w:rPr>
          <w:rFonts w:hint="eastAsia" w:ascii="黑体" w:hAnsi="黑体" w:eastAsia="黑体" w:cs="黑体"/>
          <w:b/>
          <w:bCs/>
          <w:sz w:val="52"/>
          <w:szCs w:val="52"/>
        </w:rPr>
        <w:t>南京航空航天大学“挑战杯”</w:t>
      </w:r>
    </w:p>
    <w:p>
      <w:pPr>
        <w:widowControl/>
        <w:wordWrap w:val="0"/>
        <w:spacing w:line="360" w:lineRule="auto"/>
        <w:jc w:val="center"/>
        <w:rPr>
          <w:rFonts w:ascii="黑体" w:hAnsi="黑体" w:eastAsia="黑体" w:cs="黑体"/>
          <w:b/>
          <w:bCs/>
          <w:sz w:val="52"/>
          <w:szCs w:val="52"/>
        </w:rPr>
      </w:pPr>
      <w:r>
        <w:rPr>
          <w:rFonts w:hint="eastAsia" w:ascii="黑体" w:hAnsi="黑体" w:eastAsia="黑体" w:cs="黑体"/>
          <w:b/>
          <w:bCs/>
          <w:sz w:val="52"/>
          <w:szCs w:val="52"/>
        </w:rPr>
        <w:t>社会科学类社会调查报告</w:t>
      </w:r>
    </w:p>
    <w:p>
      <w:pPr>
        <w:spacing w:line="360" w:lineRule="auto"/>
        <w:jc w:val="right"/>
        <w:rPr>
          <w:rFonts w:ascii="黑体" w:hAnsi="黑体" w:eastAsia="黑体" w:cs="黑体"/>
          <w:b/>
          <w:color w:val="FF0000"/>
          <w:sz w:val="28"/>
          <w:szCs w:val="28"/>
        </w:rPr>
      </w:pPr>
    </w:p>
    <w:p>
      <w:pPr>
        <w:spacing w:line="360" w:lineRule="auto"/>
        <w:jc w:val="right"/>
        <w:rPr>
          <w:rFonts w:ascii="黑体" w:hAnsi="黑体" w:eastAsia="黑体" w:cs="黑体"/>
          <w:szCs w:val="21"/>
        </w:rPr>
      </w:pPr>
    </w:p>
    <w:p>
      <w:pPr>
        <w:widowControl/>
        <w:wordWrap w:val="0"/>
        <w:spacing w:line="360" w:lineRule="auto"/>
        <w:ind w:firstLine="1287"/>
        <w:jc w:val="left"/>
        <w:rPr>
          <w:rFonts w:ascii="黑体" w:hAnsi="黑体" w:eastAsia="黑体" w:cs="黑体"/>
          <w:szCs w:val="21"/>
        </w:rPr>
      </w:pPr>
    </w:p>
    <w:p>
      <w:pPr>
        <w:widowControl/>
        <w:wordWrap w:val="0"/>
        <w:spacing w:line="360" w:lineRule="auto"/>
        <w:ind w:firstLine="1287"/>
        <w:jc w:val="left"/>
        <w:rPr>
          <w:rFonts w:ascii="黑体" w:hAnsi="黑体" w:eastAsia="黑体" w:cs="黑体"/>
          <w:szCs w:val="21"/>
        </w:rPr>
      </w:pPr>
    </w:p>
    <w:p>
      <w:pPr>
        <w:widowControl/>
        <w:wordWrap w:val="0"/>
        <w:spacing w:line="360" w:lineRule="auto"/>
        <w:ind w:left="1968" w:leftChars="268" w:hanging="1405" w:hangingChars="500"/>
        <w:jc w:val="left"/>
        <w:rPr>
          <w:rFonts w:ascii="宋体" w:hAnsi="宋体" w:eastAsia="宋体" w:cs="宋体"/>
          <w:sz w:val="28"/>
          <w:szCs w:val="28"/>
          <w:u w:val="single"/>
        </w:rPr>
      </w:pPr>
      <w:r>
        <w:rPr>
          <w:rFonts w:hint="eastAsia" w:ascii="黑体" w:hAnsi="黑体" w:eastAsia="黑体" w:cs="黑体"/>
          <w:b/>
          <w:bCs/>
          <w:sz w:val="28"/>
          <w:szCs w:val="28"/>
        </w:rPr>
        <w:t>论文标题：</w:t>
      </w:r>
      <w:r>
        <w:rPr>
          <w:rFonts w:hint="eastAsia" w:ascii="宋体" w:hAnsi="宋体" w:eastAsia="宋体" w:cs="宋体"/>
          <w:sz w:val="28"/>
          <w:szCs w:val="28"/>
          <w:u w:val="single"/>
        </w:rPr>
        <w:t xml:space="preserve">我国民用航空侵权案件获赔情况调查--基于智能分析平台数据研究 </w:t>
      </w:r>
    </w:p>
    <w:p>
      <w:pPr>
        <w:widowControl/>
        <w:wordWrap w:val="0"/>
        <w:spacing w:line="360" w:lineRule="auto"/>
        <w:ind w:left="1963" w:leftChars="268" w:hanging="1400" w:hangingChars="500"/>
        <w:jc w:val="left"/>
        <w:rPr>
          <w:rFonts w:ascii="黑体" w:hAnsi="黑体" w:eastAsia="黑体" w:cs="黑体"/>
          <w:sz w:val="28"/>
          <w:szCs w:val="28"/>
          <w:u w:val="single"/>
        </w:rPr>
      </w:pPr>
    </w:p>
    <w:p>
      <w:pPr>
        <w:widowControl/>
        <w:wordWrap w:val="0"/>
        <w:spacing w:line="360" w:lineRule="auto"/>
        <w:ind w:left="1968" w:leftChars="268" w:hanging="1405" w:hangingChars="500"/>
        <w:jc w:val="left"/>
        <w:rPr>
          <w:rFonts w:hint="default" w:ascii="黑体" w:hAnsi="黑体" w:eastAsia="宋体" w:cs="黑体"/>
          <w:bCs/>
          <w:sz w:val="28"/>
          <w:szCs w:val="28"/>
          <w:u w:val="single"/>
          <w:lang w:val="en-US" w:eastAsia="zh-CN"/>
        </w:rPr>
      </w:pPr>
      <w:r>
        <w:rPr>
          <w:rFonts w:hint="eastAsia" w:ascii="黑体" w:hAnsi="黑体" w:eastAsia="黑体" w:cs="黑体"/>
          <w:b/>
          <w:bCs/>
          <w:sz w:val="28"/>
          <w:szCs w:val="28"/>
        </w:rPr>
        <w:t>学生姓名：</w:t>
      </w:r>
      <w:r>
        <w:rPr>
          <w:rFonts w:hint="eastAsia" w:ascii="宋体" w:hAnsi="宋体" w:eastAsia="宋体" w:cs="宋体"/>
          <w:sz w:val="28"/>
          <w:szCs w:val="28"/>
          <w:u w:val="single"/>
        </w:rPr>
        <w:t>张本俊</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王樱琦</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刘运星</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孙婕</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lang w:val="en-US" w:eastAsia="zh-CN"/>
        </w:rPr>
        <w:t>常胜楠</w:t>
      </w:r>
    </w:p>
    <w:p>
      <w:pPr>
        <w:widowControl/>
        <w:wordWrap w:val="0"/>
        <w:spacing w:line="360" w:lineRule="auto"/>
        <w:ind w:left="2048" w:leftChars="306" w:hanging="1405" w:hangingChars="500"/>
        <w:jc w:val="left"/>
        <w:rPr>
          <w:rFonts w:hint="default" w:ascii="宋体" w:hAnsi="宋体" w:eastAsia="宋体" w:cs="宋体"/>
          <w:bCs/>
          <w:sz w:val="28"/>
          <w:szCs w:val="28"/>
          <w:u w:val="single"/>
          <w:lang w:val="en-US" w:eastAsia="zh-CN"/>
        </w:rPr>
      </w:pPr>
      <w:r>
        <w:rPr>
          <w:rFonts w:hint="eastAsia" w:ascii="黑体" w:hAnsi="黑体" w:eastAsia="黑体" w:cs="黑体"/>
          <w:b/>
          <w:bCs/>
          <w:sz w:val="28"/>
          <w:szCs w:val="28"/>
        </w:rPr>
        <w:t>学    号：</w:t>
      </w:r>
      <w:r>
        <w:rPr>
          <w:rFonts w:hint="eastAsia" w:ascii="宋体" w:hAnsi="宋体" w:eastAsia="宋体" w:cs="宋体"/>
          <w:sz w:val="28"/>
          <w:szCs w:val="28"/>
          <w:u w:val="single"/>
        </w:rPr>
        <w:t>SX1904103</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SX1910009</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SZ1916059</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rPr>
        <w:t>SX1910007</w:t>
      </w:r>
      <w:r>
        <w:rPr>
          <w:rFonts w:hint="eastAsia" w:ascii="宋体" w:hAnsi="宋体" w:eastAsia="宋体" w:cs="宋体"/>
          <w:sz w:val="28"/>
          <w:szCs w:val="28"/>
          <w:u w:val="single"/>
          <w:lang w:eastAsia="zh-CN"/>
        </w:rPr>
        <w:t>、</w:t>
      </w:r>
      <w:r>
        <w:rPr>
          <w:rFonts w:hint="eastAsia" w:ascii="宋体" w:hAnsi="宋体" w:eastAsia="宋体" w:cs="宋体"/>
          <w:sz w:val="28"/>
          <w:szCs w:val="28"/>
          <w:u w:val="single"/>
          <w:lang w:val="en-US" w:eastAsia="zh-CN"/>
        </w:rPr>
        <w:t>SX1910006</w:t>
      </w:r>
    </w:p>
    <w:p>
      <w:pPr>
        <w:widowControl/>
        <w:wordWrap w:val="0"/>
        <w:spacing w:line="360" w:lineRule="auto"/>
        <w:ind w:firstLine="562" w:firstLineChars="200"/>
        <w:jc w:val="left"/>
        <w:rPr>
          <w:rFonts w:hint="eastAsia" w:ascii="黑体" w:hAnsi="黑体" w:eastAsia="黑体" w:cs="黑体"/>
          <w:bCs/>
          <w:sz w:val="28"/>
          <w:szCs w:val="28"/>
          <w:lang w:val="en-US" w:eastAsia="zh-CN"/>
        </w:rPr>
      </w:pPr>
      <w:r>
        <w:rPr>
          <w:rFonts w:hint="eastAsia" w:ascii="黑体" w:hAnsi="黑体" w:eastAsia="黑体" w:cs="黑体"/>
          <w:b/>
          <w:sz w:val="28"/>
          <w:szCs w:val="28"/>
        </w:rPr>
        <w:t>指导老师：</w:t>
      </w:r>
      <w:r>
        <w:rPr>
          <w:rFonts w:hint="eastAsia" w:ascii="宋体" w:hAnsi="宋体" w:eastAsia="宋体" w:cs="宋体"/>
          <w:sz w:val="28"/>
          <w:szCs w:val="28"/>
          <w:u w:val="single"/>
          <w:lang w:val="en-US" w:eastAsia="zh-CN"/>
        </w:rPr>
        <w:t>高志宏</w:t>
      </w:r>
    </w:p>
    <w:p>
      <w:pPr>
        <w:widowControl/>
        <w:wordWrap w:val="0"/>
        <w:spacing w:line="360" w:lineRule="auto"/>
        <w:ind w:firstLine="562" w:firstLineChars="200"/>
        <w:jc w:val="left"/>
        <w:rPr>
          <w:rFonts w:ascii="黑体" w:hAnsi="黑体" w:eastAsia="黑体" w:cs="黑体"/>
          <w:bCs/>
          <w:sz w:val="28"/>
          <w:szCs w:val="28"/>
          <w:u w:val="single"/>
        </w:rPr>
      </w:pPr>
      <w:r>
        <w:rPr>
          <w:rFonts w:hint="eastAsia" w:ascii="黑体" w:hAnsi="黑体" w:eastAsia="黑体" w:cs="黑体"/>
          <w:b/>
          <w:bCs/>
          <w:sz w:val="28"/>
          <w:szCs w:val="28"/>
        </w:rPr>
        <w:t>学    院：</w:t>
      </w:r>
      <w:r>
        <w:rPr>
          <w:rFonts w:hint="eastAsia" w:ascii="宋体" w:hAnsi="宋体" w:eastAsia="宋体" w:cs="宋体"/>
          <w:bCs/>
          <w:sz w:val="28"/>
          <w:szCs w:val="28"/>
          <w:u w:val="single"/>
        </w:rPr>
        <w:t>人文与社会科学学院</w:t>
      </w:r>
    </w:p>
    <w:p>
      <w:pPr>
        <w:widowControl/>
        <w:wordWrap w:val="0"/>
        <w:spacing w:line="360" w:lineRule="auto"/>
        <w:jc w:val="left"/>
        <w:rPr>
          <w:rFonts w:ascii="黑体" w:hAnsi="黑体" w:eastAsia="黑体" w:cs="黑体"/>
          <w:sz w:val="22"/>
          <w:szCs w:val="22"/>
        </w:rPr>
      </w:pPr>
    </w:p>
    <w:p>
      <w:pPr>
        <w:widowControl/>
        <w:wordWrap w:val="0"/>
        <w:spacing w:line="360" w:lineRule="auto"/>
        <w:jc w:val="left"/>
        <w:rPr>
          <w:rFonts w:ascii="黑体" w:hAnsi="黑体" w:eastAsia="黑体" w:cs="黑体"/>
          <w:sz w:val="22"/>
          <w:szCs w:val="22"/>
        </w:rPr>
      </w:pPr>
    </w:p>
    <w:p>
      <w:pPr>
        <w:widowControl/>
        <w:wordWrap w:val="0"/>
        <w:spacing w:line="360" w:lineRule="auto"/>
        <w:jc w:val="left"/>
        <w:rPr>
          <w:rFonts w:ascii="黑体" w:hAnsi="黑体" w:eastAsia="黑体" w:cs="黑体"/>
          <w:sz w:val="22"/>
          <w:szCs w:val="22"/>
        </w:rPr>
      </w:pPr>
    </w:p>
    <w:p>
      <w:pPr>
        <w:widowControl/>
        <w:wordWrap w:val="0"/>
        <w:spacing w:line="360" w:lineRule="auto"/>
        <w:jc w:val="left"/>
        <w:rPr>
          <w:rFonts w:ascii="黑体" w:hAnsi="黑体" w:eastAsia="黑体" w:cs="黑体"/>
          <w:sz w:val="22"/>
          <w:szCs w:val="22"/>
        </w:rPr>
      </w:pPr>
    </w:p>
    <w:p>
      <w:pPr>
        <w:widowControl/>
        <w:wordWrap w:val="0"/>
        <w:spacing w:line="360" w:lineRule="auto"/>
        <w:jc w:val="left"/>
        <w:rPr>
          <w:rFonts w:ascii="黑体" w:hAnsi="黑体" w:eastAsia="黑体" w:cs="黑体"/>
          <w:sz w:val="22"/>
          <w:szCs w:val="22"/>
        </w:rPr>
      </w:pPr>
    </w:p>
    <w:p>
      <w:pPr>
        <w:widowControl/>
        <w:spacing w:line="360" w:lineRule="auto"/>
        <w:jc w:val="center"/>
        <w:rPr>
          <w:rFonts w:ascii="黑体" w:hAnsi="黑体" w:eastAsia="黑体" w:cs="黑体"/>
          <w:sz w:val="22"/>
          <w:szCs w:val="28"/>
        </w:rPr>
      </w:pPr>
      <w:r>
        <w:rPr>
          <w:rFonts w:hint="eastAsia" w:ascii="黑体" w:hAnsi="黑体" w:eastAsia="黑体" w:cs="黑体"/>
          <w:b/>
          <w:sz w:val="24"/>
        </w:rPr>
        <w:t>二〇二</w:t>
      </w:r>
      <w:r>
        <w:rPr>
          <w:rFonts w:hint="eastAsia" w:ascii="黑体" w:hAnsi="黑体" w:eastAsia="黑体" w:cs="黑体"/>
          <w:b/>
          <w:sz w:val="24"/>
          <w:lang w:val="en-US" w:eastAsia="zh-CN"/>
        </w:rPr>
        <w:t>一</w:t>
      </w:r>
      <w:r>
        <w:rPr>
          <w:rFonts w:hint="eastAsia" w:ascii="黑体" w:hAnsi="黑体" w:eastAsia="黑体" w:cs="黑体"/>
          <w:b/>
          <w:sz w:val="24"/>
        </w:rPr>
        <w:t>年一月</w:t>
      </w:r>
    </w:p>
    <w:p>
      <w:pPr>
        <w:numPr>
          <w:ilvl w:val="0"/>
          <w:numId w:val="1"/>
        </w:numPr>
        <w:spacing w:line="360" w:lineRule="auto"/>
        <w:jc w:val="center"/>
        <w:rPr>
          <w:rFonts w:ascii="黑体" w:hAnsi="黑体" w:eastAsia="黑体" w:cs="黑体"/>
          <w:b/>
          <w:bCs/>
          <w:sz w:val="24"/>
        </w:rPr>
        <w:sectPr>
          <w:footerReference r:id="rId4" w:type="default"/>
          <w:pgSz w:w="11906" w:h="16838"/>
          <w:pgMar w:top="1440" w:right="1800" w:bottom="1440" w:left="1800" w:header="851" w:footer="992" w:gutter="0"/>
          <w:cols w:space="425" w:num="1"/>
          <w:docGrid w:type="lines" w:linePitch="312" w:charSpace="0"/>
        </w:sectPr>
      </w:pPr>
    </w:p>
    <w:sdt>
      <w:sdtPr>
        <w:rPr>
          <w:rFonts w:hint="eastAsia" w:ascii="黑体" w:hAnsi="黑体" w:eastAsia="黑体" w:cs="黑体"/>
          <w:sz w:val="32"/>
          <w:szCs w:val="40"/>
        </w:rPr>
        <w:id w:val="147471837"/>
        <w15:color w:val="DBDBDB"/>
        <w:docPartObj>
          <w:docPartGallery w:val="Table of Contents"/>
          <w:docPartUnique/>
        </w:docPartObj>
      </w:sdtPr>
      <w:sdtEndPr>
        <w:rPr>
          <w:rFonts w:hint="eastAsia" w:ascii="仿宋_GB2312" w:hAnsi="黑体" w:eastAsia="仿宋_GB2312" w:cs="黑体"/>
          <w:color w:val="000000"/>
          <w:sz w:val="28"/>
          <w:szCs w:val="40"/>
          <w:lang w:val="en-US" w:eastAsia="zh-CN"/>
        </w:rPr>
      </w:sdtEndPr>
      <w:sdt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fldChar w:fldCharType="begin"/>
          </w:r>
          <w:r>
            <w:rPr>
              <w:rFonts w:hint="eastAsia" w:ascii="仿宋_GB2312" w:hAnsi="Times New Roman" w:eastAsia="仿宋_GB2312" w:cs="Times New Roman"/>
              <w:kern w:val="2"/>
              <w:sz w:val="28"/>
              <w:szCs w:val="28"/>
              <w:lang w:val="en-US" w:eastAsia="zh-CN" w:bidi="ar-SA"/>
            </w:rPr>
            <w:instrText xml:space="preserve">TOC \o "1-3" \h \u </w:instrText>
          </w:r>
          <w:r>
            <w:rPr>
              <w:rFonts w:hint="eastAsia" w:ascii="仿宋_GB2312" w:hAnsi="Times New Roman" w:eastAsia="仿宋_GB2312" w:cs="Times New Roman"/>
              <w:kern w:val="2"/>
              <w:sz w:val="28"/>
              <w:szCs w:val="28"/>
              <w:lang w:val="en-US" w:eastAsia="zh-CN" w:bidi="ar-SA"/>
            </w:rPr>
            <w:fldChar w:fldCharType="separate"/>
          </w: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"_Toc17517"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一、调研背景与意义</w:t>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firstLine="560" w:firstLineChars="200"/>
            <w:textAlignment w:val="auto"/>
            <w:rPr>
              <w:rFonts w:hint="default"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fldChar w:fldCharType="end"/>
          </w:r>
          <w:r>
            <w:rPr>
              <w:rFonts w:hint="eastAsia" w:ascii="仿宋_GB2312" w:hAnsi="Times New Roman" w:eastAsia="仿宋_GB2312" w:cs="Times New Roman"/>
              <w:kern w:val="2"/>
              <w:sz w:val="28"/>
              <w:szCs w:val="28"/>
              <w:lang w:val="en-US" w:eastAsia="zh-CN" w:bidi="ar-SA"/>
            </w:rPr>
            <w:t>1、研究背景</w:t>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ind w:firstLine="560" w:firstLineChars="200"/>
            <w:textAlignment w:val="auto"/>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改革开放以来，我国民航业快速发展，已逐渐成为我国经济社会发展重要的战略产业。但当前民航业发展中不平衡、不协调的问题仍较为突出，空域资源配置不合理、基础设施发展较慢、管理体制有待理顺等制约了民航业的可持续发展。随着民用航空技术的成熟，乘坐民用航空飞机出行己成为一项普遍的交通方式，全球化进程的不断推进，带动了国际民用航空运输业的发展与社大，伴随着我国民用航空事故也会不可避免的发生。发生我国民用航空事故后，对于旅客受到的损害，民用航空承运人是否应承担侵权责任，如何承担责任并提前规避成为最重要的问题。</w:t>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_GB2312" w:hAnsi="Times New Roman" w:eastAsia="仿宋_GB2312" w:cs="Times New Roman"/>
              <w:kern w:val="2"/>
              <w:sz w:val="28"/>
              <w:szCs w:val="28"/>
              <w:lang w:val="en-US" w:eastAsia="zh-CN" w:bidi="ar-SA"/>
            </w:rPr>
          </w:pPr>
          <w:bookmarkStart w:id="0" w:name="_GoBack"/>
          <w:bookmarkEnd w:id="0"/>
        </w:p>
        <w:p>
          <w:pPr>
            <w:spacing w:line="460" w:lineRule="exact"/>
            <w:ind w:firstLine="560" w:firstLineChars="200"/>
            <w:rPr>
              <w:rFonts w:hint="eastAsia" w:ascii="仿宋_GB2312" w:eastAsia="仿宋_GB2312"/>
              <w:color w:val="000000"/>
              <w:sz w:val="28"/>
              <w:lang w:val="en-US" w:eastAsia="zh-CN"/>
            </w:rPr>
          </w:pPr>
          <w:r>
            <w:rPr>
              <w:rFonts w:hint="eastAsia" w:ascii="仿宋_GB2312" w:eastAsia="仿宋_GB2312"/>
              <w:color w:val="000000"/>
              <w:sz w:val="28"/>
              <w:lang w:val="en-US" w:eastAsia="zh-CN"/>
            </w:rPr>
            <w:t>2、调研意义</w:t>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 xml:space="preserve">    本作品通过对航空运输领域的侵权主体、争议事由、赔偿范围、诉讼标的额、引用法规等问题进行了全面地调研，对有关航空运输损害赔偿的一次大型的整体性展示，适用领域的专业性较强，涉及范围较广，对完备航空公司自身风险管控、网站旅客须知的完善和应急预案等方案，健全空域管理相关法律法规，理顺民航业管理体制机制，强化民航系统各地区管理机构建设有着十分重要的意义。</w:t>
          </w:r>
        </w:p>
        <w:p>
          <w:pPr>
            <w:keepNext w:val="0"/>
            <w:keepLines w:val="0"/>
            <w:pageBreakBefore w:val="0"/>
            <w:widowControl w:val="0"/>
            <w:kinsoku/>
            <w:wordWrap/>
            <w:overflowPunct/>
            <w:topLinePunct w:val="0"/>
            <w:autoSpaceDE/>
            <w:autoSpaceDN/>
            <w:bidi w:val="0"/>
            <w:adjustRightInd/>
            <w:snapToGrid/>
            <w:spacing w:line="240" w:lineRule="auto"/>
            <w:ind w:firstLine="840" w:firstLineChars="300"/>
            <w:textAlignment w:val="auto"/>
            <w:rPr>
              <w:rFonts w:hint="default"/>
              <w:lang w:val="en-US" w:eastAsia="zh-CN"/>
            </w:rPr>
          </w:pPr>
          <w:r>
            <w:rPr>
              <w:rFonts w:hint="eastAsia" w:ascii="仿宋_GB2312" w:hAnsi="Times New Roman" w:eastAsia="仿宋_GB2312" w:cs="Times New Roman"/>
              <w:kern w:val="2"/>
              <w:sz w:val="28"/>
              <w:szCs w:val="28"/>
              <w:lang w:val="en-US" w:eastAsia="zh-CN" w:bidi="ar-SA"/>
            </w:rPr>
            <w:t>针对飞机失事后的保险求偿、人身损害赔偿、货物损毁的侵权诉讼、行李毁损、航班延误和旅客滞留等多类诉讼案件进行获赔情况的深度分析，将不同案件影响获赔数额、种类的因素筛选出来，并对未判案件的获赔情况进行预测，可以更好地满足当事人多样化的诉讼请求。同时，对获赔情况影响因子的分析也为航空公司完善自身管理体制、保险公司增加航空运输领域的保险险别提供重要的参考，有利于进一步推进新时代民航强国建设，切实增强人民群众航空出行获得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default" w:ascii="仿宋_GB2312" w:hAnsi="Times New Roman" w:eastAsia="仿宋_GB2312" w:cs="Times New Roman"/>
              <w:kern w:val="2"/>
              <w:sz w:val="28"/>
              <w:szCs w:val="28"/>
              <w:lang w:val="en-US" w:eastAsia="zh-CN" w:bidi="ar-SA"/>
            </w:rPr>
          </w:pP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"_Toc27158"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二、调研内容与目的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firstLine="560" w:firstLineChars="200"/>
            <w:textAlignment w:val="auto"/>
            <w:rPr>
              <w:rFonts w:hint="default" w:ascii="仿宋_GB2312" w:eastAsia="仿宋_GB2312"/>
              <w:color w:val="000000"/>
              <w:sz w:val="28"/>
              <w:lang w:val="en-US" w:eastAsia="zh-CN"/>
            </w:rPr>
          </w:pPr>
          <w:r>
            <w:rPr>
              <w:rFonts w:hint="eastAsia" w:ascii="仿宋_GB2312" w:hAnsi="Times New Roman" w:eastAsia="仿宋_GB2312" w:cs="Times New Roman"/>
              <w:kern w:val="2"/>
              <w:sz w:val="28"/>
              <w:szCs w:val="28"/>
              <w:lang w:val="en-US" w:eastAsia="zh-CN" w:bidi="ar-SA"/>
            </w:rPr>
            <w:fldChar w:fldCharType="end"/>
          </w:r>
          <w:r>
            <w:rPr>
              <w:rFonts w:hint="eastAsia" w:ascii="仿宋_GB2312" w:hAnsi="Times New Roman" w:eastAsia="仿宋_GB2312" w:cs="Times New Roman"/>
              <w:kern w:val="2"/>
              <w:sz w:val="28"/>
              <w:szCs w:val="28"/>
              <w:lang w:val="en-US" w:eastAsia="zh-CN" w:bidi="ar-SA"/>
            </w:rPr>
            <w:t>本文</w:t>
          </w:r>
          <w:r>
            <w:rPr>
              <w:rFonts w:hint="eastAsia" w:ascii="仿宋_GB2312" w:eastAsia="仿宋_GB2312"/>
              <w:color w:val="000000"/>
              <w:sz w:val="28"/>
              <w:lang w:val="en-US" w:eastAsia="zh-CN"/>
            </w:rPr>
            <w:t>基于</w:t>
          </w:r>
          <w:r>
            <w:rPr>
              <w:rFonts w:hint="eastAsia" w:ascii="仿宋_GB2312" w:eastAsia="仿宋_GB2312"/>
              <w:color w:val="000000"/>
              <w:sz w:val="28"/>
            </w:rPr>
            <w:t>民用航空案例</w:t>
          </w:r>
          <w:r>
            <w:rPr>
              <w:rFonts w:hint="eastAsia" w:ascii="仿宋_GB2312" w:eastAsia="仿宋_GB2312"/>
              <w:color w:val="000000"/>
              <w:sz w:val="28"/>
              <w:lang w:val="en-US" w:eastAsia="zh-CN"/>
            </w:rPr>
            <w:t>智能分析平台对民用航空运输合同以及侵权案件获赔情况的</w:t>
          </w:r>
          <w:r>
            <w:rPr>
              <w:rFonts w:hint="eastAsia" w:ascii="仿宋_GB2312" w:eastAsia="仿宋_GB2312"/>
              <w:b/>
              <w:color w:val="000000"/>
              <w:sz w:val="28"/>
            </w:rPr>
            <w:t>整体性研究和系统性展示</w:t>
          </w:r>
          <w:r>
            <w:rPr>
              <w:rFonts w:hint="eastAsia" w:ascii="仿宋_GB2312" w:eastAsia="仿宋_GB2312"/>
              <w:color w:val="000000"/>
              <w:sz w:val="28"/>
              <w:lang w:eastAsia="zh-CN"/>
            </w:rPr>
            <w:t>。</w:t>
          </w:r>
          <w:r>
            <w:rPr>
              <w:rFonts w:hint="eastAsia" w:ascii="仿宋_GB2312" w:eastAsia="仿宋_GB2312"/>
              <w:color w:val="000000"/>
              <w:sz w:val="28"/>
              <w:lang w:val="en-US" w:eastAsia="zh-CN"/>
            </w:rPr>
            <w:t>通过</w:t>
          </w:r>
          <w:r>
            <w:rPr>
              <w:rFonts w:hint="eastAsia" w:ascii="仿宋_GB2312" w:eastAsia="仿宋_GB2312"/>
              <w:color w:val="000000"/>
              <w:sz w:val="28"/>
            </w:rPr>
            <w:t>对航空运输领域的侵权主体、争议事由、赔偿范围、引用法规等问题进行全面地整合，提取案件关键词，</w:t>
          </w:r>
          <w:r>
            <w:rPr>
              <w:rFonts w:hint="eastAsia" w:ascii="仿宋_GB2312" w:eastAsia="仿宋_GB2312"/>
              <w:color w:val="000000"/>
              <w:sz w:val="28"/>
              <w:lang w:val="en-US" w:eastAsia="zh-CN"/>
            </w:rPr>
            <w:t>建立</w:t>
          </w:r>
          <w:r>
            <w:rPr>
              <w:rFonts w:hint="eastAsia" w:ascii="仿宋_GB2312" w:eastAsia="仿宋_GB2312"/>
              <w:color w:val="000000"/>
              <w:sz w:val="28"/>
            </w:rPr>
            <w:t>有针对性的案例检索网站。对</w:t>
          </w:r>
          <w:r>
            <w:rPr>
              <w:rFonts w:hint="eastAsia" w:ascii="仿宋_GB2312" w:eastAsia="仿宋_GB2312"/>
              <w:color w:val="000000"/>
              <w:sz w:val="28"/>
              <w:lang w:val="en-US" w:eastAsia="zh-CN"/>
            </w:rPr>
            <w:t>此类</w:t>
          </w:r>
          <w:r>
            <w:rPr>
              <w:rFonts w:hint="eastAsia" w:ascii="仿宋_GB2312" w:eastAsia="仿宋_GB2312"/>
              <w:color w:val="000000"/>
              <w:sz w:val="28"/>
            </w:rPr>
            <w:t>问题进行系统、综合性的研究</w:t>
          </w:r>
          <w:r>
            <w:rPr>
              <w:rFonts w:hint="eastAsia" w:ascii="仿宋_GB2312" w:eastAsia="仿宋_GB2312"/>
              <w:color w:val="000000"/>
              <w:sz w:val="28"/>
              <w:lang w:eastAsia="zh-CN"/>
            </w:rPr>
            <w:t>，</w:t>
          </w:r>
          <w:r>
            <w:rPr>
              <w:rFonts w:hint="eastAsia" w:ascii="仿宋_GB2312" w:eastAsia="仿宋_GB2312"/>
              <w:color w:val="000000"/>
              <w:sz w:val="28"/>
              <w:lang w:val="en-US" w:eastAsia="zh-CN"/>
            </w:rPr>
            <w:t>创新点如下：</w:t>
          </w:r>
        </w:p>
        <w:p>
          <w:pPr>
            <w:spacing w:beforeLines="0" w:afterLines="0" w:line="460" w:lineRule="exact"/>
            <w:ind w:firstLine="560" w:firstLineChars="200"/>
            <w:rPr>
              <w:rFonts w:hint="eastAsia" w:ascii="仿宋_GB2312" w:eastAsia="仿宋_GB2312"/>
              <w:color w:val="000000"/>
              <w:sz w:val="28"/>
            </w:rPr>
          </w:pPr>
          <w:r>
            <w:rPr>
              <w:rFonts w:hint="eastAsia" w:ascii="仿宋_GB2312" w:eastAsia="仿宋_GB2312"/>
              <w:color w:val="000000"/>
              <w:sz w:val="28"/>
            </w:rPr>
            <w:t>第一，有别于以往的</w:t>
          </w:r>
          <w:r>
            <w:rPr>
              <w:rFonts w:hint="eastAsia" w:ascii="仿宋_GB2312" w:eastAsia="仿宋_GB2312"/>
              <w:color w:val="000000"/>
              <w:sz w:val="28"/>
              <w:lang w:val="en-US" w:eastAsia="zh-CN"/>
            </w:rPr>
            <w:t>调研</w:t>
          </w:r>
          <w:r>
            <w:rPr>
              <w:rFonts w:hint="eastAsia" w:ascii="仿宋_GB2312" w:eastAsia="仿宋_GB2312"/>
              <w:color w:val="000000"/>
              <w:sz w:val="28"/>
            </w:rPr>
            <w:t>，本文的一个突出特点就是将</w:t>
          </w:r>
          <w:r>
            <w:rPr>
              <w:rFonts w:hint="eastAsia" w:ascii="仿宋_GB2312" w:eastAsia="仿宋_GB2312"/>
              <w:color w:val="000000"/>
              <w:sz w:val="28"/>
              <w:lang w:val="en-US" w:eastAsia="zh-CN"/>
            </w:rPr>
            <w:t>调研对象分为五大主体，分别是</w:t>
          </w:r>
          <w:r>
            <w:rPr>
              <w:rFonts w:hint="eastAsia" w:ascii="仿宋_GB2312" w:eastAsia="仿宋_GB2312"/>
              <w:b/>
              <w:bCs/>
              <w:color w:val="000000"/>
              <w:sz w:val="28"/>
              <w:lang w:val="en-US" w:eastAsia="zh-CN"/>
            </w:rPr>
            <w:t>保险纠纷、物权纠纷、航空货物运输合同纠纷、航空旅客运输合同和人身财产侵权责任。</w:t>
          </w:r>
          <w:r>
            <w:rPr>
              <w:rFonts w:hint="eastAsia" w:ascii="仿宋_GB2312" w:eastAsia="仿宋_GB2312"/>
              <w:b w:val="0"/>
              <w:bCs w:val="0"/>
              <w:color w:val="000000"/>
              <w:sz w:val="28"/>
              <w:lang w:val="en-US" w:eastAsia="zh-CN"/>
            </w:rPr>
            <w:t>我们将</w:t>
          </w:r>
          <w:r>
            <w:rPr>
              <w:rFonts w:hint="eastAsia" w:ascii="仿宋_GB2312" w:eastAsia="仿宋_GB2312"/>
              <w:color w:val="000000"/>
              <w:sz w:val="28"/>
              <w:lang w:val="en-US" w:eastAsia="zh-CN"/>
            </w:rPr>
            <w:t>这些</w:t>
          </w:r>
          <w:r>
            <w:rPr>
              <w:rFonts w:hint="eastAsia" w:ascii="仿宋_GB2312" w:eastAsia="仿宋_GB2312"/>
              <w:color w:val="000000"/>
              <w:sz w:val="28"/>
            </w:rPr>
            <w:t>问题的相关资料进行充分的收集和研究，并在两岸民航法的框架内进行系统的对比和梳理。</w:t>
          </w:r>
          <w:r>
            <w:rPr>
              <w:rFonts w:hint="eastAsia" w:ascii="仿宋_GB2312" w:eastAsia="仿宋_GB2312"/>
              <w:color w:val="000000"/>
              <w:sz w:val="28"/>
              <w:lang w:val="en-US" w:eastAsia="zh-CN"/>
            </w:rPr>
            <w:t>在</w:t>
          </w:r>
          <w:r>
            <w:rPr>
              <w:rFonts w:hint="eastAsia" w:ascii="仿宋_GB2312" w:eastAsia="仿宋_GB2312"/>
              <w:b w:val="0"/>
              <w:bCs w:val="0"/>
              <w:color w:val="000000"/>
              <w:sz w:val="28"/>
              <w:lang w:val="en-US" w:eastAsia="zh-CN"/>
            </w:rPr>
            <w:t>终端</w:t>
          </w:r>
          <w:r>
            <w:rPr>
              <w:rFonts w:hint="eastAsia" w:ascii="仿宋_GB2312" w:eastAsia="仿宋_GB2312"/>
              <w:b w:val="0"/>
              <w:bCs w:val="0"/>
              <w:color w:val="000000"/>
              <w:sz w:val="28"/>
            </w:rPr>
            <w:t>展现不同页面</w:t>
          </w:r>
          <w:r>
            <w:rPr>
              <w:rFonts w:hint="eastAsia" w:ascii="仿宋_GB2312" w:eastAsia="仿宋_GB2312"/>
              <w:color w:val="000000"/>
              <w:sz w:val="28"/>
            </w:rPr>
            <w:t>的关键词，便于不同主体查阅有关民航侵权诉讼获赔情况，帮助当事人诉讼；以网站上的可视化智能图表，</w:t>
          </w:r>
          <w:r>
            <w:rPr>
              <w:rFonts w:hint="eastAsia" w:ascii="仿宋_GB2312" w:eastAsia="仿宋_GB2312"/>
              <w:b/>
              <w:bCs/>
              <w:color w:val="000000"/>
              <w:sz w:val="28"/>
            </w:rPr>
            <w:t>多维化地呈现</w:t>
          </w:r>
          <w:r>
            <w:rPr>
              <w:rFonts w:hint="eastAsia" w:ascii="仿宋_GB2312" w:eastAsia="仿宋_GB2312"/>
              <w:color w:val="000000"/>
              <w:sz w:val="28"/>
            </w:rPr>
            <w:t>案例以及数据，以深度学习的运用，融入python语言架构，呈现有关民航合同、侵权案件</w:t>
          </w:r>
          <w:r>
            <w:rPr>
              <w:rFonts w:hint="eastAsia" w:ascii="仿宋_GB2312" w:eastAsia="仿宋_GB2312"/>
              <w:color w:val="000000"/>
              <w:sz w:val="28"/>
              <w:lang w:val="en-US" w:eastAsia="zh-CN"/>
            </w:rPr>
            <w:t>的</w:t>
          </w:r>
          <w:r>
            <w:rPr>
              <w:rFonts w:hint="eastAsia" w:ascii="仿宋_GB2312" w:eastAsia="仿宋_GB2312"/>
              <w:color w:val="000000"/>
              <w:sz w:val="28"/>
            </w:rPr>
            <w:t>获赔比率，以提高诉讼效率。</w:t>
          </w:r>
        </w:p>
        <w:p>
          <w:pPr>
            <w:spacing w:beforeLines="0" w:afterLines="0" w:line="460" w:lineRule="exact"/>
            <w:ind w:firstLine="560" w:firstLineChars="200"/>
            <w:rPr>
              <w:rFonts w:hint="eastAsia" w:ascii="仿宋_GB2312" w:eastAsia="仿宋_GB2312"/>
              <w:color w:val="000000"/>
              <w:sz w:val="28"/>
            </w:rPr>
          </w:pPr>
          <w:r>
            <w:rPr>
              <w:rFonts w:hint="eastAsia" w:ascii="仿宋_GB2312" w:eastAsia="仿宋_GB2312"/>
              <w:color w:val="000000"/>
              <w:sz w:val="28"/>
            </w:rPr>
            <w:t>第二，通过对案件中获赔情况关键因素的提炼，</w:t>
          </w:r>
          <w:r>
            <w:rPr>
              <w:rFonts w:hint="eastAsia" w:ascii="仿宋_GB2312" w:eastAsia="仿宋_GB2312"/>
              <w:b/>
              <w:bCs/>
              <w:color w:val="000000"/>
              <w:sz w:val="28"/>
            </w:rPr>
            <w:t>总结获赔的关键因素</w:t>
          </w:r>
          <w:r>
            <w:rPr>
              <w:rFonts w:hint="eastAsia" w:ascii="仿宋_GB2312" w:eastAsia="仿宋_GB2312"/>
              <w:color w:val="000000"/>
              <w:sz w:val="28"/>
            </w:rPr>
            <w:t>，为法官判决提供具体参照，以此</w:t>
          </w:r>
          <w:r>
            <w:rPr>
              <w:rFonts w:hint="eastAsia" w:ascii="仿宋_GB2312" w:eastAsia="仿宋_GB2312"/>
              <w:b/>
              <w:bCs/>
              <w:color w:val="000000"/>
              <w:sz w:val="28"/>
            </w:rPr>
            <w:t>统一法院裁判</w:t>
          </w:r>
          <w:r>
            <w:rPr>
              <w:rFonts w:hint="eastAsia" w:ascii="仿宋_GB2312" w:eastAsia="仿宋_GB2312"/>
              <w:color w:val="000000"/>
              <w:sz w:val="28"/>
            </w:rPr>
            <w:t>，找出其中存在的不足，借鉴国际优秀经验并结合我国实际，促进同案同判，类案类判。</w:t>
          </w:r>
          <w:r>
            <w:rPr>
              <w:rFonts w:hint="default" w:ascii="仿宋_GB2312" w:hAnsi="Times New Roman" w:eastAsia="仿宋_GB2312" w:cs="Times New Roman"/>
              <w:kern w:val="2"/>
              <w:sz w:val="28"/>
              <w:szCs w:val="28"/>
              <w:lang w:val="en-US" w:eastAsia="zh-CN" w:bidi="ar-SA"/>
            </w:rPr>
            <w:t>对于旅客及货物运输损害赔偿的法律选择等方面</w:t>
          </w:r>
          <w:r>
            <w:rPr>
              <w:rFonts w:hint="eastAsia" w:ascii="仿宋_GB2312" w:hAnsi="Times New Roman" w:eastAsia="仿宋_GB2312" w:cs="Times New Roman"/>
              <w:kern w:val="2"/>
              <w:sz w:val="28"/>
              <w:szCs w:val="28"/>
              <w:lang w:val="en-US" w:eastAsia="zh-CN" w:bidi="ar-SA"/>
            </w:rPr>
            <w:t>，</w:t>
          </w:r>
          <w:r>
            <w:rPr>
              <w:rFonts w:hint="default" w:ascii="仿宋_GB2312" w:hAnsi="Times New Roman" w:eastAsia="仿宋_GB2312" w:cs="Times New Roman"/>
              <w:kern w:val="2"/>
              <w:sz w:val="28"/>
              <w:szCs w:val="28"/>
              <w:lang w:val="en-US" w:eastAsia="zh-CN" w:bidi="ar-SA"/>
            </w:rPr>
            <w:t>为民航发展提供</w:t>
          </w:r>
          <w:r>
            <w:rPr>
              <w:rFonts w:hint="eastAsia" w:ascii="仿宋_GB2312" w:hAnsi="Times New Roman" w:eastAsia="仿宋_GB2312" w:cs="Times New Roman"/>
              <w:kern w:val="2"/>
              <w:sz w:val="28"/>
              <w:szCs w:val="28"/>
              <w:lang w:val="en-US" w:eastAsia="zh-CN" w:bidi="ar-SA"/>
            </w:rPr>
            <w:t>参考价值</w:t>
          </w:r>
          <w:r>
            <w:rPr>
              <w:rFonts w:hint="default" w:ascii="仿宋_GB2312" w:hAnsi="Times New Roman" w:eastAsia="仿宋_GB2312" w:cs="Times New Roman"/>
              <w:kern w:val="2"/>
              <w:sz w:val="28"/>
              <w:szCs w:val="28"/>
              <w:lang w:val="en-US" w:eastAsia="zh-CN" w:bidi="ar-SA"/>
            </w:rPr>
            <w:t xml:space="preserve">。 </w:t>
          </w:r>
        </w:p>
        <w:p>
          <w:pPr>
            <w:spacing w:line="460" w:lineRule="exact"/>
            <w:ind w:firstLine="560" w:firstLineChars="200"/>
            <w:rPr>
              <w:rFonts w:hint="default" w:ascii="仿宋_GB2312" w:hAnsi="Times New Roman" w:eastAsia="仿宋_GB2312" w:cs="Times New Roman"/>
              <w:kern w:val="2"/>
              <w:sz w:val="28"/>
              <w:szCs w:val="28"/>
              <w:lang w:val="en-US" w:eastAsia="zh-CN" w:bidi="ar-SA"/>
            </w:rPr>
          </w:pPr>
          <w:r>
            <w:rPr>
              <w:rFonts w:hint="eastAsia" w:ascii="仿宋_GB2312" w:eastAsia="仿宋_GB2312"/>
              <w:color w:val="000000"/>
              <w:sz w:val="28"/>
            </w:rPr>
            <w:t>第三，通过对大量案例的分析，发现目前法律规定中的不足之处，借鉴国际优秀经验并结合我国实际，对我国民用航空承运人对旅客的侵权责任制度的完善</w:t>
          </w:r>
          <w:r>
            <w:rPr>
              <w:rFonts w:hint="eastAsia" w:ascii="仿宋_GB2312" w:eastAsia="仿宋_GB2312"/>
              <w:b/>
              <w:bCs/>
              <w:color w:val="000000"/>
              <w:sz w:val="28"/>
            </w:rPr>
            <w:t>提出建议</w:t>
          </w:r>
          <w:r>
            <w:rPr>
              <w:rFonts w:hint="eastAsia" w:ascii="仿宋_GB2312" w:eastAsia="仿宋_GB2312"/>
              <w:color w:val="000000"/>
              <w:sz w:val="28"/>
              <w:lang w:eastAsia="zh-CN"/>
            </w:rPr>
            <w:t>。</w:t>
          </w:r>
          <w:r>
            <w:rPr>
              <w:rFonts w:hint="eastAsia" w:ascii="仿宋_GB2312" w:eastAsia="仿宋_GB2312"/>
              <w:color w:val="000000"/>
              <w:sz w:val="28"/>
            </w:rPr>
            <w:t>例如</w:t>
          </w:r>
          <w:r>
            <w:rPr>
              <w:rFonts w:hint="eastAsia" w:ascii="仿宋_GB2312" w:eastAsia="仿宋_GB2312"/>
              <w:color w:val="000000"/>
              <w:sz w:val="28"/>
              <w:lang w:eastAsia="zh-CN"/>
            </w:rPr>
            <w:t>：</w:t>
          </w:r>
          <w:r>
            <w:rPr>
              <w:rFonts w:hint="eastAsia" w:ascii="仿宋_GB2312" w:eastAsia="仿宋_GB2312"/>
              <w:color w:val="000000"/>
              <w:sz w:val="28"/>
            </w:rPr>
            <w:t>通过对案例中赔偿数额的区间统计，比较国际国内赔偿额度，对我国法律规定的规定的国内航空运输责任限额提出修改建议。</w:t>
          </w:r>
        </w:p>
        <w:p>
          <w:pPr>
            <w:pStyle w:val="6"/>
            <w:tabs>
              <w:tab w:val="right" w:leader="dot" w:pos="8306"/>
            </w:tabs>
            <w:spacing w:line="360" w:lineRule="auto"/>
            <w:ind w:left="0" w:leftChars="0" w:firstLine="0" w:firstLineChars="0"/>
            <w:rPr>
              <w:rFonts w:hint="default" w:ascii="仿宋_GB2312" w:hAnsi="Times New Roman" w:eastAsia="仿宋_GB2312" w:cs="Times New Roman"/>
              <w:kern w:val="2"/>
              <w:sz w:val="28"/>
              <w:szCs w:val="28"/>
              <w:lang w:val="en-US" w:eastAsia="zh-CN" w:bidi="ar-SA"/>
            </w:rPr>
          </w:pPr>
        </w:p>
        <w:p>
          <w:pPr>
            <w:pStyle w:val="4"/>
            <w:tabs>
              <w:tab w:val="right" w:leader="dot" w:pos="8306"/>
            </w:tabs>
            <w:spacing w:line="360" w:lineRule="auto"/>
            <w:rPr>
              <w:rFonts w:hint="default" w:ascii="仿宋_GB2312" w:hAnsi="Times New Roman" w:eastAsia="仿宋_GB2312" w:cs="Times New Roman"/>
              <w:kern w:val="2"/>
              <w:sz w:val="28"/>
              <w:szCs w:val="28"/>
              <w:lang w:val="en-US" w:eastAsia="zh-CN" w:bidi="ar-SA"/>
            </w:rPr>
          </w:pP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"_Toc28826"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三、调研过程</w:t>
          </w:r>
          <w:r>
            <w:rPr>
              <w:rFonts w:hint="eastAsia" w:ascii="仿宋_GB2312" w:hAnsi="Times New Roman" w:eastAsia="仿宋_GB2312" w:cs="Times New Roman"/>
              <w:kern w:val="2"/>
              <w:sz w:val="28"/>
              <w:szCs w:val="28"/>
              <w:lang w:val="en-US" w:eastAsia="zh-CN" w:bidi="ar-SA"/>
            </w:rPr>
            <w:fldChar w:fldCharType="end"/>
          </w:r>
        </w:p>
        <w:p>
          <w:pPr>
            <w:pStyle w:val="6"/>
            <w:tabs>
              <w:tab w:val="right" w:leader="dot" w:pos="8306"/>
            </w:tabs>
            <w:spacing w:line="360" w:lineRule="auto"/>
            <w:rPr>
              <w:rFonts w:hint="eastAsia" w:ascii="仿宋_GB2312" w:hAnsi="Times New Roman" w:eastAsia="仿宋_GB2312" w:cs="Times New Roman"/>
              <w:kern w:val="2"/>
              <w:sz w:val="28"/>
              <w:szCs w:val="28"/>
              <w:lang w:val="en-US" w:eastAsia="zh-CN" w:bidi="ar-SA"/>
            </w:rPr>
          </w:pP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"_Toc1404"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（一）确定调研对象</w:t>
          </w:r>
          <w:r>
            <w:rPr>
              <w:rFonts w:hint="eastAsia" w:ascii="仿宋_GB2312" w:hAnsi="Times New Roman" w:eastAsia="仿宋_GB2312" w:cs="Times New Roman"/>
              <w:kern w:val="2"/>
              <w:sz w:val="28"/>
              <w:szCs w:val="28"/>
              <w:lang w:val="en-US" w:eastAsia="zh-CN" w:bidi="ar-SA"/>
            </w:rPr>
            <w:fldChar w:fldCharType="end"/>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1、民用航空侵权案例的样本；</w:t>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2、现有航空方面的法律规定；</w:t>
          </w:r>
        </w:p>
        <w:p>
          <w:pPr>
            <w:rPr>
              <w:rFonts w:hint="default"/>
              <w:lang w:val="en-US" w:eastAsia="zh-CN"/>
            </w:rPr>
          </w:pPr>
        </w:p>
        <w:p>
          <w:pPr>
            <w:pStyle w:val="6"/>
            <w:tabs>
              <w:tab w:val="right" w:leader="dot" w:pos="8306"/>
            </w:tabs>
            <w:spacing w:line="360" w:lineRule="auto"/>
            <w:rPr>
              <w:rFonts w:hint="eastAsia" w:ascii="仿宋_GB2312" w:hAnsi="Times New Roman" w:eastAsia="仿宋_GB2312" w:cs="Times New Roman"/>
              <w:kern w:val="2"/>
              <w:sz w:val="28"/>
              <w:szCs w:val="28"/>
              <w:lang w:val="en-US" w:eastAsia="zh-CN" w:bidi="ar-SA"/>
            </w:rPr>
          </w:pP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"_Toc19048"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（二）展开具体调研</w:t>
          </w:r>
          <w:r>
            <w:rPr>
              <w:rFonts w:hint="eastAsia" w:ascii="仿宋_GB2312" w:hAnsi="Times New Roman" w:eastAsia="仿宋_GB2312" w:cs="Times New Roman"/>
              <w:kern w:val="2"/>
              <w:sz w:val="28"/>
              <w:szCs w:val="28"/>
              <w:lang w:val="en-US" w:eastAsia="zh-CN" w:bidi="ar-SA"/>
            </w:rPr>
            <w:fldChar w:fldCharType="end"/>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1、分组对具体案例进行研读，提取关键词；</w:t>
          </w:r>
        </w:p>
        <w:p>
          <w:pPr>
            <w:rPr>
              <w:rFonts w:hint="default"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2、交由技术组汇总，制作网站</w:t>
          </w:r>
        </w:p>
        <w:p>
          <w:pPr>
            <w:rPr>
              <w:rFonts w:hint="default"/>
              <w:lang w:val="en-US" w:eastAsia="zh-CN"/>
            </w:rPr>
          </w:pPr>
        </w:p>
        <w:p>
          <w:pPr>
            <w:pStyle w:val="6"/>
            <w:tabs>
              <w:tab w:val="right" w:leader="dot" w:pos="8306"/>
            </w:tabs>
            <w:spacing w:line="360" w:lineRule="auto"/>
            <w:rPr>
              <w:rFonts w:hint="default" w:ascii="仿宋_GB2312" w:hAnsi="Times New Roman" w:eastAsia="仿宋_GB2312" w:cs="Times New Roman"/>
              <w:kern w:val="2"/>
              <w:sz w:val="28"/>
              <w:szCs w:val="28"/>
              <w:lang w:val="en-US" w:eastAsia="zh-CN" w:bidi="ar-SA"/>
            </w:rPr>
          </w:pPr>
          <w:r>
            <w:rPr>
              <w:rFonts w:hint="default" w:ascii="仿宋_GB2312" w:hAnsi="Times New Roman" w:eastAsia="仿宋_GB2312" w:cs="Times New Roman"/>
              <w:kern w:val="2"/>
              <w:sz w:val="28"/>
              <w:szCs w:val="28"/>
              <w:lang w:val="en-US" w:eastAsia="zh-CN" w:bidi="ar-SA"/>
            </w:rPr>
            <w:fldChar w:fldCharType="begin"/>
          </w:r>
          <w:r>
            <w:rPr>
              <w:rFonts w:hint="default" w:ascii="仿宋_GB2312" w:hAnsi="Times New Roman" w:eastAsia="仿宋_GB2312" w:cs="Times New Roman"/>
              <w:kern w:val="2"/>
              <w:sz w:val="28"/>
              <w:szCs w:val="28"/>
              <w:lang w:val="en-US" w:eastAsia="zh-CN" w:bidi="ar-SA"/>
            </w:rPr>
            <w:instrText xml:space="preserve"> HYPERLINK \l "_Toc5214" </w:instrText>
          </w:r>
          <w:r>
            <w:rPr>
              <w:rFonts w:hint="default" w:ascii="仿宋_GB2312" w:hAnsi="Times New Roman" w:eastAsia="仿宋_GB2312" w:cs="Times New Roman"/>
              <w:kern w:val="2"/>
              <w:sz w:val="28"/>
              <w:szCs w:val="28"/>
              <w:lang w:val="en-US" w:eastAsia="zh-CN" w:bidi="ar-SA"/>
            </w:rPr>
            <w:fldChar w:fldCharType="separate"/>
          </w:r>
          <w:r>
            <w:rPr>
              <w:rFonts w:hint="eastAsia" w:ascii="仿宋_GB2312" w:hAnsi="Times New Roman" w:eastAsia="仿宋_GB2312" w:cs="Times New Roman"/>
              <w:kern w:val="2"/>
              <w:sz w:val="28"/>
              <w:szCs w:val="28"/>
              <w:lang w:val="en-US" w:eastAsia="zh-CN" w:bidi="ar-SA"/>
            </w:rPr>
            <w:t>（三）汇总调研结果</w:t>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fldChar w:fldCharType="end"/>
          </w:r>
          <w:r>
            <w:rPr>
              <w:rFonts w:hint="eastAsia" w:ascii="仿宋_GB2312" w:hAnsi="Times New Roman" w:eastAsia="仿宋_GB2312" w:cs="Times New Roman"/>
              <w:kern w:val="2"/>
              <w:sz w:val="28"/>
              <w:szCs w:val="28"/>
              <w:lang w:val="en-US" w:eastAsia="zh-CN" w:bidi="ar-SA"/>
            </w:rPr>
            <w:t xml:space="preserve">  1、比对数据</w:t>
          </w:r>
        </w:p>
        <w:p>
          <w:pPr>
            <w:numPr>
              <w:ilvl w:val="0"/>
              <w:numId w:val="0"/>
            </w:numPr>
            <w:ind w:firstLine="210" w:firstLineChars="10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网站测算</w:t>
          </w:r>
        </w:p>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 xml:space="preserve">   为了满足调研的需要，降低数据整理的难度，团队自主设计了航空慧法网页，从多维度对现有案例进行统计筛选，其结果为团队进行数据分析的基础与主要来源。</w:t>
          </w:r>
        </w:p>
        <w:p>
          <w:pPr>
            <w:numPr>
              <w:ilvl w:val="0"/>
              <w:numId w:val="0"/>
            </w:numPr>
            <w:ind w:firstLine="210" w:firstLineChars="100"/>
            <w:rPr>
              <w:rFonts w:hint="default" w:ascii="Times New Roman" w:hAnsi="Times New Roman" w:cs="Times New Roman"/>
              <w:lang w:val="en-US" w:eastAsia="zh-CN"/>
            </w:rPr>
          </w:pPr>
        </w:p>
        <w:p>
          <w:pP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5266690" cy="2570480"/>
                <wp:effectExtent l="0" t="0" r="635" b="1270"/>
                <wp:docPr id="1" name="图片 1" descr="9143996ed018044c191ff1eda0c46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143996ed018044c191ff1eda0c463c"/>
                        <pic:cNvPicPr>
                          <a:picLocks noChangeAspect="1"/>
                        </pic:cNvPicPr>
                      </pic:nvPicPr>
                      <pic:blipFill>
                        <a:blip r:embed="rId6"/>
                        <a:stretch>
                          <a:fillRect/>
                        </a:stretch>
                      </pic:blipFill>
                      <pic:spPr>
                        <a:xfrm>
                          <a:off x="0" y="0"/>
                          <a:ext cx="5266690" cy="2570480"/>
                        </a:xfrm>
                        <a:prstGeom prst="rect">
                          <a:avLst/>
                        </a:prstGeom>
                      </pic:spPr>
                    </pic:pic>
                  </a:graphicData>
                </a:graphic>
              </wp:inline>
            </w:drawing>
          </w:r>
        </w:p>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 xml:space="preserve">   </w:t>
          </w:r>
        </w:p>
        <w:p>
          <w:pPr>
            <w:numPr>
              <w:ilvl w:val="0"/>
              <w:numId w:val="0"/>
            </w:numPr>
            <w:ind w:firstLine="210" w:firstLineChars="10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现有可查数据</w:t>
          </w:r>
        </w:p>
        <w:p>
          <w:pPr>
            <w:numPr>
              <w:ilvl w:val="0"/>
              <w:numId w:val="0"/>
            </w:numPr>
            <w:ind w:firstLine="420" w:firstLineChars="200"/>
            <w:rPr>
              <w:rFonts w:hint="default" w:eastAsia="宋体"/>
              <w:b w:val="0"/>
              <w:bCs w:val="0"/>
              <w:lang w:val="en-US" w:eastAsia="zh-CN"/>
            </w:rPr>
          </w:pPr>
          <w:r>
            <w:rPr>
              <w:rFonts w:hint="eastAsia" w:ascii="Times New Roman" w:hAnsi="Times New Roman" w:cs="Times New Roman"/>
              <w:lang w:val="en-US" w:eastAsia="zh-CN"/>
            </w:rPr>
            <w:t xml:space="preserve"> 现有的法律搜索网站为团队提供了判决书作为资料的来源，同时，对于网页中尚不完善的地方，团队借助无讼等现有法律搜索网站进行数据的补充与完善。</w:t>
          </w:r>
          <w:r>
            <w:rPr>
              <w:rFonts w:hint="eastAsia"/>
              <w:b w:val="0"/>
              <w:bCs w:val="0"/>
              <w:lang w:val="en-US" w:eastAsia="zh-CN"/>
            </w:rPr>
            <w:t>首先按照（航空—民事案件—合同案件——航空运输合同）检索的方式查到特定的航空货物运输合同纠纷案件，再根据需要检索的关键词的含义进行检索。</w:t>
          </w:r>
        </w:p>
        <w:p>
          <w:pPr>
            <w:numPr>
              <w:ilvl w:val="0"/>
              <w:numId w:val="0"/>
            </w:numPr>
            <w:ind w:firstLine="210" w:firstLineChars="100"/>
            <w:rPr>
              <w:rFonts w:hint="default" w:ascii="Times New Roman" w:hAnsi="Times New Roman" w:cs="Times New Roman"/>
              <w:lang w:val="en-US" w:eastAsia="zh-C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5420" cy="2368550"/>
                <wp:effectExtent l="0" t="0" r="190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5420" cy="236855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 xml:space="preserve">  2、制作图表</w:t>
          </w:r>
        </w:p>
        <w:p>
          <w:pPr>
            <w:rPr>
              <w:rFonts w:hint="default" w:ascii="仿宋_GB2312" w:hAnsi="Times New Roman" w:eastAsia="仿宋_GB2312" w:cs="Times New Roman"/>
              <w:kern w:val="2"/>
              <w:sz w:val="28"/>
              <w:szCs w:val="28"/>
              <w:lang w:val="en-US" w:eastAsia="zh-CN" w:bidi="ar-SA"/>
            </w:rPr>
          </w:pPr>
        </w:p>
        <w:p>
          <w:pPr>
            <w:rPr>
              <w:rFonts w:hint="default"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四、调研结果展示及分析</w:t>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（一）民用航空货物运输合同侵权案件获赔情况展示</w:t>
          </w:r>
        </w:p>
        <w:p>
          <w:pPr>
            <w:rPr>
              <w:rFonts w:hint="default"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1、争议事由分析</w:t>
          </w:r>
        </w:p>
        <w:p>
          <w:pPr>
            <w:numPr>
              <w:ilvl w:val="0"/>
              <w:numId w:val="0"/>
            </w:numPr>
            <w:spacing w:beforeLines="0" w:afterLines="0"/>
            <w:ind w:firstLine="560" w:firstLineChars="200"/>
            <w:rPr>
              <w:rFonts w:hint="eastAsia"/>
              <w:sz w:val="21"/>
            </w:rPr>
          </w:pPr>
          <w:r>
            <w:rPr>
              <w:rFonts w:hint="eastAsia" w:ascii="仿宋_GB2312" w:hAnsi="Times New Roman" w:eastAsia="仿宋_GB2312" w:cs="Times New Roman"/>
              <w:kern w:val="2"/>
              <w:sz w:val="28"/>
              <w:szCs w:val="28"/>
              <w:lang w:val="en-US" w:eastAsia="zh-CN" w:bidi="ar-SA"/>
            </w:rPr>
            <w:t xml:space="preserve"> </w:t>
          </w:r>
          <w:r>
            <w:rPr>
              <w:rFonts w:hint="eastAsia"/>
              <w:sz w:val="21"/>
            </w:rPr>
            <w:t>对于现有网站上可检测到的航空货物运输合同案件共1345件，利用团队共同设计的网站进行有针对性的筛选，有关争议事由的案件统计见图表1、图表3，从中我们可以得知，争议事由共涉及26个方面，主要有11大类：运输费用、运费金额、格式条款、管辖权异议、运费的数额及计算依据、折扣、货物是否送达、结算方式、托运人是否承担责任、是否妥善（按约全面）履行了义务、货物延迟（灭失、损坏、损失、毁损、遗失、损坏）。其中运费的数额及计算依据、货物毁损之后的赔偿以及承运人师傅全面按约履行义务成为了当事人之间三大争议焦点，占比分别占到28%、26%、28%（详见图表4）。</w:t>
          </w:r>
        </w:p>
        <w:p>
          <w:pPr>
            <w:numPr>
              <w:ilvl w:val="0"/>
              <w:numId w:val="0"/>
            </w:numPr>
            <w:spacing w:beforeLines="0" w:afterLines="0"/>
            <w:ind w:firstLine="420" w:firstLineChars="200"/>
            <w:rPr>
              <w:rFonts w:hint="eastAsia"/>
              <w:b/>
              <w:sz w:val="22"/>
            </w:rPr>
          </w:pPr>
          <w:r>
            <w:rPr>
              <w:rFonts w:hint="eastAsia"/>
              <w:sz w:val="21"/>
            </w:rPr>
            <w:t>后团队对涉及货物的争议事由进行了再研究，据图表2和图表5我们可知，针对货物状态的争议事由主要集中在货物损坏、遗失和单纯的货物损失三个方面。</w:t>
          </w:r>
        </w:p>
        <w:p>
          <w:pPr>
            <w:numPr>
              <w:ilvl w:val="0"/>
              <w:numId w:val="0"/>
            </w:numPr>
            <w:spacing w:before="157" w:beforeLines="50" w:after="157" w:afterLines="50"/>
            <w:rPr>
              <w:rFonts w:hint="default"/>
              <w:b/>
              <w:sz w:val="22"/>
            </w:rPr>
          </w:pPr>
          <w:r>
            <w:rPr>
              <w:rFonts w:hint="eastAsia"/>
              <w:b/>
              <w:sz w:val="22"/>
            </w:rPr>
            <w:t>（1）表格化全面展示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
            <w:gridCol w:w="347"/>
            <w:gridCol w:w="303"/>
            <w:gridCol w:w="302"/>
            <w:gridCol w:w="302"/>
            <w:gridCol w:w="302"/>
            <w:gridCol w:w="302"/>
            <w:gridCol w:w="303"/>
            <w:gridCol w:w="303"/>
            <w:gridCol w:w="302"/>
            <w:gridCol w:w="302"/>
            <w:gridCol w:w="303"/>
            <w:gridCol w:w="302"/>
            <w:gridCol w:w="347"/>
            <w:gridCol w:w="302"/>
            <w:gridCol w:w="302"/>
            <w:gridCol w:w="303"/>
            <w:gridCol w:w="302"/>
            <w:gridCol w:w="302"/>
            <w:gridCol w:w="302"/>
            <w:gridCol w:w="302"/>
            <w:gridCol w:w="303"/>
            <w:gridCol w:w="303"/>
            <w:gridCol w:w="302"/>
            <w:gridCol w:w="388"/>
            <w:gridCol w:w="388"/>
            <w:gridCol w:w="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b/>
                    <w:sz w:val="24"/>
                  </w:rPr>
                </w:pPr>
                <w:r>
                  <w:rPr>
                    <w:rFonts w:hint="eastAsia"/>
                    <w:b/>
                    <w:sz w:val="24"/>
                  </w:rPr>
                  <w:t>争议事由</w:t>
                </w:r>
              </w:p>
            </w:tc>
            <w:tc>
              <w:tcPr>
                <w:tcW w:w="34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运输费用</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运费金额</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错误填写货物运送的目的地</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赊账额度的变更</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表见代理</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运输迟延</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格式条款</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管辖权异议</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货款损失</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包机运输</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诉讼时效</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错发货物</w:t>
                </w:r>
              </w:p>
            </w:tc>
            <w:tc>
              <w:tcPr>
                <w:tcW w:w="34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运费</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运费的数额及计算依据</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承运人擅自放货</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折扣</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无单发货</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泄漏运输信息</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挂靠关系</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改变运输方式</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货物是否送达</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结算方式</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托运人是否承担责任</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是否妥善（按约全面）履行了义务</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货物延迟、灭失、损坏、损失</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计重标准、计重单价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b/>
                    <w:sz w:val="22"/>
                  </w:rPr>
                </w:pPr>
                <w:r>
                  <w:rPr>
                    <w:rFonts w:hint="eastAsia"/>
                    <w:b/>
                    <w:sz w:val="22"/>
                  </w:rPr>
                  <w:t>案件数</w:t>
                </w:r>
              </w:p>
            </w:tc>
            <w:tc>
              <w:tcPr>
                <w:tcW w:w="34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123</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59</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56</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46</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8</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25</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w:t>
                </w:r>
              </w:p>
            </w:tc>
            <w:tc>
              <w:tcPr>
                <w:tcW w:w="34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802</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94</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10</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26</w:t>
                </w:r>
              </w:p>
            </w:tc>
            <w:tc>
              <w:tcPr>
                <w:tcW w:w="30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31</w:t>
                </w:r>
              </w:p>
            </w:tc>
            <w:tc>
              <w:tcPr>
                <w:tcW w:w="30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50</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684</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802</w:t>
                </w:r>
              </w:p>
            </w:tc>
            <w:tc>
              <w:tcPr>
                <w:tcW w:w="3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7</w:t>
                </w:r>
              </w:p>
            </w:tc>
          </w:tr>
        </w:tbl>
        <w:p>
          <w:pPr>
            <w:numPr>
              <w:ilvl w:val="0"/>
              <w:numId w:val="0"/>
            </w:numPr>
            <w:spacing w:beforeLines="0" w:afterLines="0"/>
            <w:jc w:val="center"/>
            <w:rPr>
              <w:rFonts w:hint="default"/>
              <w:sz w:val="21"/>
            </w:rPr>
          </w:pPr>
          <w:r>
            <w:rPr>
              <w:rFonts w:hint="eastAsia"/>
              <w:sz w:val="21"/>
            </w:rPr>
            <w:t>图表 1</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b/>
                    <w:sz w:val="21"/>
                  </w:rPr>
                  <w:t>货物状态</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毁损</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灭失</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损坏</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损失</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丢失</w:t>
                </w:r>
              </w:p>
            </w:tc>
            <w:tc>
              <w:tcPr>
                <w:tcW w:w="106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遗失</w:t>
                </w:r>
              </w:p>
            </w:tc>
            <w:tc>
              <w:tcPr>
                <w:tcW w:w="106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b/>
                    <w:sz w:val="21"/>
                  </w:rPr>
                  <w:t>案件数量</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23</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32</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71</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512</w:t>
                </w:r>
              </w:p>
            </w:tc>
            <w:tc>
              <w:tcPr>
                <w:tcW w:w="106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39</w:t>
                </w:r>
              </w:p>
            </w:tc>
            <w:tc>
              <w:tcPr>
                <w:tcW w:w="106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83</w:t>
                </w:r>
              </w:p>
            </w:tc>
            <w:tc>
              <w:tcPr>
                <w:tcW w:w="106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42</w:t>
                </w:r>
              </w:p>
            </w:tc>
          </w:tr>
        </w:tbl>
        <w:p>
          <w:pPr>
            <w:numPr>
              <w:ilvl w:val="0"/>
              <w:numId w:val="0"/>
            </w:numPr>
            <w:spacing w:beforeLines="0" w:afterLines="0"/>
            <w:jc w:val="center"/>
            <w:rPr>
              <w:rFonts w:hint="default"/>
              <w:sz w:val="21"/>
            </w:rPr>
          </w:pPr>
          <w:r>
            <w:rPr>
              <w:rFonts w:hint="eastAsia"/>
              <w:sz w:val="21"/>
            </w:rPr>
            <w:t>图表 2</w:t>
          </w:r>
        </w:p>
        <w:p>
          <w:pPr>
            <w:numPr>
              <w:ilvl w:val="0"/>
              <w:numId w:val="0"/>
            </w:numPr>
            <w:spacing w:beforeLines="0" w:afterLines="0"/>
            <w:rPr>
              <w:rFonts w:hint="default"/>
              <w:sz w:val="21"/>
            </w:rPr>
          </w:pPr>
          <w:r>
            <w:rPr>
              <w:rFonts w:hint="eastAsia"/>
              <w:b/>
              <w:sz w:val="21"/>
            </w:rPr>
            <w:t>（2）图表化再展示</w:t>
          </w:r>
        </w:p>
        <w:p>
          <w:pPr>
            <w:numPr>
              <w:ilvl w:val="0"/>
              <w:numId w:val="0"/>
            </w:numPr>
            <w:spacing w:beforeLines="0" w:afterLines="0"/>
            <w:rPr>
              <w:rFonts w:hint="default"/>
              <w:sz w:val="21"/>
            </w:rPr>
          </w:pPr>
          <w:r>
            <w:rPr>
              <w:rFonts w:hint="default"/>
              <w:sz w:val="21"/>
            </w:rPr>
            <w:drawing>
              <wp:inline distT="0" distB="0" distL="114300" distR="114300">
                <wp:extent cx="5305425" cy="3171825"/>
                <wp:effectExtent l="0" t="0" r="0" b="0"/>
                <wp:docPr id="12"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表 1"/>
                        <pic:cNvPicPr>
                          <a:picLocks noChangeAspect="1"/>
                        </pic:cNvPicPr>
                      </pic:nvPicPr>
                      <pic:blipFill>
                        <a:blip r:embed="rId8"/>
                        <a:stretch>
                          <a:fillRect/>
                        </a:stretch>
                      </pic:blipFill>
                      <pic:spPr>
                        <a:xfrm>
                          <a:off x="0" y="0"/>
                          <a:ext cx="5305425" cy="3171825"/>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3</w:t>
          </w:r>
        </w:p>
        <w:p>
          <w:pPr>
            <w:numPr>
              <w:ilvl w:val="0"/>
              <w:numId w:val="0"/>
            </w:numPr>
            <w:spacing w:beforeLines="0" w:afterLines="0"/>
            <w:rPr>
              <w:rFonts w:hint="default"/>
              <w:sz w:val="21"/>
            </w:rPr>
          </w:pPr>
          <w:r>
            <w:rPr>
              <w:rFonts w:hint="eastAsia"/>
              <w:sz w:val="21"/>
            </w:rPr>
            <w:t xml:space="preserve"> </w:t>
          </w:r>
          <w:r>
            <w:rPr>
              <w:rFonts w:hint="default"/>
              <w:sz w:val="21"/>
            </w:rPr>
            <w:drawing>
              <wp:inline distT="0" distB="0" distL="114300" distR="114300">
                <wp:extent cx="5286375" cy="3495675"/>
                <wp:effectExtent l="0" t="0" r="0" b="0"/>
                <wp:docPr id="5"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表 1"/>
                        <pic:cNvPicPr>
                          <a:picLocks noChangeAspect="1"/>
                        </pic:cNvPicPr>
                      </pic:nvPicPr>
                      <pic:blipFill>
                        <a:blip r:embed="rId9"/>
                        <a:stretch>
                          <a:fillRect/>
                        </a:stretch>
                      </pic:blipFill>
                      <pic:spPr>
                        <a:xfrm>
                          <a:off x="0" y="0"/>
                          <a:ext cx="5286375" cy="3495675"/>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4</w:t>
          </w:r>
        </w:p>
        <w:p>
          <w:pPr>
            <w:numPr>
              <w:ilvl w:val="0"/>
              <w:numId w:val="0"/>
            </w:numPr>
            <w:spacing w:beforeLines="0" w:afterLines="0"/>
            <w:rPr>
              <w:rFonts w:hint="eastAsia"/>
              <w:sz w:val="21"/>
            </w:rPr>
          </w:pPr>
        </w:p>
        <w:p>
          <w:pPr>
            <w:numPr>
              <w:ilvl w:val="0"/>
              <w:numId w:val="0"/>
            </w:numPr>
            <w:spacing w:beforeLines="0" w:afterLines="0"/>
            <w:rPr>
              <w:rFonts w:hint="default"/>
              <w:sz w:val="21"/>
            </w:rPr>
          </w:pPr>
          <w:r>
            <w:rPr>
              <w:rFonts w:hint="eastAsia"/>
              <w:sz w:val="21"/>
            </w:rPr>
            <w:t xml:space="preserve"> </w:t>
          </w:r>
          <w:r>
            <w:rPr>
              <w:rFonts w:hint="default"/>
              <w:sz w:val="21"/>
            </w:rPr>
            <w:drawing>
              <wp:inline distT="0" distB="0" distL="114300" distR="114300">
                <wp:extent cx="5162550" cy="3333750"/>
                <wp:effectExtent l="0" t="0" r="0" b="0"/>
                <wp:docPr id="9" name="图表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表 3"/>
                        <pic:cNvPicPr>
                          <a:picLocks noChangeAspect="1"/>
                        </pic:cNvPicPr>
                      </pic:nvPicPr>
                      <pic:blipFill>
                        <a:blip r:embed="rId10"/>
                        <a:stretch>
                          <a:fillRect/>
                        </a:stretch>
                      </pic:blipFill>
                      <pic:spPr>
                        <a:xfrm>
                          <a:off x="0" y="0"/>
                          <a:ext cx="5162550" cy="3333750"/>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5</w:t>
          </w:r>
        </w:p>
        <w:p>
          <w:pPr>
            <w:numPr>
              <w:ilvl w:val="0"/>
              <w:numId w:val="0"/>
            </w:numPr>
            <w:spacing w:beforeLines="0" w:afterLines="0"/>
            <w:rPr>
              <w:rFonts w:hint="eastAsia"/>
              <w:sz w:val="21"/>
            </w:rPr>
          </w:pPr>
        </w:p>
        <w:p>
          <w:pPr>
            <w:numPr>
              <w:ilvl w:val="0"/>
              <w:numId w:val="0"/>
            </w:numPr>
            <w:spacing w:beforeLines="0" w:afterLines="0"/>
            <w:rPr>
              <w:rFonts w:hint="eastAsia"/>
              <w:b/>
              <w:sz w:val="24"/>
            </w:rPr>
          </w:pPr>
          <w:r>
            <w:rPr>
              <w:rFonts w:hint="eastAsia"/>
              <w:b/>
              <w:sz w:val="24"/>
              <w:lang w:val="en-US" w:eastAsia="zh-CN"/>
            </w:rPr>
            <w:t>2、</w:t>
          </w:r>
          <w:r>
            <w:rPr>
              <w:rFonts w:hint="eastAsia"/>
              <w:b/>
              <w:sz w:val="24"/>
            </w:rPr>
            <w:t>赔偿范围及赔偿数额分析</w:t>
          </w:r>
        </w:p>
        <w:p>
          <w:pPr>
            <w:numPr>
              <w:ilvl w:val="0"/>
              <w:numId w:val="0"/>
            </w:numPr>
            <w:spacing w:beforeLines="0" w:afterLines="0"/>
            <w:ind w:firstLine="420" w:firstLineChars="200"/>
            <w:rPr>
              <w:rFonts w:hint="eastAsia"/>
              <w:b/>
              <w:sz w:val="24"/>
            </w:rPr>
          </w:pPr>
          <w:r>
            <w:rPr>
              <w:rFonts w:hint="eastAsia"/>
              <w:sz w:val="21"/>
            </w:rPr>
            <w:t>对于现有网站上可检测到的航空货物运输合同案件共1345件，利用团队共同设计的网站进行有针对性的筛选，有关赔偿范围的案件统计见图表6，从中我们可以得知，赔偿范围包含押金、违约金、滞纳金、货站操作费、保全费、仓储费、运费、公证认证费、代理费、退税损失、配额费、货物损失、逾期付款损失、利息、合同款、关税，涉及直接损失，也包含间接损失；其中运费、货物损失、逾期付款损失、利息、关税为5大主要赔偿范围，分别占比41%、12%、8%、24%、7%、8%（详见图表7），此外违约金、代理费、押金也依据案件具体情况而被诉请（详见图表8、9）。</w:t>
          </w:r>
        </w:p>
        <w:p>
          <w:pPr>
            <w:numPr>
              <w:ilvl w:val="0"/>
              <w:numId w:val="0"/>
            </w:numPr>
            <w:spacing w:before="157" w:beforeLines="50" w:after="157" w:afterLines="50"/>
            <w:rPr>
              <w:rFonts w:hint="eastAsia"/>
              <w:b/>
              <w:sz w:val="22"/>
            </w:rPr>
          </w:pPr>
          <w:r>
            <w:rPr>
              <w:rFonts w:hint="eastAsia"/>
              <w:b/>
              <w:sz w:val="22"/>
              <w:lang w:eastAsia="zh-CN"/>
            </w:rPr>
            <w:t>（</w:t>
          </w:r>
          <w:r>
            <w:rPr>
              <w:rFonts w:hint="eastAsia"/>
              <w:b/>
              <w:sz w:val="22"/>
              <w:lang w:val="en-US" w:eastAsia="zh-CN"/>
            </w:rPr>
            <w:t>1</w:t>
          </w:r>
          <w:r>
            <w:rPr>
              <w:rFonts w:hint="eastAsia"/>
              <w:b/>
              <w:sz w:val="22"/>
              <w:lang w:eastAsia="zh-CN"/>
            </w:rPr>
            <w:t>）</w:t>
          </w:r>
          <w:r>
            <w:rPr>
              <w:rFonts w:hint="eastAsia"/>
              <w:b/>
              <w:sz w:val="22"/>
            </w:rPr>
            <w:t>赔偿范围分析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
            <w:gridCol w:w="486"/>
            <w:gridCol w:w="487"/>
            <w:gridCol w:w="487"/>
            <w:gridCol w:w="487"/>
            <w:gridCol w:w="487"/>
            <w:gridCol w:w="487"/>
            <w:gridCol w:w="536"/>
            <w:gridCol w:w="487"/>
            <w:gridCol w:w="487"/>
            <w:gridCol w:w="487"/>
            <w:gridCol w:w="487"/>
            <w:gridCol w:w="536"/>
            <w:gridCol w:w="536"/>
            <w:gridCol w:w="536"/>
            <w:gridCol w:w="487"/>
            <w:gridCol w:w="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赔偿范围</w:t>
                </w:r>
              </w:p>
            </w:tc>
            <w:tc>
              <w:tcPr>
                <w:tcW w:w="48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押金</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违约金</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滞纳金</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货站操作费</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保全费</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仓储费</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运费</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公证认证费</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代理费</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退税损失</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配额费</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货物损失</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逾期付款损失</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利息</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合同款</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关税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案件数量</w:t>
                </w:r>
              </w:p>
            </w:tc>
            <w:tc>
              <w:tcPr>
                <w:tcW w:w="48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15</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60</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13</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13</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9</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802</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22</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235</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166</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474</w:t>
                </w:r>
              </w:p>
            </w:tc>
            <w:tc>
              <w:tcPr>
                <w:tcW w:w="48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w:t>
                </w:r>
              </w:p>
            </w:tc>
            <w:tc>
              <w:tcPr>
                <w:tcW w:w="5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141</w:t>
                </w:r>
              </w:p>
            </w:tc>
          </w:tr>
        </w:tbl>
        <w:p>
          <w:pPr>
            <w:numPr>
              <w:ilvl w:val="0"/>
              <w:numId w:val="0"/>
            </w:numPr>
            <w:spacing w:beforeLines="0" w:afterLines="0"/>
            <w:jc w:val="center"/>
            <w:rPr>
              <w:rFonts w:hint="eastAsia"/>
              <w:sz w:val="21"/>
            </w:rPr>
          </w:pPr>
          <w:r>
            <w:rPr>
              <w:rFonts w:hint="eastAsia"/>
              <w:sz w:val="21"/>
            </w:rPr>
            <w:t>图表 6</w:t>
          </w:r>
        </w:p>
        <w:p>
          <w:pPr>
            <w:numPr>
              <w:ilvl w:val="0"/>
              <w:numId w:val="0"/>
            </w:numPr>
            <w:spacing w:beforeLines="0" w:afterLines="0"/>
            <w:jc w:val="center"/>
            <w:rPr>
              <w:rFonts w:hint="default"/>
              <w:sz w:val="21"/>
            </w:rPr>
          </w:pPr>
        </w:p>
        <w:p>
          <w:pPr>
            <w:numPr>
              <w:ilvl w:val="0"/>
              <w:numId w:val="0"/>
            </w:numPr>
            <w:spacing w:beforeLines="0" w:afterLines="0"/>
            <w:rPr>
              <w:rFonts w:hint="default"/>
              <w:sz w:val="21"/>
            </w:rPr>
          </w:pPr>
          <w:r>
            <w:rPr>
              <w:rFonts w:hint="eastAsia"/>
              <w:sz w:val="21"/>
            </w:rPr>
            <w:t xml:space="preserve">     </w:t>
          </w:r>
          <w:r>
            <w:rPr>
              <w:rFonts w:hint="default"/>
              <w:sz w:val="21"/>
            </w:rPr>
            <w:drawing>
              <wp:inline distT="0" distB="0" distL="114300" distR="114300">
                <wp:extent cx="4343400" cy="2771775"/>
                <wp:effectExtent l="0" t="0" r="0" b="0"/>
                <wp:docPr id="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0"/>
                        <pic:cNvPicPr>
                          <a:picLocks noChangeAspect="1"/>
                        </pic:cNvPicPr>
                      </pic:nvPicPr>
                      <pic:blipFill>
                        <a:blip r:embed="rId11"/>
                        <a:stretch>
                          <a:fillRect/>
                        </a:stretch>
                      </pic:blipFill>
                      <pic:spPr>
                        <a:xfrm>
                          <a:off x="0" y="0"/>
                          <a:ext cx="4343400" cy="2771775"/>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7</w:t>
          </w:r>
        </w:p>
        <w:p>
          <w:pPr>
            <w:numPr>
              <w:ilvl w:val="0"/>
              <w:numId w:val="0"/>
            </w:numPr>
            <w:spacing w:beforeLines="0" w:afterLines="0"/>
            <w:rPr>
              <w:rFonts w:hint="default"/>
              <w:sz w:val="21"/>
            </w:rPr>
          </w:pPr>
        </w:p>
        <w:tbl>
          <w:tblPr>
            <w:tblStyle w:val="7"/>
            <w:tblW w:w="590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332"/>
            <w:gridCol w:w="476"/>
            <w:gridCol w:w="651"/>
            <w:gridCol w:w="695"/>
            <w:gridCol w:w="1104"/>
            <w:gridCol w:w="687"/>
            <w:gridCol w:w="702"/>
            <w:gridCol w:w="1135"/>
            <w:gridCol w:w="681"/>
            <w:gridCol w:w="878"/>
            <w:gridCol w:w="704"/>
            <w:gridCol w:w="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0" w:hRule="atLeast"/>
            </w:trPr>
            <w:tc>
              <w:tcPr>
                <w:tcW w:w="677" w:type="pct"/>
                <w:tcBorders>
                  <w:top w:val="single" w:color="auto" w:sz="4" w:space="0"/>
                  <w:left w:val="single" w:color="auto" w:sz="4" w:space="0"/>
                  <w:bottom w:val="single" w:color="auto" w:sz="4" w:space="0"/>
                  <w:right w:val="single" w:color="auto" w:sz="4" w:space="0"/>
                  <w:tl2br w:val="nil"/>
                  <w:tr2bl w:val="nil"/>
                </w:tcBorders>
                <w:noWrap/>
                <w:tcMar>
                  <w:top w:w="8" w:type="dxa"/>
                  <w:left w:w="8" w:type="dxa"/>
                  <w:right w:w="8" w:type="dxa"/>
                </w:tcMar>
                <w:vAlign w:val="center"/>
              </w:tcPr>
              <w:p>
                <w:pPr>
                  <w:numPr>
                    <w:ilvl w:val="0"/>
                    <w:numId w:val="0"/>
                  </w:numPr>
                  <w:spacing w:beforeLines="0" w:afterLines="0"/>
                  <w:rPr>
                    <w:rFonts w:hint="eastAsia"/>
                    <w:sz w:val="21"/>
                  </w:rPr>
                </w:pPr>
                <w:r>
                  <w:rPr>
                    <w:rFonts w:hint="eastAsia"/>
                    <w:b/>
                    <w:sz w:val="21"/>
                  </w:rPr>
                  <w:t>其他赔偿范围</w:t>
                </w:r>
              </w:p>
            </w:tc>
            <w:tc>
              <w:tcPr>
                <w:tcW w:w="242"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押金</w:t>
                </w:r>
              </w:p>
            </w:tc>
            <w:tc>
              <w:tcPr>
                <w:tcW w:w="331"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违约金</w:t>
                </w:r>
              </w:p>
            </w:tc>
            <w:tc>
              <w:tcPr>
                <w:tcW w:w="353"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滞纳金</w:t>
                </w:r>
              </w:p>
            </w:tc>
            <w:tc>
              <w:tcPr>
                <w:tcW w:w="561"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货站操作费</w:t>
                </w:r>
              </w:p>
            </w:tc>
            <w:tc>
              <w:tcPr>
                <w:tcW w:w="349"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保全费</w:t>
                </w:r>
              </w:p>
            </w:tc>
            <w:tc>
              <w:tcPr>
                <w:tcW w:w="357"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仓储费</w:t>
                </w:r>
              </w:p>
            </w:tc>
            <w:tc>
              <w:tcPr>
                <w:tcW w:w="577"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公证认证费</w:t>
                </w:r>
              </w:p>
            </w:tc>
            <w:tc>
              <w:tcPr>
                <w:tcW w:w="346"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代理费</w:t>
                </w:r>
              </w:p>
            </w:tc>
            <w:tc>
              <w:tcPr>
                <w:tcW w:w="446"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13"/>
                  </w:rPr>
                </w:pPr>
                <w:r>
                  <w:rPr>
                    <w:rFonts w:hint="eastAsia"/>
                    <w:sz w:val="21"/>
                  </w:rPr>
                  <w:t>退税损失</w:t>
                </w:r>
              </w:p>
            </w:tc>
            <w:tc>
              <w:tcPr>
                <w:tcW w:w="358"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配额费</w:t>
                </w:r>
              </w:p>
            </w:tc>
            <w:tc>
              <w:tcPr>
                <w:tcW w:w="399"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widowControl/>
                  <w:spacing w:beforeLines="0" w:afterLines="0"/>
                  <w:textAlignment w:val="top"/>
                  <w:rPr>
                    <w:rFonts w:hint="eastAsia" w:ascii="宋体" w:hAnsi="宋体"/>
                    <w:color w:val="000000"/>
                    <w:sz w:val="21"/>
                  </w:rPr>
                </w:pPr>
                <w:r>
                  <w:rPr>
                    <w:rFonts w:hint="eastAsia" w:ascii="宋体" w:hAnsi="宋体"/>
                    <w:color w:val="000000"/>
                    <w:kern w:val="0"/>
                    <w:sz w:val="21"/>
                  </w:rPr>
                  <w:t>合同款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0" w:hRule="atLeast"/>
            </w:trPr>
            <w:tc>
              <w:tcPr>
                <w:tcW w:w="677" w:type="pct"/>
                <w:tcBorders>
                  <w:top w:val="single" w:color="auto" w:sz="4" w:space="0"/>
                  <w:left w:val="single" w:color="auto" w:sz="4" w:space="0"/>
                  <w:bottom w:val="single" w:color="auto" w:sz="4" w:space="0"/>
                  <w:right w:val="single" w:color="auto" w:sz="4" w:space="0"/>
                  <w:tl2br w:val="nil"/>
                  <w:tr2bl w:val="nil"/>
                </w:tcBorders>
                <w:noWrap/>
                <w:tcMar>
                  <w:top w:w="8" w:type="dxa"/>
                  <w:left w:w="8" w:type="dxa"/>
                  <w:right w:w="8" w:type="dxa"/>
                </w:tcMar>
                <w:vAlign w:val="center"/>
              </w:tcPr>
              <w:p>
                <w:pPr>
                  <w:numPr>
                    <w:ilvl w:val="0"/>
                    <w:numId w:val="0"/>
                  </w:numPr>
                  <w:spacing w:beforeLines="0" w:afterLines="0"/>
                  <w:rPr>
                    <w:rFonts w:hint="eastAsia"/>
                    <w:sz w:val="21"/>
                  </w:rPr>
                </w:pPr>
                <w:r>
                  <w:rPr>
                    <w:rFonts w:hint="eastAsia"/>
                    <w:b/>
                    <w:sz w:val="21"/>
                  </w:rPr>
                  <w:t>案件数量</w:t>
                </w:r>
              </w:p>
            </w:tc>
            <w:tc>
              <w:tcPr>
                <w:tcW w:w="242"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15</w:t>
                </w:r>
              </w:p>
            </w:tc>
            <w:tc>
              <w:tcPr>
                <w:tcW w:w="331"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60</w:t>
                </w:r>
              </w:p>
            </w:tc>
            <w:tc>
              <w:tcPr>
                <w:tcW w:w="353"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13</w:t>
                </w:r>
              </w:p>
            </w:tc>
            <w:tc>
              <w:tcPr>
                <w:tcW w:w="561"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1</w:t>
                </w:r>
              </w:p>
            </w:tc>
            <w:tc>
              <w:tcPr>
                <w:tcW w:w="349"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13</w:t>
                </w:r>
              </w:p>
            </w:tc>
            <w:tc>
              <w:tcPr>
                <w:tcW w:w="357"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9</w:t>
                </w:r>
              </w:p>
            </w:tc>
            <w:tc>
              <w:tcPr>
                <w:tcW w:w="577"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4</w:t>
                </w:r>
              </w:p>
            </w:tc>
            <w:tc>
              <w:tcPr>
                <w:tcW w:w="346"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22</w:t>
                </w:r>
              </w:p>
            </w:tc>
            <w:tc>
              <w:tcPr>
                <w:tcW w:w="446"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5</w:t>
                </w:r>
              </w:p>
            </w:tc>
            <w:tc>
              <w:tcPr>
                <w:tcW w:w="358"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4</w:t>
                </w:r>
              </w:p>
            </w:tc>
            <w:tc>
              <w:tcPr>
                <w:tcW w:w="399" w:type="pct"/>
                <w:tcBorders>
                  <w:top w:val="single" w:color="auto" w:sz="4" w:space="0"/>
                  <w:left w:val="single" w:color="auto" w:sz="4" w:space="0"/>
                  <w:bottom w:val="single" w:color="auto" w:sz="4" w:space="0"/>
                  <w:right w:val="single" w:color="auto" w:sz="4" w:space="0"/>
                  <w:tl2br w:val="nil"/>
                  <w:tr2bl w:val="nil"/>
                </w:tcBorders>
                <w:noWrap w:val="0"/>
                <w:tcMar>
                  <w:top w:w="8" w:type="dxa"/>
                  <w:left w:w="8" w:type="dxa"/>
                  <w:right w:w="8" w:type="dxa"/>
                </w:tcMar>
                <w:vAlign w:val="top"/>
              </w:tcPr>
              <w:p>
                <w:pPr>
                  <w:numPr>
                    <w:ilvl w:val="0"/>
                    <w:numId w:val="0"/>
                  </w:numPr>
                  <w:spacing w:beforeLines="0" w:afterLines="0"/>
                  <w:rPr>
                    <w:rFonts w:hint="eastAsia"/>
                    <w:sz w:val="21"/>
                  </w:rPr>
                </w:pPr>
                <w:r>
                  <w:rPr>
                    <w:rFonts w:hint="eastAsia"/>
                    <w:sz w:val="21"/>
                  </w:rPr>
                  <w:t>3</w:t>
                </w:r>
              </w:p>
            </w:tc>
          </w:tr>
        </w:tbl>
        <w:p>
          <w:pPr>
            <w:numPr>
              <w:ilvl w:val="0"/>
              <w:numId w:val="0"/>
            </w:numPr>
            <w:spacing w:beforeLines="0" w:afterLines="0"/>
            <w:jc w:val="center"/>
            <w:rPr>
              <w:rFonts w:hint="default"/>
              <w:sz w:val="21"/>
            </w:rPr>
          </w:pPr>
          <w:r>
            <w:rPr>
              <w:rFonts w:hint="eastAsia"/>
              <w:sz w:val="21"/>
            </w:rPr>
            <w:t>图表 8</w:t>
          </w:r>
        </w:p>
        <w:p>
          <w:pPr>
            <w:numPr>
              <w:ilvl w:val="0"/>
              <w:numId w:val="0"/>
            </w:numPr>
            <w:spacing w:beforeLines="0" w:afterLines="0"/>
            <w:rPr>
              <w:rFonts w:hint="eastAsia"/>
              <w:sz w:val="21"/>
            </w:rPr>
          </w:pPr>
        </w:p>
        <w:p>
          <w:pPr>
            <w:numPr>
              <w:ilvl w:val="0"/>
              <w:numId w:val="0"/>
            </w:numPr>
            <w:spacing w:beforeLines="0" w:afterLines="0"/>
            <w:rPr>
              <w:rFonts w:hint="default"/>
              <w:sz w:val="21"/>
            </w:rPr>
          </w:pPr>
          <w:r>
            <w:rPr>
              <w:rFonts w:hint="eastAsia"/>
              <w:sz w:val="21"/>
            </w:rPr>
            <w:t xml:space="preserve">      </w:t>
          </w:r>
          <w:r>
            <w:rPr>
              <w:rFonts w:hint="default"/>
              <w:sz w:val="21"/>
            </w:rPr>
            <w:drawing>
              <wp:inline distT="0" distB="0" distL="114300" distR="114300">
                <wp:extent cx="4581525" cy="2790825"/>
                <wp:effectExtent l="0" t="0" r="0" b="0"/>
                <wp:docPr id="11" name="图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表 2"/>
                        <pic:cNvPicPr>
                          <a:picLocks noChangeAspect="1"/>
                        </pic:cNvPicPr>
                      </pic:nvPicPr>
                      <pic:blipFill>
                        <a:blip r:embed="rId12"/>
                        <a:stretch>
                          <a:fillRect/>
                        </a:stretch>
                      </pic:blipFill>
                      <pic:spPr>
                        <a:xfrm>
                          <a:off x="0" y="0"/>
                          <a:ext cx="4581525" cy="2790825"/>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9</w:t>
          </w:r>
        </w:p>
        <w:p>
          <w:pPr>
            <w:numPr>
              <w:ilvl w:val="0"/>
              <w:numId w:val="0"/>
            </w:numPr>
            <w:spacing w:before="157" w:beforeLines="50" w:after="157" w:afterLines="50"/>
            <w:rPr>
              <w:rFonts w:hint="eastAsia"/>
              <w:b/>
              <w:sz w:val="22"/>
            </w:rPr>
          </w:pPr>
          <w:r>
            <w:rPr>
              <w:rFonts w:hint="eastAsia"/>
              <w:b/>
              <w:sz w:val="22"/>
              <w:lang w:eastAsia="zh-CN"/>
            </w:rPr>
            <w:t>（</w:t>
          </w:r>
          <w:r>
            <w:rPr>
              <w:rFonts w:hint="eastAsia"/>
              <w:b/>
              <w:sz w:val="22"/>
              <w:lang w:val="en-US" w:eastAsia="zh-CN"/>
            </w:rPr>
            <w:t>2</w:t>
          </w:r>
          <w:r>
            <w:rPr>
              <w:rFonts w:hint="eastAsia"/>
              <w:b/>
              <w:sz w:val="22"/>
              <w:lang w:eastAsia="zh-CN"/>
            </w:rPr>
            <w:t>）</w:t>
          </w:r>
          <w:r>
            <w:rPr>
              <w:rFonts w:hint="eastAsia"/>
              <w:b/>
              <w:sz w:val="22"/>
            </w:rPr>
            <w:t>赔偿数额分布</w:t>
          </w:r>
        </w:p>
        <w:p>
          <w:pPr>
            <w:numPr>
              <w:ilvl w:val="0"/>
              <w:numId w:val="0"/>
            </w:numPr>
            <w:spacing w:before="157" w:beforeLines="50" w:after="157" w:afterLines="50"/>
            <w:rPr>
              <w:rFonts w:hint="default"/>
              <w:b/>
              <w:sz w:val="22"/>
            </w:rPr>
          </w:pPr>
          <w:r>
            <w:rPr>
              <w:rFonts w:hint="eastAsia"/>
              <w:b/>
              <w:sz w:val="22"/>
            </w:rPr>
            <w:t xml:space="preserve"> </w:t>
          </w:r>
          <w:r>
            <w:rPr>
              <w:rFonts w:hint="eastAsia"/>
              <w:sz w:val="22"/>
            </w:rPr>
            <w:t xml:space="preserve">  对于具体案件获赔情况，团队将赔偿数额分为不等间隔的区间进行区间段筛选如图表10-12，可得知约有50%获赔案件的赔偿数额在1w以下，赔偿数额在5w以下的约为59%，10-20w、40-100w分别约为13%、12%，占比相对中等，而高数额段100w以上的仅占比3%，其中150w以上的可忽略不计。</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700"/>
            <w:gridCol w:w="737"/>
            <w:gridCol w:w="795"/>
            <w:gridCol w:w="857"/>
            <w:gridCol w:w="857"/>
            <w:gridCol w:w="857"/>
            <w:gridCol w:w="963"/>
            <w:gridCol w:w="1070"/>
            <w:gridCol w:w="1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赔偿数额</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&lt;1w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1-5w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6-10w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10-20w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20-30w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30-40w</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40-100w</w:t>
                </w:r>
              </w:p>
            </w:tc>
            <w:tc>
              <w:tcPr>
                <w:tcW w:w="85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100-150w</w:t>
                </w:r>
              </w:p>
            </w:tc>
            <w:tc>
              <w:tcPr>
                <w:tcW w:w="85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400-500w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案件数</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247</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42</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21</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63</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22</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19</w:t>
                </w:r>
              </w:p>
            </w:tc>
            <w:tc>
              <w:tcPr>
                <w:tcW w:w="852"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57</w:t>
                </w:r>
              </w:p>
            </w:tc>
            <w:tc>
              <w:tcPr>
                <w:tcW w:w="85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17</w:t>
                </w:r>
              </w:p>
            </w:tc>
            <w:tc>
              <w:tcPr>
                <w:tcW w:w="85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r>
                  <w:rPr>
                    <w:rFonts w:hint="eastAsia"/>
                    <w:sz w:val="21"/>
                  </w:rPr>
                  <w:t>2</w:t>
                </w:r>
              </w:p>
            </w:tc>
          </w:tr>
        </w:tbl>
        <w:p>
          <w:pPr>
            <w:numPr>
              <w:ilvl w:val="0"/>
              <w:numId w:val="0"/>
            </w:numPr>
            <w:spacing w:beforeLines="0" w:afterLines="0"/>
            <w:jc w:val="center"/>
            <w:rPr>
              <w:rFonts w:hint="eastAsia"/>
              <w:sz w:val="21"/>
            </w:rPr>
          </w:pPr>
          <w:r>
            <w:rPr>
              <w:rFonts w:hint="eastAsia"/>
              <w:sz w:val="21"/>
            </w:rPr>
            <w:t>图表 10</w:t>
          </w:r>
        </w:p>
        <w:p>
          <w:pPr>
            <w:numPr>
              <w:ilvl w:val="0"/>
              <w:numId w:val="0"/>
            </w:numPr>
            <w:spacing w:beforeLines="0" w:afterLines="0"/>
            <w:rPr>
              <w:rFonts w:hint="eastAsia"/>
              <w:sz w:val="21"/>
            </w:rPr>
          </w:pPr>
          <w:r>
            <w:rPr>
              <w:rFonts w:hint="eastAsia"/>
              <w:sz w:val="21"/>
            </w:rPr>
            <w:t xml:space="preserve">     </w:t>
          </w:r>
        </w:p>
        <w:p>
          <w:pPr>
            <w:numPr>
              <w:ilvl w:val="0"/>
              <w:numId w:val="0"/>
            </w:numPr>
            <w:spacing w:beforeLines="0" w:afterLines="0"/>
            <w:rPr>
              <w:rFonts w:hint="default"/>
              <w:sz w:val="21"/>
            </w:rPr>
          </w:pPr>
          <w:r>
            <w:rPr>
              <w:rFonts w:hint="default"/>
              <w:sz w:val="21"/>
            </w:rPr>
            <w:object>
              <v:shape id="_x0000_i1025" o:spt="75" type="#_x0000_t75" style="height:238.7pt;width:393.15pt;" o:ole="t" filled="f" o:preferrelative="t" stroked="f" coordsize="21600,21600">
                <v:path/>
                <v:fill on="f" focussize="0,0"/>
                <v:stroke on="f"/>
                <v:imagedata r:id="rId14" o:title=""/>
                <o:lock v:ext="edit" aspectratio="t"/>
                <w10:wrap type="none"/>
                <w10:anchorlock/>
              </v:shape>
              <o:OLEObject Type="Embed" ProgID="Excel.Chart.8" ShapeID="_x0000_i1025" DrawAspect="Content" ObjectID="_1468075725" r:id="rId13">
                <o:LockedField>false</o:LockedField>
              </o:OLEObject>
            </w:object>
          </w:r>
        </w:p>
        <w:p>
          <w:pPr>
            <w:numPr>
              <w:ilvl w:val="0"/>
              <w:numId w:val="0"/>
            </w:numPr>
            <w:spacing w:beforeLines="0" w:afterLines="0"/>
            <w:jc w:val="center"/>
            <w:rPr>
              <w:rFonts w:hint="default"/>
              <w:sz w:val="21"/>
            </w:rPr>
          </w:pPr>
          <w:r>
            <w:rPr>
              <w:rFonts w:hint="eastAsia"/>
              <w:sz w:val="21"/>
            </w:rPr>
            <w:t>图表 11</w:t>
          </w:r>
        </w:p>
        <w:p>
          <w:pPr>
            <w:numPr>
              <w:ilvl w:val="0"/>
              <w:numId w:val="0"/>
            </w:numPr>
            <w:spacing w:beforeLines="0" w:afterLines="0"/>
            <w:jc w:val="center"/>
            <w:rPr>
              <w:rFonts w:hint="default"/>
              <w:sz w:val="21"/>
            </w:rPr>
          </w:pPr>
        </w:p>
        <w:p>
          <w:pPr>
            <w:numPr>
              <w:ilvl w:val="0"/>
              <w:numId w:val="0"/>
            </w:numPr>
            <w:spacing w:beforeLines="0" w:afterLines="0"/>
            <w:rPr>
              <w:rFonts w:hint="default"/>
              <w:sz w:val="21"/>
            </w:rPr>
          </w:pPr>
          <w:r>
            <w:rPr>
              <w:rFonts w:hint="eastAsia"/>
              <w:sz w:val="21"/>
            </w:rPr>
            <w:t xml:space="preserve">   </w:t>
          </w:r>
          <w:r>
            <w:rPr>
              <w:rFonts w:hint="default"/>
              <w:sz w:val="21"/>
            </w:rPr>
            <w:drawing>
              <wp:inline distT="0" distB="0" distL="114300" distR="114300">
                <wp:extent cx="4827270" cy="3270885"/>
                <wp:effectExtent l="0" t="0" r="1905" b="0"/>
                <wp:docPr id="8" name="图片 86"/>
                <wp:cNvGraphicFramePr/>
                <a:graphic xmlns:a="http://schemas.openxmlformats.org/drawingml/2006/main">
                  <a:graphicData uri="http://schemas.openxmlformats.org/drawingml/2006/picture">
                    <pic:pic xmlns:pic="http://schemas.openxmlformats.org/drawingml/2006/picture">
                      <pic:nvPicPr>
                        <pic:cNvPr id="8" name="图片 86"/>
                        <pic:cNvPicPr/>
                      </pic:nvPicPr>
                      <pic:blipFill>
                        <a:blip r:embed="rId15"/>
                        <a:stretch>
                          <a:fillRect/>
                        </a:stretch>
                      </pic:blipFill>
                      <pic:spPr>
                        <a:xfrm>
                          <a:off x="0" y="0"/>
                          <a:ext cx="4827270" cy="3270885"/>
                        </a:xfrm>
                        <a:prstGeom prst="rect">
                          <a:avLst/>
                        </a:prstGeom>
                        <a:noFill/>
                        <a:ln>
                          <a:noFill/>
                        </a:ln>
                      </pic:spPr>
                    </pic:pic>
                  </a:graphicData>
                </a:graphic>
              </wp:inline>
            </w:drawing>
          </w:r>
        </w:p>
        <w:p>
          <w:pPr>
            <w:numPr>
              <w:ilvl w:val="0"/>
              <w:numId w:val="0"/>
            </w:numPr>
            <w:spacing w:beforeLines="0" w:afterLines="0"/>
            <w:jc w:val="center"/>
            <w:rPr>
              <w:rFonts w:hint="default"/>
              <w:sz w:val="21"/>
            </w:rPr>
          </w:pPr>
          <w:r>
            <w:rPr>
              <w:rFonts w:hint="eastAsia"/>
              <w:sz w:val="21"/>
            </w:rPr>
            <w:t>图表 12</w:t>
          </w:r>
        </w:p>
        <w:p>
          <w:pPr>
            <w:numPr>
              <w:ilvl w:val="0"/>
              <w:numId w:val="0"/>
            </w:numPr>
            <w:spacing w:before="157" w:beforeLines="50" w:after="157" w:afterLines="50"/>
            <w:rPr>
              <w:rFonts w:hint="eastAsia"/>
              <w:sz w:val="21"/>
            </w:rPr>
          </w:pPr>
          <w:r>
            <w:rPr>
              <w:rFonts w:hint="eastAsia"/>
              <w:b/>
              <w:sz w:val="22"/>
              <w:lang w:eastAsia="zh-CN"/>
            </w:rPr>
            <w:t>（</w:t>
          </w:r>
          <w:r>
            <w:rPr>
              <w:rFonts w:hint="eastAsia"/>
              <w:b/>
              <w:sz w:val="22"/>
              <w:lang w:val="en-US" w:eastAsia="zh-CN"/>
            </w:rPr>
            <w:t>3</w:t>
          </w:r>
          <w:r>
            <w:rPr>
              <w:rFonts w:hint="eastAsia"/>
              <w:b/>
              <w:sz w:val="22"/>
              <w:lang w:eastAsia="zh-CN"/>
            </w:rPr>
            <w:t>）</w:t>
          </w:r>
          <w:r>
            <w:rPr>
              <w:rFonts w:hint="eastAsia"/>
              <w:b/>
              <w:sz w:val="22"/>
            </w:rPr>
            <w:t>《蒙特利尔公约》规定</w:t>
          </w:r>
        </w:p>
        <w:p>
          <w:pPr>
            <w:numPr>
              <w:ilvl w:val="0"/>
              <w:numId w:val="0"/>
            </w:numPr>
            <w:spacing w:before="157" w:beforeLines="50" w:after="157" w:afterLines="50"/>
            <w:rPr>
              <w:rFonts w:hint="default"/>
              <w:sz w:val="21"/>
            </w:rPr>
          </w:pPr>
          <w:r>
            <w:rPr>
              <w:rFonts w:hint="eastAsia"/>
              <w:b/>
              <w:sz w:val="22"/>
            </w:rPr>
            <w:t xml:space="preserve">   </w:t>
          </w:r>
          <w:r>
            <w:rPr>
              <w:rFonts w:hint="eastAsia"/>
              <w:sz w:val="22"/>
            </w:rPr>
            <w:t>团队对国际公约责任限额的有关规定进行了梳理，并对具体数额限制依据不同情形做了区分，对于有关排除限制的情形也做了归纳。结合上述对赔偿范围、赔偿数额相关内容的分析，我们可以得知，尽管《蒙特利尔公约》规定了相关责任限额在</w:t>
          </w:r>
          <w:r>
            <w:rPr>
              <w:rFonts w:hint="default"/>
              <w:sz w:val="21"/>
            </w:rPr>
            <w:t>4</w:t>
          </w:r>
          <w:r>
            <w:rPr>
              <w:rFonts w:hint="eastAsia"/>
              <w:sz w:val="21"/>
            </w:rPr>
            <w:t>，150特别提款权为限（38646元）以下，但实际案件的赔偿，约有41%是超过此限额的；结合排除限额的规定，我们可以得知影响赔偿数额的关键因素在于承运人、其受雇人或者代理人存在主观过错，或者旅客事前已经声明了金额。</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8"/>
            <w:gridCol w:w="233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b/>
                    <w:sz w:val="22"/>
                  </w:rPr>
                </w:pPr>
                <w:r>
                  <w:rPr>
                    <w:rFonts w:hint="eastAsia"/>
                    <w:b/>
                    <w:sz w:val="22"/>
                  </w:rPr>
                  <w:t>具体情形</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b/>
                    <w:sz w:val="22"/>
                  </w:rPr>
                </w:pPr>
                <w:r>
                  <w:rPr>
                    <w:rFonts w:hint="eastAsia"/>
                    <w:b/>
                    <w:sz w:val="22"/>
                  </w:rPr>
                  <w:t>责任限额</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b/>
                    <w:sz w:val="22"/>
                  </w:rPr>
                </w:pPr>
                <w:r>
                  <w:rPr>
                    <w:rFonts w:hint="eastAsia"/>
                    <w:b/>
                    <w:sz w:val="22"/>
                  </w:rPr>
                  <w:t>排除限制的情形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延误造成损失的</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对每名旅客的责任以4，150特别提款权为限（38646元）；以62，500货币单位（449375元）为限。</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损失是由于承运人、其受雇人或者代理人的故意或者明知可能造成损失而轻率地作为或者不作为造成的。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行李在运输中造成毁灭、遗失、损坏或者延误</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21"/>
                  </w:rPr>
                  <w:t>1</w:t>
                </w:r>
                <w:r>
                  <w:rPr>
                    <w:rFonts w:hint="eastAsia"/>
                    <w:sz w:val="21"/>
                  </w:rPr>
                  <w:t>，000特别提款权为限；以15，000货币单位为限。【货币单位相当于含有千分之九百纯度的六十五点五毫克的黄金（1法郎）】</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除非旅客在向承运人交运托运行李时除承运人证明旅客声明的金额高于在目的地点交付时旅客的实际利益外；（2）损失是由于承运人、其受雇人或者代理人的故意或者明知可能造成损失而轻率地作为或者不作为造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货物运输中造成毁灭、遗失、损坏或者延误的</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承运人的责任以每名旅客1，000特别提款权为限；以每公斤250货币单位为限。</w:t>
                </w:r>
              </w:p>
            </w:tc>
            <w:tc>
              <w:tcPr>
                <w:tcW w:w="23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除非旅客在向承运人交运托运行李时除承运人证明旅客声明的金额高于在目的地点交付时旅客的实际利益外。</w:t>
                </w:r>
              </w:p>
            </w:tc>
          </w:tr>
        </w:tbl>
        <w:p>
          <w:pPr>
            <w:numPr>
              <w:ilvl w:val="0"/>
              <w:numId w:val="0"/>
            </w:numPr>
            <w:spacing w:beforeLines="0" w:afterLines="0"/>
            <w:jc w:val="center"/>
            <w:rPr>
              <w:rFonts w:hint="default"/>
              <w:sz w:val="21"/>
            </w:rPr>
          </w:pPr>
          <w:r>
            <w:rPr>
              <w:rFonts w:hint="eastAsia"/>
              <w:sz w:val="21"/>
            </w:rPr>
            <w:t>图表 13</w:t>
          </w:r>
        </w:p>
        <w:p>
          <w:pPr>
            <w:numPr>
              <w:ilvl w:val="0"/>
              <w:numId w:val="0"/>
            </w:numPr>
            <w:spacing w:before="157" w:beforeLines="50" w:after="157" w:afterLines="50"/>
            <w:rPr>
              <w:rFonts w:hint="default"/>
              <w:b/>
              <w:sz w:val="24"/>
            </w:rPr>
          </w:pPr>
          <w:r>
            <w:rPr>
              <w:rFonts w:hint="eastAsia"/>
              <w:b/>
              <w:sz w:val="24"/>
              <w:lang w:val="en-US" w:eastAsia="zh-CN"/>
            </w:rPr>
            <w:t>3、</w:t>
          </w:r>
          <w:r>
            <w:rPr>
              <w:rFonts w:hint="eastAsia"/>
              <w:b/>
              <w:sz w:val="24"/>
            </w:rPr>
            <w:t>适用法律法规分析</w:t>
          </w:r>
        </w:p>
        <w:p>
          <w:pPr>
            <w:numPr>
              <w:ilvl w:val="0"/>
              <w:numId w:val="0"/>
            </w:numPr>
            <w:spacing w:beforeLines="0" w:afterLines="0"/>
            <w:ind w:firstLine="420" w:firstLineChars="200"/>
            <w:rPr>
              <w:rFonts w:hint="default"/>
              <w:sz w:val="21"/>
            </w:rPr>
          </w:pPr>
          <w:r>
            <w:rPr>
              <w:rFonts w:hint="eastAsia"/>
              <w:sz w:val="21"/>
            </w:rPr>
            <w:t>在审理涉及航空领域的侵权案件时，法院可以引用的常见法律法规如下：包含《统一国际航空运输某些规则的公约》、《国内航空运输承运人赔偿责任限额规定》、《中华人民共和国民用航空法》、《通用航空飞行管制条例》、《国内航空运输承运人赔偿限额规定》、《中国民用航空旅客、行李国内运输规则》、《统一国际航空运输某些规则的公约（1929年华沙公约）》、《统一国际航空运输某些规则的公约（1999年蒙特利尔公约）》、《统一非缔约承运人从事国际航空运输某些规则以补充华沙公约的公约（1961年瓜达拉哈拉公约）》、《国际民用航空公约（1944年芝加哥公约）》、《民航总局关于国内航空公司因自身原因造成航班延误给予旅客经济补偿的指导意见（试行）》、《统一国际航空运输某些规则的公约》、《海牙议定书》等。</w:t>
          </w:r>
        </w:p>
        <w:p>
          <w:pPr>
            <w:numPr>
              <w:ilvl w:val="0"/>
              <w:numId w:val="0"/>
            </w:numPr>
            <w:spacing w:beforeLines="0" w:afterLines="0"/>
            <w:ind w:firstLine="420" w:firstLineChars="200"/>
            <w:rPr>
              <w:rFonts w:hint="eastAsia"/>
              <w:sz w:val="21"/>
            </w:rPr>
          </w:pPr>
          <w:r>
            <w:rPr>
              <w:rFonts w:hint="eastAsia"/>
              <w:sz w:val="21"/>
            </w:rPr>
            <w:t>在查阅现有判例时，团队对法院所依据的法律法规进行整理如图表13，从中我们可以发现，在涉及民用航空货物运输案件的审判中，除了《中华人民共和国民用航空法》、《国内航空运输承运人赔偿限额规定》、《中国民用航空货物国际运输规则》、《统一国际航空运输某些规则的公约（1999年蒙特利尔公约）》外，有关民事诉讼程序、涉外程序的规定如最高人民法院《关于适用&lt;中华人民共和国民事诉讼法&gt;的解释》、《中华人民共和国涉外民事关系法律适用法》、《最高人民法院关于审理涉外民事或商事合同纠纷案件法律适用若干问题的规定》等，甚至于特殊的行业规则《快递服务行业标准》、一些地方法院的批复也会被法院用作审判时的依据。</w:t>
          </w:r>
        </w:p>
        <w:p>
          <w:pPr>
            <w:numPr>
              <w:ilvl w:val="0"/>
              <w:numId w:val="0"/>
            </w:numPr>
            <w:spacing w:before="157" w:beforeLines="50" w:after="157" w:afterLines="50"/>
            <w:rPr>
              <w:rFonts w:hint="default"/>
              <w:sz w:val="21"/>
            </w:rPr>
          </w:pPr>
          <w:r>
            <w:rPr>
              <w:rFonts w:hint="eastAsia"/>
              <w:b/>
              <w:sz w:val="21"/>
              <w:lang w:eastAsia="zh-CN"/>
            </w:rPr>
            <w:t>（</w:t>
          </w:r>
          <w:r>
            <w:rPr>
              <w:rFonts w:hint="eastAsia"/>
              <w:b/>
              <w:sz w:val="21"/>
              <w:lang w:val="en-US" w:eastAsia="zh-CN"/>
            </w:rPr>
            <w:t>1</w:t>
          </w:r>
          <w:r>
            <w:rPr>
              <w:rFonts w:hint="eastAsia"/>
              <w:b/>
              <w:sz w:val="21"/>
              <w:lang w:eastAsia="zh-CN"/>
            </w:rPr>
            <w:t>）</w:t>
          </w:r>
          <w:r>
            <w:rPr>
              <w:rFonts w:hint="eastAsia"/>
              <w:b/>
              <w:sz w:val="21"/>
            </w:rPr>
            <w:t>适用法律法规总体分析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2"/>
            <w:gridCol w:w="2944"/>
            <w:gridCol w:w="685"/>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b/>
                    <w:sz w:val="21"/>
                  </w:rPr>
                  <w:t>适用法律法规</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b/>
                    <w:sz w:val="21"/>
                  </w:rPr>
                </w:pPr>
                <w:r>
                  <w:rPr>
                    <w:rFonts w:hint="eastAsia"/>
                    <w:b/>
                    <w:sz w:val="21"/>
                  </w:rPr>
                  <w:t>案件数</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b/>
                    <w:sz w:val="21"/>
                  </w:rPr>
                </w:pPr>
                <w:r>
                  <w:rPr>
                    <w:rFonts w:hint="eastAsia"/>
                    <w:b/>
                    <w:sz w:val="21"/>
                  </w:rPr>
                  <w:t>适用条款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eastAsia"/>
                    <w:sz w:val="21"/>
                  </w:rPr>
                </w:pPr>
              </w:p>
              <w:p>
                <w:pPr>
                  <w:numPr>
                    <w:ilvl w:val="0"/>
                    <w:numId w:val="0"/>
                  </w:numPr>
                  <w:spacing w:beforeLines="0" w:afterLines="0"/>
                  <w:jc w:val="center"/>
                  <w:rPr>
                    <w:rFonts w:hint="default"/>
                    <w:sz w:val="21"/>
                  </w:rPr>
                </w:pPr>
                <w:r>
                  <w:rPr>
                    <w:rFonts w:hint="eastAsia"/>
                    <w:sz w:val="21"/>
                  </w:rPr>
                  <w:t>国内法律法规</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《中华人民共和国民法通则》</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61</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142条准据法规定；84条债权人权利；5、57条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《中华人民共和国民事诉讼法》</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1270</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48、200-205、54-58、143-147条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《中华人民共和国合同法》</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462</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288-313条、94-108条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《中华人民共和国民用航空法》</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98</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113条、119-125条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关于贯彻执行《中华人民共和国民法通则》若干问题的意见</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2</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178条对涉外案件性质规定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《中国民用航空货物国际运输规则》</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35</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第43条的规定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中华人民共和国民法总则</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1</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195条诉讼时效规定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最高人民法院《关于民事诉讼证据的若干规定》</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82</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64条、69条原件的提供、60条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《中华人民共和国涉外民事关系法律适用法》</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60</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41条准据法的规定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《最高人民法院关于审理买卖合同纠纷案件适用法律问题的解释》</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33</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24条有关利率的确定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《中华人民共和国海关法》</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2</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9、24条单证交付的时间及修改要求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p>
                <w:pPr>
                  <w:numPr>
                    <w:ilvl w:val="0"/>
                    <w:numId w:val="0"/>
                  </w:numPr>
                  <w:spacing w:beforeLines="0" w:afterLines="0"/>
                  <w:rPr>
                    <w:rFonts w:hint="default"/>
                    <w:sz w:val="21"/>
                  </w:rPr>
                </w:pPr>
                <w:r>
                  <w:rPr>
                    <w:rFonts w:hint="eastAsia"/>
                    <w:sz w:val="21"/>
                  </w:rPr>
                  <w:t>国际条约及通用规则</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国际贸易术语解释通则</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3</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default"/>
                    <w:sz w:val="96"/>
                  </w:rP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27305</wp:posOffset>
                          </wp:positionV>
                          <wp:extent cx="2538730" cy="170815"/>
                          <wp:effectExtent l="635" t="4445" r="3810" b="5715"/>
                          <wp:wrapNone/>
                          <wp:docPr id="13" name="直线 3"/>
                          <wp:cNvGraphicFramePr/>
                          <a:graphic xmlns:a="http://schemas.openxmlformats.org/drawingml/2006/main">
                            <a:graphicData uri="http://schemas.microsoft.com/office/word/2010/wordprocessingShape">
                              <wps:wsp>
                                <wps:cNvCnPr/>
                                <wps:spPr>
                                  <a:xfrm flipV="1">
                                    <a:off x="0" y="0"/>
                                    <a:ext cx="2538730" cy="1708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flip:y;margin-left:-5.2pt;margin-top:2.15pt;height:13.45pt;width:199.9pt;z-index:251659264;mso-width-relative:page;mso-height-relative:page;" filled="f" stroked="t" coordsize="21600,21600" o:gfxdata="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3FKLB1gAAAAgBAAAPAAAAAAAAAAEAIAAAACIAAABkcnMvZG93bnJldi54bWxQSwECFAAU&#10;AAAACACHTuJAFGOwlPMBAADrAwAADgAAAAAAAAABACAAAAAlAQAAZHJzL2Uyb0RvYy54bWxQSwUG&#10;AAAAAAYABgBZAQAAigUAAAAA&#10;">
                          <v:fill on="f" focussize="0,0"/>
                          <v:stroke color="#000000" joinstyle="round"/>
                          <v:imagedata o:title=""/>
                          <o:lock v:ext="edit" aspectratio="f"/>
                        </v:lin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《统一国际航空运输某些规则的公约（1999年蒙特利尔公约）》</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34</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第4条，即“就货物运输而言，应当出具航空货运单”；第1条；第55条的规定，该公约优先适用国际航空运输所适用的任何规则包括华沙公约。22条、12-15条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《统一国际航空运输某些规则的公约（1929年华沙公约）》</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p>
                <w:pPr>
                  <w:numPr>
                    <w:ilvl w:val="0"/>
                    <w:numId w:val="0"/>
                  </w:numPr>
                  <w:spacing w:beforeLines="0" w:afterLines="0"/>
                  <w:rPr>
                    <w:rFonts w:hint="default"/>
                    <w:sz w:val="21"/>
                  </w:rPr>
                </w:pPr>
                <w:r>
                  <w:rPr>
                    <w:rFonts w:hint="eastAsia"/>
                    <w:sz w:val="21"/>
                  </w:rPr>
                  <w:t>地方法院批复及行业标准</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快递服务行业标准</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1</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default"/>
                    <w:sz w:val="96"/>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22860</wp:posOffset>
                          </wp:positionV>
                          <wp:extent cx="2574290" cy="152400"/>
                          <wp:effectExtent l="0" t="4445" r="6985" b="5080"/>
                          <wp:wrapNone/>
                          <wp:docPr id="6" name="直线 4"/>
                          <wp:cNvGraphicFramePr/>
                          <a:graphic xmlns:a="http://schemas.openxmlformats.org/drawingml/2006/main">
                            <a:graphicData uri="http://schemas.microsoft.com/office/word/2010/wordprocessingShape">
                              <wps:wsp>
                                <wps:cNvCnPr/>
                                <wps:spPr>
                                  <a:xfrm flipV="1">
                                    <a:off x="0" y="0"/>
                                    <a:ext cx="2574290" cy="1524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flip:y;margin-left:-4.55pt;margin-top:1.8pt;height:12pt;width:202.7pt;z-index:251660288;mso-width-relative:page;mso-height-relative:page;" filled="f" stroked="t" coordsize="21600,21600" o:gfxdata="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u45tUAAAAHAQAADwAAAAAAAAABACAAAAAiAAAAZHJzL2Rvd25yZXYueG1sUEsBAhQA&#10;FAAAAAgAh07iQK6HuaL1AQAA6gMAAA4AAAAAAAAAAQAgAAAAJAEAAGRycy9lMm9Eb2MueG1sUEsF&#10;BgAAAAAGAAYAWQEAAIsFAAAAAA==&#10;">
                          <v:fill on="f" focussize="0,0"/>
                          <v:stroke color="#000000" joinstyle="round"/>
                          <v:imagedata o:title=""/>
                          <o:lock v:ext="edit" aspectratio="f"/>
                        </v:lin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sz w:val="21"/>
                  </w:rPr>
                </w:pP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《广东省高级人民法院关于指定深圳前海合作区人民法院集中管辖深圳市辖区一审涉外、涉港澳台商事案件的批复》</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96"/>
                  </w:rPr>
                  <mc:AlternateContent>
                    <mc:Choice Requires="wps">
                      <w:drawing>
                        <wp:anchor distT="0" distB="0" distL="114300" distR="114300" simplePos="0" relativeHeight="251661312" behindDoc="0" locked="0" layoutInCell="1" allowOverlap="1">
                          <wp:simplePos x="0" y="0"/>
                          <wp:positionH relativeFrom="column">
                            <wp:posOffset>353695</wp:posOffset>
                          </wp:positionH>
                          <wp:positionV relativeFrom="paragraph">
                            <wp:posOffset>33655</wp:posOffset>
                          </wp:positionV>
                          <wp:extent cx="2567305" cy="953135"/>
                          <wp:effectExtent l="1905" t="4445" r="2540" b="4445"/>
                          <wp:wrapNone/>
                          <wp:docPr id="10" name="直线 6"/>
                          <wp:cNvGraphicFramePr/>
                          <a:graphic xmlns:a="http://schemas.openxmlformats.org/drawingml/2006/main">
                            <a:graphicData uri="http://schemas.microsoft.com/office/word/2010/wordprocessingShape">
                              <wps:wsp>
                                <wps:cNvCnPr/>
                                <wps:spPr>
                                  <a:xfrm flipV="1">
                                    <a:off x="0" y="0"/>
                                    <a:ext cx="2567305" cy="9531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flip:y;margin-left:27.85pt;margin-top:2.65pt;height:75.05pt;width:202.15pt;z-index:251661312;mso-width-relative:page;mso-height-relative:page;" filled="f" stroked="t" coordsize="21600,21600" o:gfxdata="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eLGJtcAAAAIAQAADwAAAAAAAAABACAAAAAiAAAAZHJzL2Rvd25yZXYueG1sUEsBAhQAFAAA&#10;AAgAh07iQOlSLhzwAQAA6wMAAA4AAAAAAAAAAQAgAAAAJgEAAGRycy9lMm9Eb2MueG1sUEsFBgAA&#10;AAAGAAYAWQEAAIgFAAAAAA==&#10;">
                          <v:fill on="f" focussize="0,0"/>
                          <v:stroke color="#000000" joinstyle="round"/>
                          <v:imagedata o:title=""/>
                          <o:lock v:ext="edit" aspectratio="f"/>
                        </v:line>
                      </w:pict>
                    </mc:Fallback>
                  </mc:AlternateContent>
                </w:r>
                <w:r>
                  <w:rPr>
                    <w:rFonts w:hint="eastAsia"/>
                    <w:sz w:val="21"/>
                  </w:rPr>
                  <w:t>6</w:t>
                </w:r>
              </w:p>
            </w:tc>
            <w:tc>
              <w:tcPr>
                <w:tcW w:w="0" w:type="auto"/>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ind w:firstLine="210" w:firstLineChars="100"/>
                  <w:jc w:val="center"/>
                  <w:rPr>
                    <w:rFonts w:hint="eastAsia"/>
                    <w:sz w:val="21"/>
                  </w:rPr>
                </w:pPr>
              </w:p>
            </w:tc>
          </w:tr>
        </w:tbl>
        <w:p>
          <w:pPr>
            <w:numPr>
              <w:ilvl w:val="0"/>
              <w:numId w:val="0"/>
            </w:numPr>
            <w:spacing w:beforeLines="0" w:afterLines="0"/>
            <w:jc w:val="center"/>
            <w:rPr>
              <w:rFonts w:hint="default"/>
              <w:sz w:val="21"/>
            </w:rPr>
          </w:pPr>
          <w:r>
            <w:rPr>
              <w:rFonts w:hint="eastAsia"/>
              <w:sz w:val="21"/>
            </w:rPr>
            <w:t>图表 14</w:t>
          </w:r>
        </w:p>
        <w:p>
          <w:pPr>
            <w:numPr>
              <w:ilvl w:val="0"/>
              <w:numId w:val="0"/>
            </w:numPr>
            <w:spacing w:before="157" w:beforeLines="50" w:after="157" w:afterLines="50"/>
            <w:rPr>
              <w:rFonts w:hint="default"/>
              <w:sz w:val="21"/>
            </w:rPr>
          </w:pPr>
          <w:r>
            <w:rPr>
              <w:rFonts w:hint="eastAsia"/>
              <w:b/>
              <w:sz w:val="21"/>
              <w:lang w:eastAsia="zh-CN"/>
            </w:rPr>
            <w:t>（</w:t>
          </w:r>
          <w:r>
            <w:rPr>
              <w:rFonts w:hint="eastAsia"/>
              <w:b/>
              <w:sz w:val="21"/>
              <w:lang w:val="en-US" w:eastAsia="zh-CN"/>
            </w:rPr>
            <w:t>2</w:t>
          </w:r>
          <w:r>
            <w:rPr>
              <w:rFonts w:hint="eastAsia"/>
              <w:b/>
              <w:sz w:val="21"/>
              <w:lang w:eastAsia="zh-CN"/>
            </w:rPr>
            <w:t>）</w:t>
          </w:r>
          <w:r>
            <w:rPr>
              <w:rFonts w:hint="eastAsia"/>
              <w:b/>
              <w:sz w:val="21"/>
            </w:rPr>
            <w:t>适用《蒙特利尔公约》主要条款分析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b/>
                    <w:sz w:val="21"/>
                  </w:rPr>
                  <w:t>适用《蒙特利尔公约》主要条款</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b/>
                    <w:sz w:val="21"/>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第一条“适用范围”规定</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21"/>
                  </w:rPr>
                  <w:t>“</w:t>
                </w:r>
                <w:r>
                  <w:rPr>
                    <w:rFonts w:hint="eastAsia"/>
                    <w:sz w:val="21"/>
                  </w:rPr>
                  <w:t>一、本公约适用于所有以航空器运送人员、行李或者货物而收取报酬的国际运输。本公约同样适用于航空运输企业以航空器履行的免费运输。二、就本公约而言，‘国际运输’系指根据当事人的约定，不论在运输中有无间断或者转运，其出发地点和目的地点是在两个当事国的领土内，或者在一个当事国的领土内，而在另一国的领土内有一个约定的经停地点的任何运输，即使该国为非当事国。就本公约而言，在一个当事国的领土内两个地点之间的运输，而在另一国的领土内没有约定的经停地点的，不是国际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第十二条</w:t>
                </w:r>
              </w:p>
              <w:p>
                <w:pPr>
                  <w:numPr>
                    <w:ilvl w:val="0"/>
                    <w:numId w:val="0"/>
                  </w:numPr>
                  <w:spacing w:beforeLines="0" w:afterLines="0"/>
                  <w:jc w:val="center"/>
                  <w:rPr>
                    <w:rFonts w:hint="default"/>
                    <w:sz w:val="21"/>
                  </w:rPr>
                </w:pPr>
                <w:r>
                  <w:rPr>
                    <w:rFonts w:hint="eastAsia"/>
                    <w:sz w:val="21"/>
                  </w:rPr>
                  <w:t>（《中华人民共和国民用航空法》第一百一十九条）</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收件人向被上诉人支付运费应为其二者之间的约定，上诉人没有参与。被上诉人在没有收到运费的情况下，应当及时通知托运人，其怠于履行通知义务，应由其承担责任。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第十三条第一款</w:t>
                </w:r>
              </w:p>
              <w:p>
                <w:pPr>
                  <w:numPr>
                    <w:ilvl w:val="0"/>
                    <w:numId w:val="0"/>
                  </w:numPr>
                  <w:spacing w:beforeLines="0" w:afterLines="0"/>
                  <w:jc w:val="center"/>
                  <w:rPr>
                    <w:rFonts w:hint="default"/>
                    <w:sz w:val="21"/>
                  </w:rPr>
                </w:pPr>
                <w:r>
                  <w:rPr>
                    <w:rFonts w:hint="eastAsia"/>
                    <w:sz w:val="21"/>
                  </w:rPr>
                  <w:t>（《中华人民共和国民用航空法》第一百二十条第一款）</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21"/>
                  </w:rPr>
                  <w:t>“</w:t>
                </w:r>
                <w:r>
                  <w:rPr>
                    <w:rFonts w:hint="eastAsia"/>
                    <w:sz w:val="21"/>
                  </w:rPr>
                  <w:t>收货人于货物到达目的地点，并在缴付应付款项和履行航空货运单上所列运输条件后，有权要求承运人移交航空货运单并交付货物”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eastAsia"/>
                    <w:sz w:val="21"/>
                  </w:rPr>
                  <w:t>第十三条第三款</w:t>
                </w:r>
              </w:p>
              <w:p>
                <w:pPr>
                  <w:numPr>
                    <w:ilvl w:val="0"/>
                    <w:numId w:val="0"/>
                  </w:numPr>
                  <w:spacing w:beforeLines="0" w:afterLines="0"/>
                  <w:jc w:val="center"/>
                  <w:rPr>
                    <w:rFonts w:hint="default"/>
                    <w:sz w:val="21"/>
                  </w:rPr>
                </w:pPr>
                <w:r>
                  <w:rPr>
                    <w:rFonts w:hint="eastAsia"/>
                    <w:sz w:val="21"/>
                  </w:rPr>
                  <w:t>（《中华人民共和国民用航空法》第一百二十条第三款则规定）</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21"/>
                  </w:rPr>
                  <w:t>“</w:t>
                </w:r>
                <w:r>
                  <w:rPr>
                    <w:rFonts w:hint="eastAsia"/>
                    <w:sz w:val="21"/>
                  </w:rPr>
                  <w:t>承运人承认货物已经遗失，或者货物在应当到达之日起七日后仍未到达的，收货人有权向承运人行使运输合同所赋予的权利”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eastAsia"/>
                    <w:sz w:val="21"/>
                  </w:rPr>
                </w:pPr>
                <w:r>
                  <w:rPr>
                    <w:rFonts w:hint="eastAsia"/>
                    <w:sz w:val="21"/>
                  </w:rPr>
                  <w:t>第四条</w:t>
                </w:r>
              </w:p>
            </w:tc>
            <w:tc>
              <w:tcPr>
                <w:tcW w:w="426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jc w:val="center"/>
                  <w:rPr>
                    <w:rFonts w:hint="default"/>
                    <w:sz w:val="21"/>
                  </w:rPr>
                </w:pPr>
                <w:r>
                  <w:rPr>
                    <w:rFonts w:hint="default"/>
                    <w:sz w:val="21"/>
                  </w:rPr>
                  <w:t>“</w:t>
                </w:r>
                <w:r>
                  <w:rPr>
                    <w:rFonts w:hint="eastAsia"/>
                    <w:sz w:val="21"/>
                  </w:rPr>
                  <w:t>就货物运输而言，应当出具航空货运单。任何保存将要履行的运输的记录的其他方法都可以用来代替出具航空货运单。”</w:t>
                </w:r>
              </w:p>
            </w:tc>
          </w:tr>
        </w:tbl>
        <w:p>
          <w:pPr>
            <w:numPr>
              <w:ilvl w:val="0"/>
              <w:numId w:val="0"/>
            </w:numPr>
            <w:spacing w:beforeLines="0" w:afterLines="0"/>
            <w:jc w:val="center"/>
            <w:rPr>
              <w:rFonts w:hint="eastAsia"/>
              <w:sz w:val="21"/>
            </w:rPr>
          </w:pPr>
          <w:r>
            <w:rPr>
              <w:rFonts w:hint="eastAsia"/>
              <w:sz w:val="21"/>
            </w:rPr>
            <w:t>图表 15</w:t>
          </w:r>
        </w:p>
        <w:p>
          <w:pPr>
            <w:rPr>
              <w:rFonts w:hint="eastAsia" w:ascii="仿宋_GB2312" w:hAnsi="Times New Roman" w:eastAsia="仿宋_GB2312"/>
              <w:sz w:val="28"/>
            </w:rPr>
          </w:pPr>
          <w:r>
            <w:rPr>
              <w:rFonts w:hint="eastAsia" w:ascii="仿宋_GB2312" w:hAnsi="Times New Roman" w:eastAsia="仿宋_GB2312"/>
              <w:sz w:val="28"/>
              <w:lang w:eastAsia="zh-CN"/>
            </w:rPr>
            <w:t>（</w:t>
          </w:r>
          <w:r>
            <w:rPr>
              <w:rFonts w:hint="eastAsia" w:ascii="仿宋_GB2312" w:hAnsi="Times New Roman" w:eastAsia="仿宋_GB2312"/>
              <w:sz w:val="28"/>
              <w:lang w:val="en-US" w:eastAsia="zh-CN"/>
            </w:rPr>
            <w:t>二</w:t>
          </w:r>
          <w:r>
            <w:rPr>
              <w:rFonts w:hint="eastAsia" w:ascii="仿宋_GB2312" w:hAnsi="Times New Roman" w:eastAsia="仿宋_GB2312"/>
              <w:sz w:val="28"/>
              <w:lang w:eastAsia="zh-CN"/>
            </w:rPr>
            <w:t>）</w:t>
          </w:r>
          <w:r>
            <w:rPr>
              <w:rFonts w:hint="eastAsia" w:ascii="仿宋_GB2312" w:hAnsi="Times New Roman" w:eastAsia="仿宋_GB2312"/>
              <w:sz w:val="28"/>
            </w:rPr>
            <w:t>民用航空</w:t>
          </w:r>
          <w:r>
            <w:rPr>
              <w:rFonts w:hint="eastAsia" w:ascii="仿宋_GB2312" w:hAnsi="Times New Roman" w:eastAsia="仿宋_GB2312"/>
              <w:sz w:val="28"/>
              <w:lang w:val="en-US" w:eastAsia="zh-CN"/>
            </w:rPr>
            <w:t>旅客</w:t>
          </w:r>
          <w:r>
            <w:rPr>
              <w:rFonts w:hint="eastAsia" w:ascii="仿宋_GB2312" w:hAnsi="Times New Roman" w:eastAsia="仿宋_GB2312"/>
              <w:sz w:val="28"/>
            </w:rPr>
            <w:t>运输合同侵权案件获赔情况展示</w:t>
          </w:r>
        </w:p>
        <w:p>
          <w:pPr>
            <w:numPr>
              <w:ilvl w:val="0"/>
              <w:numId w:val="2"/>
            </w:numPr>
            <w:spacing w:beforeLines="0" w:afterLines="0"/>
            <w:rPr>
              <w:rFonts w:hint="default" w:ascii="Times New Roman" w:hAnsi="Times New Roman"/>
              <w:sz w:val="21"/>
            </w:rPr>
          </w:pPr>
          <w:r>
            <w:rPr>
              <w:rFonts w:hint="eastAsia" w:ascii="Times New Roman" w:hAnsi="Times New Roman"/>
              <w:sz w:val="21"/>
            </w:rPr>
            <w:t>争议事由</w:t>
          </w:r>
          <w:r>
            <w:rPr>
              <w:rFonts w:hint="eastAsia" w:ascii="Times New Roman" w:hAnsi="Times New Roman"/>
              <w:sz w:val="21"/>
              <w:lang w:val="en-US" w:eastAsia="zh-CN"/>
            </w:rPr>
            <w:t>分析</w:t>
          </w:r>
        </w:p>
        <w:p>
          <w:pPr>
            <w:numPr>
              <w:ilvl w:val="0"/>
              <w:numId w:val="0"/>
            </w:numPr>
            <w:spacing w:beforeLines="0" w:afterLines="0"/>
            <w:ind w:firstLine="420" w:firstLineChars="200"/>
            <w:rPr>
              <w:rFonts w:hint="default" w:ascii="Times New Roman" w:hAnsi="Times New Roman"/>
              <w:sz w:val="21"/>
            </w:rPr>
          </w:pPr>
          <w:r>
            <w:rPr>
              <w:rFonts w:hint="eastAsia" w:ascii="Times New Roman" w:hAnsi="Times New Roman"/>
              <w:sz w:val="21"/>
            </w:rPr>
            <w:t>我们团队搜集整理到的航空旅客运输合同纠纷案件共236件，涉及到510个争议事由。利用团队共同设计的网站进行有针对性的筛选后，总结出21类争议事由并进行案件数量的统计，其结果如图表1所示。其中，涉及退票的案件有107件，行李引发的诉讼有90件、航班延误相关的案件有73件，对格式条款产生争议的案件有56件，分别占总争议事由数的20.98%、17.65%、14.31%和10.98%。（详见图表2）</w:t>
          </w:r>
        </w:p>
        <w:p>
          <w:pPr>
            <w:numPr>
              <w:ilvl w:val="0"/>
              <w:numId w:val="0"/>
            </w:numPr>
            <w:spacing w:beforeLines="0" w:afterLines="0"/>
            <w:rPr>
              <w:rFonts w:hint="default" w:ascii="Times New Roman" w:hAnsi="Times New Roman"/>
              <w:sz w:val="21"/>
            </w:rPr>
          </w:pPr>
          <w:r>
            <w:rPr>
              <w:rFonts w:hint="eastAsia" w:ascii="Times New Roman" w:hAnsi="Times New Roman"/>
              <w:sz w:val="21"/>
            </w:rPr>
            <w:t xml:space="preserve">   从统计结果来看，目前我国航空旅客运输服务中，旅客退票难问题仍然没有很好的解决方案，由此引发的纠纷占总案件数的45.33%，也即近一半的航空运输合同纠纷都涉及到退票问题。而行李托运中的行李毁损、丢失和延迟等问题也屡见不鲜。除此以外，航班延误、格式条款等问题也依旧困扰着众多旅客。民航产业的发展、公共秩序的维护、广大旅客的权益这三者之间的博弈也使得上述问题变得纷繁复杂，久悬不决。</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376"/>
            <w:gridCol w:w="376"/>
            <w:gridCol w:w="398"/>
            <w:gridCol w:w="435"/>
            <w:gridCol w:w="376"/>
            <w:gridCol w:w="376"/>
            <w:gridCol w:w="376"/>
            <w:gridCol w:w="537"/>
            <w:gridCol w:w="376"/>
            <w:gridCol w:w="376"/>
            <w:gridCol w:w="376"/>
            <w:gridCol w:w="376"/>
            <w:gridCol w:w="376"/>
            <w:gridCol w:w="377"/>
            <w:gridCol w:w="377"/>
            <w:gridCol w:w="377"/>
            <w:gridCol w:w="377"/>
            <w:gridCol w:w="377"/>
            <w:gridCol w:w="377"/>
            <w:gridCol w:w="377"/>
            <w:gridCol w:w="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0" w:hRule="atLeast"/>
            </w:trPr>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争议事由</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担保出票</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联程运输</w:t>
                </w:r>
              </w:p>
            </w:tc>
            <w:tc>
              <w:tcPr>
                <w:tcW w:w="39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退票</w:t>
                </w:r>
              </w:p>
            </w:tc>
            <w:tc>
              <w:tcPr>
                <w:tcW w:w="43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机票冻结</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升舱</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行李</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超售</w:t>
                </w:r>
              </w:p>
            </w:tc>
            <w:tc>
              <w:tcPr>
                <w:tcW w:w="53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共享航班（代码共享）</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管辖权</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航班延误</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误机</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长期不结机票款</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诉讼时效</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特价机票</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积分到期</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泄露信息</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电子行程单的伪造</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格式条款</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合同成立</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合同违约</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合同解除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案件数/件</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4</w:t>
                </w:r>
              </w:p>
            </w:tc>
            <w:tc>
              <w:tcPr>
                <w:tcW w:w="39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107</w:t>
                </w:r>
              </w:p>
            </w:tc>
            <w:tc>
              <w:tcPr>
                <w:tcW w:w="43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90</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14</w:t>
                </w:r>
              </w:p>
            </w:tc>
            <w:tc>
              <w:tcPr>
                <w:tcW w:w="53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9</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73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33</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c>
              <w:tcPr>
                <w:tcW w:w="37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25</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15</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56</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9</w:t>
                </w:r>
              </w:p>
            </w:tc>
            <w:tc>
              <w:tcPr>
                <w:tcW w:w="37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16</w:t>
                </w:r>
              </w:p>
            </w:tc>
          </w:tr>
        </w:tbl>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图表1</w:t>
          </w:r>
        </w:p>
        <w:p>
          <w:pPr>
            <w:numPr>
              <w:ilvl w:val="0"/>
              <w:numId w:val="0"/>
            </w:numPr>
            <w:spacing w:beforeLines="0" w:afterLines="0"/>
            <w:jc w:val="center"/>
            <w:rPr>
              <w:rFonts w:hint="default" w:ascii="Times New Roman" w:hAnsi="Times New Roman"/>
              <w:sz w:val="21"/>
            </w:rPr>
          </w:pPr>
          <w:r>
            <w:rPr>
              <w:rFonts w:hint="default" w:ascii="Times New Roman" w:hAnsi="Times New Roman"/>
              <w:sz w:val="21"/>
            </w:rPr>
            <w:drawing>
              <wp:inline distT="0" distB="0" distL="114300" distR="114300">
                <wp:extent cx="5095875" cy="3819525"/>
                <wp:effectExtent l="0" t="0" r="0" b="0"/>
                <wp:docPr id="16" name="图表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图表 5"/>
                        <pic:cNvPicPr>
                          <a:picLocks noGrp="1" noChangeAspect="1"/>
                        </pic:cNvPicPr>
                      </pic:nvPicPr>
                      <pic:blipFill>
                        <a:blip r:embed="rId16"/>
                        <a:stretch>
                          <a:fillRect/>
                        </a:stretch>
                      </pic:blipFill>
                      <pic:spPr>
                        <a:xfrm>
                          <a:off x="0" y="0"/>
                          <a:ext cx="5095875" cy="3819525"/>
                        </a:xfrm>
                        <a:prstGeom prst="rect">
                          <a:avLst/>
                        </a:prstGeom>
                        <a:noFill/>
                        <a:ln>
                          <a:noFill/>
                        </a:ln>
                      </pic:spPr>
                    </pic:pic>
                  </a:graphicData>
                </a:graphic>
              </wp:inline>
            </w:drawing>
          </w:r>
        </w:p>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图表2</w:t>
          </w:r>
        </w:p>
        <w:p>
          <w:pPr>
            <w:numPr>
              <w:ilvl w:val="0"/>
              <w:numId w:val="0"/>
            </w:numPr>
            <w:spacing w:beforeLines="0" w:afterLines="0"/>
            <w:jc w:val="center"/>
            <w:rPr>
              <w:rFonts w:hint="default" w:ascii="Times New Roman" w:hAnsi="Times New Roman"/>
              <w:sz w:val="21"/>
            </w:rPr>
          </w:pPr>
        </w:p>
        <w:p>
          <w:pPr>
            <w:numPr>
              <w:ilvl w:val="0"/>
              <w:numId w:val="2"/>
            </w:numPr>
            <w:spacing w:beforeLines="0" w:afterLines="0"/>
            <w:rPr>
              <w:rFonts w:hint="default" w:ascii="Times New Roman" w:hAnsi="Times New Roman"/>
              <w:sz w:val="21"/>
            </w:rPr>
          </w:pPr>
          <w:r>
            <w:rPr>
              <w:rFonts w:hint="eastAsia" w:ascii="Times New Roman" w:hAnsi="Times New Roman"/>
              <w:sz w:val="21"/>
            </w:rPr>
            <w:t>赔偿数额</w:t>
          </w:r>
          <w:r>
            <w:rPr>
              <w:rFonts w:hint="eastAsia" w:ascii="Times New Roman" w:hAnsi="Times New Roman"/>
              <w:sz w:val="21"/>
              <w:lang w:val="en-US" w:eastAsia="zh-CN"/>
            </w:rPr>
            <w:t>分析</w:t>
          </w:r>
        </w:p>
        <w:p>
          <w:pPr>
            <w:numPr>
              <w:ilvl w:val="0"/>
              <w:numId w:val="0"/>
            </w:numPr>
            <w:spacing w:beforeLines="0" w:afterLines="0"/>
            <w:ind w:firstLine="420" w:firstLineChars="200"/>
            <w:rPr>
              <w:rFonts w:hint="eastAsia" w:ascii="Times New Roman" w:hAnsi="Times New Roman"/>
              <w:sz w:val="21"/>
            </w:rPr>
          </w:pPr>
          <w:r>
            <w:rPr>
              <w:rFonts w:hint="eastAsia" w:ascii="Times New Roman" w:hAnsi="Times New Roman"/>
              <w:sz w:val="21"/>
            </w:rPr>
            <w:t>赔偿损失作为民法中常见的责任形式，其目的即为填平受害方所遭受的财产或者利益的减损。为了更好地了解航空旅客运输中的赔偿情况，在航空慧法平台，团队创造性地设计了统计赔偿数额的功能，对收集到的188件旅客获得赔偿的案件进行了分析，分区间统计了航空旅客运输合同纠纷中旅客获得赔偿的数额。（详见图表3）</w:t>
          </w:r>
        </w:p>
        <w:p>
          <w:pPr>
            <w:numPr>
              <w:ilvl w:val="0"/>
              <w:numId w:val="0"/>
            </w:numPr>
            <w:spacing w:beforeLines="0" w:afterLines="0"/>
            <w:ind w:firstLine="420" w:firstLineChars="200"/>
            <w:rPr>
              <w:rFonts w:hint="default" w:ascii="Times New Roman" w:hAnsi="Times New Roman"/>
              <w:sz w:val="21"/>
            </w:rPr>
          </w:pPr>
          <w:r>
            <w:rPr>
              <w:rFonts w:hint="eastAsia" w:ascii="Times New Roman" w:hAnsi="Times New Roman"/>
              <w:sz w:val="21"/>
            </w:rPr>
            <w:t>通过对赔偿数额分布区间的分析，我们可以看出，旅客获赔数额主要集中在1000元以内以及1万元到10万元之间（详见图表4），前者主要为机票价款、行李价值、交通费等对旅客财产损失的赔偿，而后者则多为医疗费、残疾赔偿金等对旅客人身损害的赔偿。有29件案件，其赔偿数额仅为1元，大部分为旅客不满航空公司制定的“霸王条款”，为引起社会关注所提起的诉讼。赔偿款超过10万元的案件仅有两件，其中一件涉及到包机运输，因此标的额较大，而另一件包含了旅客的死亡赔偿金，且该案件在进入二审后法院改判，航空公司不再承担赔偿责任。因此，从赔偿额度的统计结果，结合航空承运人赔偿责任限额的规定，旅客获得的赔偿能否真正填平其损失这一问题，还值得商榷。</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
            <w:gridCol w:w="406"/>
            <w:gridCol w:w="700"/>
            <w:gridCol w:w="985"/>
            <w:gridCol w:w="1080"/>
            <w:gridCol w:w="1080"/>
            <w:gridCol w:w="1080"/>
            <w:gridCol w:w="932"/>
            <w:gridCol w:w="8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654"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赔偿数额/元</w:t>
                </w:r>
              </w:p>
            </w:tc>
            <w:tc>
              <w:tcPr>
                <w:tcW w:w="46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c>
              <w:tcPr>
                <w:tcW w:w="7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w:t>
                </w:r>
                <w:r>
                  <w:rPr>
                    <w:rFonts w:hint="eastAsia" w:ascii="Times New Roman" w:hAnsi="Times New Roman"/>
                    <w:sz w:val="21"/>
                  </w:rPr>
                  <w:t>~</w:t>
                </w:r>
                <w:r>
                  <w:rPr>
                    <w:rFonts w:hint="default" w:ascii="Times New Roman" w:hAnsi="Times New Roman"/>
                    <w:sz w:val="21"/>
                  </w:rPr>
                  <w:t>500</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500</w:t>
                </w:r>
                <w:r>
                  <w:rPr>
                    <w:rFonts w:hint="eastAsia" w:ascii="Times New Roman" w:hAnsi="Times New Roman"/>
                    <w:sz w:val="21"/>
                  </w:rPr>
                  <w:t>~</w:t>
                </w:r>
                <w:r>
                  <w:rPr>
                    <w:rFonts w:hint="default" w:ascii="Times New Roman" w:hAnsi="Times New Roman"/>
                    <w:sz w:val="21"/>
                  </w:rPr>
                  <w:t>1000</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1000</w:t>
                </w:r>
                <w:r>
                  <w:rPr>
                    <w:rFonts w:hint="eastAsia" w:ascii="Times New Roman" w:hAnsi="Times New Roman"/>
                    <w:sz w:val="21"/>
                  </w:rPr>
                  <w:t>~3</w:t>
                </w:r>
                <w:r>
                  <w:rPr>
                    <w:rFonts w:hint="default" w:ascii="Times New Roman" w:hAnsi="Times New Roman"/>
                    <w:sz w:val="21"/>
                  </w:rPr>
                  <w:t>000</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3000</w:t>
                </w:r>
                <w:r>
                  <w:rPr>
                    <w:rFonts w:hint="eastAsia" w:ascii="Times New Roman" w:hAnsi="Times New Roman"/>
                    <w:sz w:val="21"/>
                  </w:rPr>
                  <w:t>~5</w:t>
                </w:r>
                <w:r>
                  <w:rPr>
                    <w:rFonts w:hint="default" w:ascii="Times New Roman" w:hAnsi="Times New Roman"/>
                    <w:sz w:val="21"/>
                  </w:rPr>
                  <w:t>000</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5000</w:t>
                </w:r>
                <w:r>
                  <w:rPr>
                    <w:rFonts w:hint="eastAsia" w:ascii="Times New Roman" w:hAnsi="Times New Roman"/>
                    <w:sz w:val="21"/>
                  </w:rPr>
                  <w:t>~7</w:t>
                </w:r>
                <w:r>
                  <w:rPr>
                    <w:rFonts w:hint="default" w:ascii="Times New Roman" w:hAnsi="Times New Roman"/>
                    <w:sz w:val="21"/>
                  </w:rPr>
                  <w:t>000</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7000</w:t>
                </w:r>
                <w:r>
                  <w:rPr>
                    <w:rFonts w:hint="eastAsia" w:ascii="Times New Roman" w:hAnsi="Times New Roman"/>
                    <w:sz w:val="21"/>
                  </w:rPr>
                  <w:t>~1w</w:t>
                </w:r>
              </w:p>
            </w:tc>
            <w:tc>
              <w:tcPr>
                <w:tcW w:w="81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w:t>
                </w:r>
                <w:r>
                  <w:rPr>
                    <w:rFonts w:hint="eastAsia" w:ascii="Times New Roman" w:hAnsi="Times New Roman"/>
                    <w:sz w:val="21"/>
                  </w:rPr>
                  <w:t>~</w:t>
                </w:r>
                <w:r>
                  <w:rPr>
                    <w:rFonts w:hint="default" w:ascii="Times New Roman" w:hAnsi="Times New Roman"/>
                    <w:sz w:val="21"/>
                  </w:rPr>
                  <w:t>10w</w:t>
                </w:r>
              </w:p>
            </w:tc>
            <w:tc>
              <w:tcPr>
                <w:tcW w:w="8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10w</w:t>
                </w:r>
                <w:r>
                  <w:rPr>
                    <w:rFonts w:hint="eastAsia" w:ascii="Times New Roman" w:hAnsi="Times New Roman"/>
                    <w:sz w:val="21"/>
                  </w:rPr>
                  <w:t>~</w:t>
                </w:r>
                <w:r>
                  <w:rPr>
                    <w:rFonts w:hint="default" w:ascii="Times New Roman" w:hAnsi="Times New Roman"/>
                    <w:sz w:val="21"/>
                  </w:rPr>
                  <w:t>40w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案件数/件</w:t>
                </w:r>
              </w:p>
            </w:tc>
            <w:tc>
              <w:tcPr>
                <w:tcW w:w="463"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29</w:t>
                </w:r>
              </w:p>
            </w:tc>
            <w:tc>
              <w:tcPr>
                <w:tcW w:w="7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32</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31</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8</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6</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9</w:t>
                </w:r>
              </w:p>
            </w:tc>
            <w:tc>
              <w:tcPr>
                <w:tcW w:w="99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w:t>
                </w:r>
              </w:p>
            </w:tc>
            <w:tc>
              <w:tcPr>
                <w:tcW w:w="811"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61</w:t>
                </w:r>
              </w:p>
            </w:tc>
            <w:tc>
              <w:tcPr>
                <w:tcW w:w="888"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w:t>
                </w:r>
              </w:p>
            </w:tc>
          </w:tr>
        </w:tbl>
        <w:p>
          <w:pPr>
            <w:numPr>
              <w:ilvl w:val="0"/>
              <w:numId w:val="0"/>
            </w:numPr>
            <w:spacing w:beforeLines="0" w:afterLines="0"/>
            <w:jc w:val="center"/>
            <w:rPr>
              <w:rFonts w:hint="eastAsia" w:ascii="Times New Roman" w:hAnsi="Times New Roman"/>
              <w:sz w:val="21"/>
            </w:rPr>
          </w:pPr>
          <w:r>
            <w:rPr>
              <w:rFonts w:hint="eastAsia" w:ascii="Times New Roman" w:hAnsi="Times New Roman"/>
              <w:sz w:val="21"/>
            </w:rPr>
            <w:t>图表3</w:t>
          </w:r>
        </w:p>
        <w:p>
          <w:pPr>
            <w:numPr>
              <w:ilvl w:val="0"/>
              <w:numId w:val="0"/>
            </w:numPr>
            <w:spacing w:beforeLines="0" w:afterLines="0"/>
            <w:rPr>
              <w:rFonts w:hint="default" w:ascii="Times New Roman" w:hAnsi="Times New Roman"/>
              <w:sz w:val="21"/>
            </w:rPr>
          </w:pPr>
          <w:r>
            <w:rPr>
              <w:rFonts w:hint="default" w:ascii="Times New Roman" w:hAnsi="Times New Roman"/>
              <w:sz w:val="21"/>
            </w:rPr>
            <w:drawing>
              <wp:inline distT="0" distB="0" distL="114300" distR="114300">
                <wp:extent cx="5095875" cy="3819525"/>
                <wp:effectExtent l="0" t="0" r="0" b="0"/>
                <wp:docPr id="17" name="图表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图表 6"/>
                        <pic:cNvPicPr>
                          <a:picLocks noGrp="1" noChangeAspect="1"/>
                        </pic:cNvPicPr>
                      </pic:nvPicPr>
                      <pic:blipFill>
                        <a:blip r:embed="rId17"/>
                        <a:stretch>
                          <a:fillRect/>
                        </a:stretch>
                      </pic:blipFill>
                      <pic:spPr>
                        <a:xfrm>
                          <a:off x="0" y="0"/>
                          <a:ext cx="5095875" cy="3819525"/>
                        </a:xfrm>
                        <a:prstGeom prst="rect">
                          <a:avLst/>
                        </a:prstGeom>
                        <a:noFill/>
                        <a:ln>
                          <a:noFill/>
                        </a:ln>
                      </pic:spPr>
                    </pic:pic>
                  </a:graphicData>
                </a:graphic>
              </wp:inline>
            </w:drawing>
          </w:r>
        </w:p>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图表4</w:t>
          </w:r>
        </w:p>
        <w:p>
          <w:pPr>
            <w:numPr>
              <w:ilvl w:val="0"/>
              <w:numId w:val="2"/>
            </w:numPr>
            <w:spacing w:beforeLines="0" w:afterLines="0"/>
            <w:rPr>
              <w:rFonts w:hint="default" w:ascii="Times New Roman" w:hAnsi="Times New Roman"/>
              <w:sz w:val="21"/>
            </w:rPr>
          </w:pPr>
          <w:r>
            <w:rPr>
              <w:rFonts w:hint="eastAsia" w:ascii="Times New Roman" w:hAnsi="Times New Roman"/>
              <w:sz w:val="21"/>
            </w:rPr>
            <w:t>赔偿范围</w:t>
          </w:r>
          <w:r>
            <w:rPr>
              <w:rFonts w:hint="eastAsia" w:ascii="Times New Roman" w:hAnsi="Times New Roman"/>
              <w:sz w:val="21"/>
              <w:lang w:val="en-US" w:eastAsia="zh-CN"/>
            </w:rPr>
            <w:t>分析</w:t>
          </w:r>
        </w:p>
        <w:p>
          <w:pPr>
            <w:numPr>
              <w:ilvl w:val="0"/>
              <w:numId w:val="0"/>
            </w:numPr>
            <w:spacing w:beforeLines="0" w:afterLines="0"/>
            <w:ind w:firstLine="420" w:firstLineChars="200"/>
            <w:rPr>
              <w:rFonts w:hint="default" w:ascii="Times New Roman" w:hAnsi="Times New Roman"/>
              <w:sz w:val="21"/>
            </w:rPr>
          </w:pPr>
          <w:r>
            <w:rPr>
              <w:rFonts w:hint="eastAsia" w:ascii="Times New Roman" w:hAnsi="Times New Roman"/>
              <w:sz w:val="21"/>
            </w:rPr>
            <w:t xml:space="preserve"> 团队借助航空慧法网站整理出较为常见的13类赔偿范围，其主要为旅客因航空公司的违约行为所遭受的财产上的损失。在纠纷发生后，航空公司对旅客的先行赔付中有相当一部分是不包括在内的，这就需要旅客通过诉讼等手段积极主张自己的权利。同时，在团队搜集到的案例中，有39份判决书提及原告，即旅客主张精神损害赔偿，其主张的数额从1元到数万元不等，但是法院往往不会支持其诉讼请求。究其原因，在合同纠纷中，精神损害赔偿就不在其责任形式之列。因此，旅客在主张自己权利时也应当慎重选择诉讼类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5"/>
            <w:gridCol w:w="606"/>
            <w:gridCol w:w="606"/>
            <w:gridCol w:w="606"/>
            <w:gridCol w:w="607"/>
            <w:gridCol w:w="607"/>
            <w:gridCol w:w="607"/>
            <w:gridCol w:w="607"/>
            <w:gridCol w:w="607"/>
            <w:gridCol w:w="636"/>
            <w:gridCol w:w="607"/>
            <w:gridCol w:w="607"/>
            <w:gridCol w:w="607"/>
            <w:gridCol w:w="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赔偿范围</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残疾赔偿金</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鉴定费</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积分</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惩罚性赔偿</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翻译费</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团费</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税款</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被扶养人生活费</w:t>
                </w:r>
              </w:p>
            </w:tc>
            <w:tc>
              <w:tcPr>
                <w:tcW w:w="6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医疗费（诊疗费）</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误工费</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保险费</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机票价款</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交通费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案件数/件</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9</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17</w:t>
                </w:r>
              </w:p>
            </w:tc>
            <w:tc>
              <w:tcPr>
                <w:tcW w:w="60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7</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6</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7</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4</w:t>
                </w:r>
              </w:p>
            </w:tc>
            <w:tc>
              <w:tcPr>
                <w:tcW w:w="636"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17</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42</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50</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34</w:t>
                </w:r>
              </w:p>
            </w:tc>
            <w:tc>
              <w:tcPr>
                <w:tcW w:w="607"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89</w:t>
                </w:r>
              </w:p>
            </w:tc>
          </w:tr>
        </w:tbl>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图表5</w:t>
          </w:r>
        </w:p>
        <w:p>
          <w:pPr>
            <w:numPr>
              <w:ilvl w:val="0"/>
              <w:numId w:val="2"/>
            </w:numPr>
            <w:spacing w:beforeLines="0" w:afterLines="0"/>
            <w:rPr>
              <w:rFonts w:hint="default" w:ascii="Times New Roman" w:hAnsi="Times New Roman"/>
              <w:sz w:val="21"/>
            </w:rPr>
          </w:pPr>
          <w:r>
            <w:rPr>
              <w:rFonts w:hint="eastAsia" w:ascii="Times New Roman" w:hAnsi="Times New Roman"/>
              <w:sz w:val="21"/>
            </w:rPr>
            <w:t>适用法律法规</w:t>
          </w:r>
          <w:r>
            <w:rPr>
              <w:rFonts w:hint="eastAsia" w:ascii="Times New Roman" w:hAnsi="Times New Roman"/>
              <w:sz w:val="21"/>
              <w:lang w:val="en-US" w:eastAsia="zh-CN"/>
            </w:rPr>
            <w:t>分析</w:t>
          </w:r>
        </w:p>
        <w:p>
          <w:pPr>
            <w:numPr>
              <w:ilvl w:val="0"/>
              <w:numId w:val="0"/>
            </w:numPr>
            <w:spacing w:beforeLines="0" w:afterLines="0"/>
            <w:ind w:firstLine="420" w:firstLineChars="200"/>
            <w:rPr>
              <w:rFonts w:hint="eastAsia" w:ascii="Times New Roman" w:hAnsi="Times New Roman"/>
              <w:sz w:val="21"/>
            </w:rPr>
          </w:pPr>
          <w:r>
            <w:rPr>
              <w:rFonts w:hint="eastAsia" w:ascii="Times New Roman" w:hAnsi="Times New Roman"/>
              <w:sz w:val="21"/>
            </w:rPr>
            <w:t>团队将236件航空旅客运输合同纠纷案件中判决援引或参照的法律法规进行了筛选、整理与分类，提取出较具代表性的19部法律法规。（详见图表6）可以看到，法官在判决书中，除了援引各个部门法以外，还参照了民航局颁布的各类部门规章以及规范性文件。同时，在涉外的航空旅客运输合同纠纷中，主要援引了4部国际条约。</w:t>
          </w:r>
        </w:p>
        <w:p>
          <w:pPr>
            <w:numPr>
              <w:ilvl w:val="0"/>
              <w:numId w:val="0"/>
            </w:numPr>
            <w:spacing w:beforeLines="0" w:afterLines="0"/>
            <w:ind w:firstLine="420" w:firstLineChars="200"/>
            <w:rPr>
              <w:rFonts w:hint="default" w:ascii="Times New Roman" w:hAnsi="Times New Roman"/>
              <w:sz w:val="21"/>
            </w:rPr>
          </w:pPr>
          <w:r>
            <w:rPr>
              <w:rFonts w:hint="eastAsia" w:ascii="Times New Roman" w:hAnsi="Times New Roman"/>
              <w:sz w:val="21"/>
            </w:rPr>
            <w:t>国际条约与我国国内法律规定的差别也使得相似的案件但旅客获赔的数额却存在较大差距。以航空承运人赔偿责任限额为例，2006年出台的《国内航空运输承运人赔偿责任限额规定》第三条第（一）项规定，对每名旅客的赔偿责任限额为人民币40万元，而</w:t>
          </w:r>
          <w:r>
            <w:rPr>
              <w:rFonts w:hint="default" w:ascii="Times New Roman" w:hAnsi="Times New Roman"/>
              <w:sz w:val="21"/>
            </w:rPr>
            <w:t>1999</w:t>
          </w:r>
          <w:r>
            <w:rPr>
              <w:rFonts w:hint="eastAsia" w:ascii="Times New Roman" w:hAnsi="Times New Roman"/>
              <w:sz w:val="21"/>
            </w:rPr>
            <w:t>年《蒙特利尔公约》第二十一条第（一）项则规定，对于根据第十七条第一款所产生的每名旅客不超过100000特别提款权的损害赔偿，换算成人民币大约为928000元。除此以外，我国国内航空运输与国际航空运输的承运人责任限额在行李、货物上均有所差距。且</w:t>
          </w:r>
          <w:r>
            <w:rPr>
              <w:rFonts w:hint="default" w:ascii="Times New Roman" w:hAnsi="Times New Roman"/>
              <w:sz w:val="21"/>
            </w:rPr>
            <w:t>1999</w:t>
          </w:r>
          <w:r>
            <w:rPr>
              <w:rFonts w:hint="eastAsia" w:ascii="Times New Roman" w:hAnsi="Times New Roman"/>
              <w:sz w:val="21"/>
            </w:rPr>
            <w:t>年《蒙特利尔公约》第二十四条规定了限额的复审，责任限额每隔五年进行一次复审，现今的责任限额已经经过两次调整，各类责任限额均得到上调。（详见图表7）而我国仍然适用2006年规定的责任限额。随着社会经济的发展，我国国内航空承运人赔偿责任限额也应当随之调整，才能更好地维护广大旅客的合法权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法律法规类别</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法律法规名称</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援引案件数/件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r>
                  <w:rPr>
                    <w:rFonts w:hint="eastAsia" w:ascii="Times New Roman" w:hAnsi="Times New Roman"/>
                    <w:sz w:val="21"/>
                  </w:rPr>
                  <w:t>法律及司法解释</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《中华人民共和国合同法》</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《中华人民共和国民用航空法》</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《中华人民共和国涉外民事关系法律适用法》</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《中华人民共和国民法通则》</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r>
                  <w:rPr>
                    <w:rFonts w:hint="default" w:ascii="Times New Roman" w:hAnsi="Times New Roman"/>
                    <w:sz w:val="21"/>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《中华人民共和国民法总则》</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《合同法司法解释（二）》</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《最高人民法院关于审理人身损害赔偿案件适用法律若干问题的解释》</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部门规章及规范性文件</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《民航局关于促进低成本航空发展的指导意见》</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《关于深化民航国内航空旅客运输票价改革有关问题的通知》</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《民航总局关于国内航空公司因自身原因造成航班延误给予旅客经济补偿的指导意见（试行）》</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《中国民用航空电子客票暂行管理办法》</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《中国民用航空旅客、行李国内运输规则》</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《民航国内航空运输价格改革方案》</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《残疾人航空运输办法（试行）》</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《国内航空运输承运人赔偿责任限额规定》</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国际条约</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1929</w:t>
                </w:r>
                <w:r>
                  <w:rPr>
                    <w:rFonts w:hint="eastAsia" w:ascii="Times New Roman" w:hAnsi="Times New Roman"/>
                    <w:sz w:val="21"/>
                  </w:rPr>
                  <w:t>年《华沙公约》</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《修订1929年华沙公约的议定书》（1955年《海牙议定书》）</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1961</w:t>
                </w:r>
                <w:r>
                  <w:rPr>
                    <w:rFonts w:hint="eastAsia" w:ascii="Times New Roman" w:hAnsi="Times New Roman"/>
                    <w:sz w:val="21"/>
                  </w:rPr>
                  <w:t>年《瓜达拉哈拉公约》</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1999</w:t>
                </w:r>
                <w:r>
                  <w:rPr>
                    <w:rFonts w:hint="eastAsia" w:ascii="Times New Roman" w:hAnsi="Times New Roman"/>
                    <w:sz w:val="21"/>
                  </w:rPr>
                  <w:t>年《蒙特利尔公约》</w:t>
                </w:r>
              </w:p>
            </w:tc>
            <w:tc>
              <w:tcPr>
                <w:tcW w:w="284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3</w:t>
                </w:r>
              </w:p>
            </w:tc>
          </w:tr>
        </w:tbl>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p>
              <w:p>
                <w:pPr>
                  <w:spacing w:beforeLines="0" w:afterLines="0"/>
                  <w:jc w:val="center"/>
                  <w:rPr>
                    <w:rFonts w:hint="default"/>
                    <w:sz w:val="21"/>
                  </w:rPr>
                </w:pP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2006年《国内航空运输承运人赔偿责任限额规定》规定的责任限额（单位：CNY）</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1999</w:t>
                </w:r>
                <w:r>
                  <w:rPr>
                    <w:rFonts w:hint="eastAsia" w:ascii="Times New Roman" w:hAnsi="Times New Roman"/>
                    <w:sz w:val="21"/>
                  </w:rPr>
                  <w:t>年《蒙特利尔公约》规定的责任限额（单位：SDR</w:t>
                </w:r>
                <w:r>
                  <w:rPr>
                    <w:rStyle w:val="10"/>
                    <w:rFonts w:hint="default" w:ascii="Times New Roman" w:hAnsi="Times New Roman"/>
                    <w:sz w:val="21"/>
                  </w:rPr>
                  <w:footnoteReference w:id="0"/>
                </w:r>
                <w:r>
                  <w:rPr>
                    <w:rFonts w:hint="eastAsia" w:ascii="Times New Roman" w:hAnsi="Times New Roman"/>
                    <w:sz w:val="21"/>
                  </w:rPr>
                  <w:t>）</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根据1999年《蒙特利尔公约》，2019年调整后的责任限额（单位：SDR）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旅客人身损害</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40万</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100</w:t>
                </w:r>
                <w:r>
                  <w:rPr>
                    <w:rFonts w:hint="eastAsia" w:ascii="Times New Roman" w:hAnsi="Times New Roman"/>
                    <w:sz w:val="21"/>
                  </w:rPr>
                  <w:t>，000</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128，821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r>
                  <w:rPr>
                    <w:rFonts w:hint="eastAsia" w:ascii="Times New Roman" w:hAnsi="Times New Roman"/>
                    <w:sz w:val="21"/>
                  </w:rPr>
                  <w:t>延误</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eastAsia" w:ascii="Times New Roman" w:hAnsi="Times New Roman"/>
                    <w:sz w:val="21"/>
                  </w:rPr>
                </w:pPr>
                <w:r>
                  <w:rPr>
                    <w:rFonts w:hint="eastAsia" w:ascii="Times New Roman" w:hAnsi="Times New Roman"/>
                    <w:sz w:val="21"/>
                  </w:rPr>
                  <w:t>无</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4</w:t>
                </w:r>
                <w:r>
                  <w:rPr>
                    <w:rFonts w:hint="eastAsia" w:ascii="Times New Roman" w:hAnsi="Times New Roman"/>
                    <w:sz w:val="21"/>
                  </w:rPr>
                  <w:t>，150</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5，346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随身行李</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3000</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r>
                  <w:rPr>
                    <w:rFonts w:hint="eastAsia" w:ascii="Times New Roman" w:hAnsi="Times New Roman"/>
                    <w:sz w:val="21"/>
                  </w:rPr>
                  <w:t>，000</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托运行李</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100/kg</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default" w:ascii="Times New Roman" w:hAnsi="Times New Roman"/>
                    <w:sz w:val="21"/>
                  </w:rPr>
                  <w:t>1</w:t>
                </w:r>
                <w:r>
                  <w:rPr>
                    <w:rFonts w:hint="eastAsia" w:ascii="Times New Roman" w:hAnsi="Times New Roman"/>
                    <w:sz w:val="21"/>
                  </w:rPr>
                  <w:t>，000</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货物运输</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100/kg</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17/kg</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numPr>
                    <w:ilvl w:val="0"/>
                    <w:numId w:val="0"/>
                  </w:numPr>
                  <w:spacing w:beforeLines="0" w:afterLines="0"/>
                  <w:rPr>
                    <w:rFonts w:hint="default" w:ascii="Times New Roman" w:hAnsi="Times New Roman"/>
                    <w:sz w:val="21"/>
                  </w:rPr>
                </w:pPr>
                <w:r>
                  <w:rPr>
                    <w:rFonts w:hint="eastAsia" w:ascii="Times New Roman" w:hAnsi="Times New Roman"/>
                    <w:sz w:val="21"/>
                  </w:rPr>
                  <w:t>22/kg</w:t>
                </w:r>
              </w:p>
            </w:tc>
          </w:tr>
        </w:tbl>
        <w:p>
          <w:pPr>
            <w:numPr>
              <w:ilvl w:val="0"/>
              <w:numId w:val="0"/>
            </w:numPr>
            <w:spacing w:beforeLines="0" w:afterLines="0"/>
            <w:jc w:val="center"/>
            <w:rPr>
              <w:rFonts w:hint="default" w:ascii="Times New Roman" w:hAnsi="Times New Roman"/>
              <w:sz w:val="21"/>
            </w:rPr>
          </w:pPr>
          <w:r>
            <w:rPr>
              <w:rFonts w:hint="eastAsia" w:ascii="Times New Roman" w:hAnsi="Times New Roman"/>
              <w:sz w:val="21"/>
            </w:rPr>
            <w:t>图表7</w:t>
          </w:r>
        </w:p>
        <w:p>
          <w:pPr>
            <w:rPr>
              <w:rFonts w:hint="eastAsia" w:ascii="仿宋_GB2312" w:hAnsi="Times New Roman" w:eastAsia="仿宋_GB2312"/>
              <w:sz w:val="28"/>
              <w:lang w:eastAsia="zh-CN"/>
            </w:rPr>
          </w:pPr>
          <w:r>
            <w:rPr>
              <w:rFonts w:hint="eastAsia" w:ascii="仿宋_GB2312" w:hAnsi="Times New Roman" w:eastAsia="仿宋_GB2312"/>
              <w:sz w:val="28"/>
              <w:lang w:eastAsia="zh-CN"/>
            </w:rPr>
            <w:t>（</w:t>
          </w:r>
          <w:r>
            <w:rPr>
              <w:rFonts w:hint="eastAsia" w:ascii="仿宋_GB2312" w:hAnsi="Times New Roman" w:eastAsia="仿宋_GB2312"/>
              <w:sz w:val="28"/>
              <w:lang w:val="en-US" w:eastAsia="zh-CN"/>
            </w:rPr>
            <w:t>三</w:t>
          </w:r>
          <w:r>
            <w:rPr>
              <w:rFonts w:hint="eastAsia" w:ascii="仿宋_GB2312" w:hAnsi="Times New Roman" w:eastAsia="仿宋_GB2312"/>
              <w:sz w:val="28"/>
              <w:lang w:eastAsia="zh-CN"/>
            </w:rPr>
            <w:t>）</w:t>
          </w:r>
          <w:r>
            <w:rPr>
              <w:rFonts w:hint="eastAsia" w:ascii="仿宋_GB2312" w:hAnsi="Times New Roman" w:eastAsia="仿宋_GB2312"/>
              <w:sz w:val="28"/>
            </w:rPr>
            <w:t>民用航空</w:t>
          </w:r>
          <w:r>
            <w:rPr>
              <w:rFonts w:hint="eastAsia" w:ascii="仿宋_GB2312" w:hAnsi="Times New Roman" w:eastAsia="仿宋_GB2312"/>
              <w:sz w:val="28"/>
              <w:lang w:val="en-US" w:eastAsia="zh-CN"/>
            </w:rPr>
            <w:t>保险代偿纠纷</w:t>
          </w:r>
          <w:r>
            <w:rPr>
              <w:rFonts w:hint="eastAsia" w:ascii="仿宋_GB2312" w:hAnsi="Times New Roman" w:eastAsia="仿宋_GB2312"/>
              <w:sz w:val="28"/>
            </w:rPr>
            <w:t>案件获赔情况展示</w:t>
          </w:r>
        </w:p>
        <w:p>
          <w:pPr>
            <w:numPr>
              <w:ilvl w:val="0"/>
              <w:numId w:val="0"/>
            </w:numPr>
            <w:rPr>
              <w:rFonts w:hint="eastAsia"/>
              <w:b/>
              <w:bCs/>
              <w:sz w:val="22"/>
              <w:szCs w:val="28"/>
              <w:lang w:val="en-US" w:eastAsia="zh-CN"/>
            </w:rPr>
          </w:pPr>
          <w:r>
            <w:rPr>
              <w:rFonts w:hint="eastAsia"/>
              <w:b/>
              <w:bCs/>
              <w:sz w:val="22"/>
              <w:szCs w:val="28"/>
              <w:lang w:val="en-US" w:eastAsia="zh-CN"/>
            </w:rPr>
            <w:t>1、争议事由分析</w:t>
          </w:r>
        </w:p>
        <w:p>
          <w:pPr>
            <w:numPr>
              <w:ilvl w:val="0"/>
              <w:numId w:val="0"/>
            </w:numPr>
            <w:ind w:leftChars="0" w:firstLine="420" w:firstLineChars="200"/>
            <w:rPr>
              <w:rFonts w:hint="eastAsia"/>
              <w:highlight w:val="none"/>
              <w:vertAlign w:val="baseline"/>
              <w:lang w:val="en-US" w:eastAsia="zh-CN"/>
            </w:rPr>
          </w:pPr>
          <w:r>
            <w:rPr>
              <w:rFonts w:hint="eastAsia"/>
              <w:lang w:val="en-US" w:eastAsia="zh-CN"/>
            </w:rPr>
            <w:t>对于现有网站上可检测到的航空货物运输合同案件共307件，利用团队共同设计的网站进行有针对性的筛选，有关争议事由的案件统计见图表1、图表2，从中我们可以得知，争议事由共涉及</w:t>
          </w:r>
          <w:r>
            <w:rPr>
              <w:rFonts w:hint="eastAsia"/>
              <w:highlight w:val="none"/>
              <w:lang w:val="en-US" w:eastAsia="zh-CN"/>
            </w:rPr>
            <w:t>15</w:t>
          </w:r>
          <w:r>
            <w:rPr>
              <w:rFonts w:hint="eastAsia"/>
              <w:lang w:val="en-US" w:eastAsia="zh-CN"/>
            </w:rPr>
            <w:t>个方面，主要有</w:t>
          </w:r>
          <w:r>
            <w:rPr>
              <w:rFonts w:hint="eastAsia"/>
              <w:highlight w:val="none"/>
              <w:lang w:val="en-US" w:eastAsia="zh-CN"/>
            </w:rPr>
            <w:t>10</w:t>
          </w:r>
          <w:r>
            <w:rPr>
              <w:rFonts w:hint="eastAsia"/>
              <w:lang w:val="en-US" w:eastAsia="zh-CN"/>
            </w:rPr>
            <w:t>大类：</w:t>
          </w:r>
          <w:r>
            <w:rPr>
              <w:rFonts w:hint="eastAsia"/>
              <w:vertAlign w:val="baseline"/>
              <w:lang w:val="en-US" w:eastAsia="zh-CN"/>
            </w:rPr>
            <w:t>责任限额、涉诉保险、赔偿范围、水湿事故、货物受潮（损坏）、公共场所管理人责任、服务合同、格式条款、全部责任、旅客死亡（受伤、摔伤）、救助义务。</w:t>
          </w:r>
          <w:r>
            <w:rPr>
              <w:rFonts w:hint="eastAsia"/>
              <w:highlight w:val="none"/>
              <w:vertAlign w:val="baseline"/>
              <w:lang w:val="en-US" w:eastAsia="zh-CN"/>
            </w:rPr>
            <w:t>其中损坏、责任限额、赔偿范围成为了当事人之间三大争议焦点，占比分别占到56%、19%、7%（详见图表3）。其中主要有三大类：货物相关（见图表4）、旅客相关（见图片5）以及赔偿责任相关。</w:t>
          </w:r>
        </w:p>
        <w:p>
          <w:pPr>
            <w:numPr>
              <w:ilvl w:val="0"/>
              <w:numId w:val="0"/>
            </w:numPr>
            <w:rPr>
              <w:rFonts w:hint="default"/>
              <w:b/>
              <w:bCs/>
              <w:sz w:val="22"/>
              <w:szCs w:val="28"/>
              <w:lang w:val="en-US" w:eastAsia="zh-CN"/>
            </w:rPr>
          </w:pPr>
        </w:p>
        <w:tbl>
          <w:tblPr>
            <w:tblStyle w:val="8"/>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
            <w:gridCol w:w="530"/>
            <w:gridCol w:w="530"/>
            <w:gridCol w:w="530"/>
            <w:gridCol w:w="530"/>
            <w:gridCol w:w="530"/>
            <w:gridCol w:w="530"/>
            <w:gridCol w:w="536"/>
            <w:gridCol w:w="531"/>
            <w:gridCol w:w="531"/>
            <w:gridCol w:w="531"/>
            <w:gridCol w:w="531"/>
            <w:gridCol w:w="531"/>
            <w:gridCol w:w="531"/>
            <w:gridCol w:w="531"/>
            <w:gridCol w:w="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 w:type="pct"/>
                <w:noWrap w:val="0"/>
                <w:vAlign w:val="top"/>
              </w:tcPr>
              <w:p>
                <w:pPr>
                  <w:numPr>
                    <w:ilvl w:val="0"/>
                    <w:numId w:val="0"/>
                  </w:numPr>
                  <w:rPr>
                    <w:rFonts w:hint="default"/>
                    <w:b/>
                    <w:bCs/>
                    <w:sz w:val="24"/>
                    <w:szCs w:val="32"/>
                    <w:vertAlign w:val="baseline"/>
                    <w:lang w:val="en-US" w:eastAsia="zh-CN"/>
                  </w:rPr>
                </w:pPr>
                <w:r>
                  <w:rPr>
                    <w:rFonts w:hint="eastAsia"/>
                    <w:b/>
                    <w:bCs/>
                    <w:sz w:val="24"/>
                    <w:szCs w:val="32"/>
                    <w:vertAlign w:val="baseline"/>
                    <w:lang w:val="en-US" w:eastAsia="zh-CN"/>
                  </w:rPr>
                  <w:t>争议事由</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责任限额</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涉诉保险</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赔偿范围</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水湿事故</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货物受潮</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货物损坏</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损坏</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公共场所管理人责任</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服务合同</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格式条款</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全部责任</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旅客死亡</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受伤</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摔伤</w:t>
                </w:r>
              </w:p>
            </w:tc>
            <w:tc>
              <w:tcPr>
                <w:tcW w:w="322" w:type="pct"/>
                <w:noWrap w:val="0"/>
                <w:vAlign w:val="top"/>
              </w:tcPr>
              <w:p>
                <w:pPr>
                  <w:numPr>
                    <w:ilvl w:val="0"/>
                    <w:numId w:val="0"/>
                  </w:numPr>
                  <w:rPr>
                    <w:rFonts w:hint="default"/>
                    <w:vertAlign w:val="baseline"/>
                    <w:lang w:val="en-US" w:eastAsia="zh-CN"/>
                  </w:rPr>
                </w:pPr>
                <w:r>
                  <w:rPr>
                    <w:rFonts w:hint="eastAsia"/>
                    <w:vertAlign w:val="baseline"/>
                    <w:lang w:val="en-US" w:eastAsia="zh-CN"/>
                  </w:rPr>
                  <w:t>救助义务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 w:type="pct"/>
                <w:noWrap w:val="0"/>
                <w:vAlign w:val="top"/>
              </w:tcPr>
              <w:p>
                <w:pPr>
                  <w:numPr>
                    <w:ilvl w:val="0"/>
                    <w:numId w:val="0"/>
                  </w:numPr>
                  <w:rPr>
                    <w:rFonts w:hint="default"/>
                    <w:b/>
                    <w:bCs/>
                    <w:sz w:val="22"/>
                    <w:szCs w:val="28"/>
                    <w:vertAlign w:val="baseline"/>
                    <w:lang w:val="en-US" w:eastAsia="zh-CN"/>
                  </w:rPr>
                </w:pPr>
                <w:r>
                  <w:rPr>
                    <w:rFonts w:hint="eastAsia"/>
                    <w:b/>
                    <w:bCs/>
                    <w:sz w:val="22"/>
                    <w:szCs w:val="28"/>
                    <w:vertAlign w:val="baseline"/>
                    <w:lang w:val="en-US" w:eastAsia="zh-CN"/>
                  </w:rPr>
                  <w:t>案件数</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53</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1</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21</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2</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3</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2</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156</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2</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7</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5</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6</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5</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12</w:t>
                </w:r>
              </w:p>
            </w:tc>
            <w:tc>
              <w:tcPr>
                <w:tcW w:w="311" w:type="pct"/>
                <w:noWrap w:val="0"/>
                <w:vAlign w:val="top"/>
              </w:tcPr>
              <w:p>
                <w:pPr>
                  <w:numPr>
                    <w:ilvl w:val="0"/>
                    <w:numId w:val="0"/>
                  </w:numPr>
                  <w:rPr>
                    <w:rFonts w:hint="default"/>
                    <w:vertAlign w:val="baseline"/>
                    <w:lang w:val="en-US" w:eastAsia="zh-CN"/>
                  </w:rPr>
                </w:pPr>
                <w:r>
                  <w:rPr>
                    <w:rFonts w:hint="eastAsia"/>
                    <w:vertAlign w:val="baseline"/>
                    <w:lang w:val="en-US" w:eastAsia="zh-CN"/>
                  </w:rPr>
                  <w:t>2</w:t>
                </w:r>
              </w:p>
            </w:tc>
            <w:tc>
              <w:tcPr>
                <w:tcW w:w="322" w:type="pct"/>
                <w:noWrap w:val="0"/>
                <w:vAlign w:val="top"/>
              </w:tcPr>
              <w:p>
                <w:pPr>
                  <w:numPr>
                    <w:ilvl w:val="0"/>
                    <w:numId w:val="0"/>
                  </w:numPr>
                  <w:rPr>
                    <w:rFonts w:hint="default"/>
                    <w:vertAlign w:val="baseline"/>
                    <w:lang w:val="en-US" w:eastAsia="zh-CN"/>
                  </w:rPr>
                </w:pPr>
                <w:r>
                  <w:rPr>
                    <w:rFonts w:hint="eastAsia"/>
                    <w:vertAlign w:val="baseline"/>
                    <w:lang w:val="en-US" w:eastAsia="zh-CN"/>
                  </w:rPr>
                  <w:t>2</w:t>
                </w:r>
              </w:p>
            </w:tc>
          </w:tr>
        </w:tbl>
        <w:p>
          <w:pPr>
            <w:numPr>
              <w:ilvl w:val="0"/>
              <w:numId w:val="0"/>
            </w:numPr>
            <w:jc w:val="center"/>
            <w:rPr>
              <w:rFonts w:hint="default"/>
              <w:lang w:val="en-US" w:eastAsia="zh-CN"/>
            </w:rPr>
          </w:pPr>
          <w:r>
            <w:rPr>
              <w:rFonts w:hint="eastAsia"/>
              <w:lang w:val="en-US" w:eastAsia="zh-CN"/>
            </w:rPr>
            <w:t>图表 1</w:t>
          </w:r>
        </w:p>
        <w:p>
          <w:pPr>
            <w:numPr>
              <w:ilvl w:val="0"/>
              <w:numId w:val="0"/>
            </w:numPr>
            <w:ind w:leftChars="0" w:firstLine="420" w:firstLineChars="200"/>
            <w:rPr>
              <w:rFonts w:hint="eastAsia"/>
              <w:highlight w:val="none"/>
              <w:vertAlign w:val="baseline"/>
              <w:lang w:val="en-US" w:eastAsia="zh-CN"/>
            </w:rPr>
          </w:pPr>
          <w:r>
            <w:rPr>
              <w:rFonts w:hint="eastAsia"/>
              <w:highlight w:val="none"/>
              <w:vertAlign w:val="baseline"/>
              <w:lang w:val="en-US" w:eastAsia="zh-CN"/>
            </w:rPr>
            <w:t>由相关统计可见，我国航空运输保险相关纠纷中，主要在于货物损坏（由于具体案件中表述不同，货物损坏未能直接通过系统检索出来，简化为损坏，损坏为货物损坏），占到保险案件的56%，可见对航空运输中货物保险的必要性。关于责任限额的争议占到19%，是除货物损坏之外的第二大争议事由，其中包括对货物、行李以及旅客赔偿的责任限额问题，对于货物与行李的赔偿设有限额在时间中有解决途径，通常旅客可以进行价值声明，而对于旅客人身损害赔偿的责任限额却是现实中一大难题与争议点。其中赔偿范围、格式条款以及救助义务虽然数量较少，但是也是案件中值得关注的要点，赔偿范围通常会涉及到直接损失间接损失；格式条款会涉及到航空公司与旅客的不对等性；救助义务会涉及到旅客的人身安全，机场航空公司的安保责任等。</w:t>
          </w:r>
        </w:p>
        <w:p>
          <w:pPr>
            <w:numPr>
              <w:ilvl w:val="0"/>
              <w:numId w:val="0"/>
            </w:numPr>
            <w:ind w:leftChars="0" w:firstLine="420" w:firstLineChars="200"/>
            <w:rPr>
              <w:rFonts w:hint="eastAsia"/>
              <w:highlight w:val="none"/>
              <w:vertAlign w:val="baseline"/>
              <w:lang w:val="en-US" w:eastAsia="zh-CN"/>
            </w:rPr>
          </w:pPr>
        </w:p>
        <w:p>
          <w:pPr>
            <w:numPr>
              <w:ilvl w:val="0"/>
              <w:numId w:val="0"/>
            </w:numPr>
            <w:ind w:leftChars="0" w:firstLine="420" w:firstLineChars="200"/>
            <w:rPr>
              <w:rFonts w:hint="eastAsia"/>
              <w:highlight w:val="none"/>
              <w:vertAlign w:val="baseline"/>
              <w:lang w:val="en-US" w:eastAsia="zh-CN"/>
            </w:rPr>
          </w:pPr>
        </w:p>
        <w:p>
          <w:pPr>
            <w:numPr>
              <w:ilvl w:val="0"/>
              <w:numId w:val="0"/>
            </w:numPr>
            <w:ind w:leftChars="0" w:firstLine="420" w:firstLineChars="200"/>
            <w:rPr>
              <w:rFonts w:hint="eastAsia"/>
              <w:highlight w:val="none"/>
              <w:vertAlign w:val="baseline"/>
              <w:lang w:val="en-US" w:eastAsia="zh-CN"/>
            </w:rPr>
          </w:pPr>
        </w:p>
        <w:p>
          <w:pPr>
            <w:numPr>
              <w:ilvl w:val="0"/>
              <w:numId w:val="0"/>
            </w:numPr>
            <w:ind w:leftChars="0"/>
            <w:rPr>
              <w:rFonts w:hint="default" w:eastAsiaTheme="minorEastAsia"/>
              <w:lang w:val="en-US" w:eastAsia="zh-CN"/>
            </w:rPr>
          </w:pPr>
          <w:r>
            <w:rPr>
              <w:rFonts w:hint="eastAsia"/>
              <w:lang w:val="en-US" w:eastAsia="zh-CN"/>
            </w:rPr>
            <w:t xml:space="preserve">       </w:t>
          </w:r>
          <w:r>
            <w:drawing>
              <wp:inline distT="0" distB="0" distL="114300" distR="114300">
                <wp:extent cx="4261485" cy="2557145"/>
                <wp:effectExtent l="4445" t="4445" r="10795" b="10160"/>
                <wp:docPr id="20" name="图表 2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numPr>
              <w:ilvl w:val="0"/>
              <w:numId w:val="0"/>
            </w:numPr>
            <w:jc w:val="center"/>
            <w:rPr>
              <w:rFonts w:hint="default"/>
              <w:lang w:val="en-US" w:eastAsia="zh-CN"/>
            </w:rPr>
          </w:pPr>
          <w:r>
            <w:rPr>
              <w:rFonts w:hint="eastAsia"/>
              <w:lang w:val="en-US" w:eastAsia="zh-CN"/>
            </w:rPr>
            <w:t>图表 2</w:t>
          </w:r>
        </w:p>
        <w:p>
          <w:pPr>
            <w:numPr>
              <w:ilvl w:val="0"/>
              <w:numId w:val="0"/>
            </w:numPr>
            <w:ind w:leftChars="0"/>
            <w:rPr>
              <w:rFonts w:hint="default" w:eastAsia="宋体"/>
              <w:lang w:val="en-US" w:eastAsia="zh-CN"/>
            </w:rPr>
          </w:pPr>
        </w:p>
        <w:p>
          <w:pPr>
            <w:numPr>
              <w:ilvl w:val="0"/>
              <w:numId w:val="0"/>
            </w:numPr>
            <w:ind w:leftChars="0"/>
            <w:rPr>
              <w:rFonts w:hint="default" w:eastAsiaTheme="minorEastAsia"/>
              <w:lang w:val="en-US" w:eastAsia="zh-CN"/>
            </w:rPr>
          </w:pPr>
          <w:r>
            <w:rPr>
              <w:rFonts w:hint="eastAsia"/>
              <w:lang w:val="en-US" w:eastAsia="zh-CN"/>
            </w:rPr>
            <w:t xml:space="preserve">        </w:t>
          </w:r>
          <w:r>
            <w:drawing>
              <wp:inline distT="0" distB="0" distL="114300" distR="114300">
                <wp:extent cx="5319395" cy="2919095"/>
                <wp:effectExtent l="4445" t="4445" r="10160" b="38735"/>
                <wp:docPr id="21"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numPr>
              <w:ilvl w:val="0"/>
              <w:numId w:val="0"/>
            </w:numPr>
            <w:jc w:val="both"/>
            <w:rPr>
              <w:rFonts w:hint="eastAsia"/>
              <w:lang w:val="en-US" w:eastAsia="zh-CN"/>
            </w:rPr>
          </w:pPr>
        </w:p>
        <w:p>
          <w:pPr>
            <w:numPr>
              <w:ilvl w:val="0"/>
              <w:numId w:val="0"/>
            </w:numPr>
            <w:jc w:val="center"/>
            <w:rPr>
              <w:rFonts w:hint="default"/>
              <w:lang w:val="en-US" w:eastAsia="zh-CN"/>
            </w:rPr>
          </w:pPr>
          <w:r>
            <w:rPr>
              <w:rFonts w:hint="eastAsia"/>
              <w:lang w:val="en-US" w:eastAsia="zh-CN"/>
            </w:rPr>
            <w:t>图表 3</w:t>
          </w:r>
        </w:p>
        <w:p>
          <w:pPr>
            <w:numPr>
              <w:ilvl w:val="0"/>
              <w:numId w:val="0"/>
            </w:numPr>
            <w:ind w:leftChars="0"/>
            <w:rPr>
              <w:rFonts w:hint="eastAsia"/>
              <w:lang w:val="en-US" w:eastAsia="zh-CN"/>
            </w:rPr>
          </w:pPr>
        </w:p>
        <w:p>
          <w:pPr>
            <w:numPr>
              <w:ilvl w:val="0"/>
              <w:numId w:val="0"/>
            </w:numPr>
            <w:ind w:leftChars="0"/>
            <w:rPr>
              <w:rFonts w:hint="default" w:eastAsiaTheme="minorEastAsia"/>
              <w:lang w:val="en-US" w:eastAsia="zh-CN"/>
            </w:rPr>
          </w:pPr>
          <w:r>
            <w:rPr>
              <w:rFonts w:hint="eastAsia"/>
              <w:lang w:val="en-US" w:eastAsia="zh-CN"/>
            </w:rPr>
            <w:t xml:space="preserve">       </w:t>
          </w:r>
          <w:r>
            <w:drawing>
              <wp:inline distT="0" distB="0" distL="114300" distR="114300">
                <wp:extent cx="4572000" cy="2743200"/>
                <wp:effectExtent l="4445" t="4445" r="5080" b="43180"/>
                <wp:docPr id="24" name="图表 2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numPr>
              <w:ilvl w:val="0"/>
              <w:numId w:val="0"/>
            </w:numPr>
            <w:jc w:val="center"/>
            <w:rPr>
              <w:rFonts w:hint="eastAsia"/>
              <w:lang w:val="en-US" w:eastAsia="zh-CN"/>
            </w:rPr>
          </w:pPr>
          <w:r>
            <w:rPr>
              <w:rFonts w:hint="eastAsia"/>
              <w:lang w:val="en-US" w:eastAsia="zh-CN"/>
            </w:rPr>
            <w:t>图表 4</w:t>
          </w:r>
        </w:p>
        <w:p>
          <w:pPr>
            <w:numPr>
              <w:ilvl w:val="0"/>
              <w:numId w:val="0"/>
            </w:numPr>
            <w:jc w:val="center"/>
            <w:rPr>
              <w:rFonts w:hint="default"/>
              <w:lang w:val="en-US" w:eastAsia="zh-CN"/>
            </w:rPr>
          </w:pPr>
          <w:r>
            <w:drawing>
              <wp:inline distT="0" distB="0" distL="114300" distR="114300">
                <wp:extent cx="4572000" cy="2743200"/>
                <wp:effectExtent l="4445" t="4445" r="5080" b="43180"/>
                <wp:docPr id="22"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numPr>
              <w:ilvl w:val="0"/>
              <w:numId w:val="0"/>
            </w:numPr>
            <w:ind w:leftChars="0"/>
            <w:jc w:val="center"/>
            <w:rPr>
              <w:rFonts w:hint="eastAsia"/>
              <w:lang w:val="en-US" w:eastAsia="zh-CN"/>
            </w:rPr>
          </w:pPr>
          <w:r>
            <w:rPr>
              <w:rFonts w:hint="eastAsia"/>
              <w:lang w:val="en-US" w:eastAsia="zh-CN"/>
            </w:rPr>
            <w:t>图表5</w:t>
          </w:r>
        </w:p>
        <w:p>
          <w:pPr>
            <w:numPr>
              <w:ilvl w:val="0"/>
              <w:numId w:val="0"/>
            </w:numPr>
            <w:rPr>
              <w:rFonts w:hint="eastAsia"/>
              <w:b/>
              <w:bCs/>
              <w:sz w:val="22"/>
              <w:szCs w:val="28"/>
              <w:lang w:val="en-US" w:eastAsia="zh-CN"/>
            </w:rPr>
          </w:pPr>
          <w:r>
            <w:rPr>
              <w:rFonts w:hint="eastAsia"/>
              <w:b/>
              <w:bCs/>
              <w:sz w:val="22"/>
              <w:szCs w:val="28"/>
              <w:lang w:val="en-US" w:eastAsia="zh-CN"/>
            </w:rPr>
            <w:t>3、赔偿类型</w:t>
          </w:r>
        </w:p>
        <w:p>
          <w:pPr>
            <w:numPr>
              <w:ilvl w:val="0"/>
              <w:numId w:val="0"/>
            </w:numPr>
            <w:ind w:leftChars="0" w:firstLine="420" w:firstLineChars="200"/>
            <w:rPr>
              <w:rFonts w:hint="eastAsia"/>
              <w:lang w:val="en-US" w:eastAsia="zh-CN"/>
            </w:rPr>
          </w:pPr>
          <w:r>
            <w:rPr>
              <w:rFonts w:hint="eastAsia"/>
              <w:lang w:val="en-US" w:eastAsia="zh-CN"/>
            </w:rPr>
            <w:t>由图表6可知团队借助航空慧法网站整理出航空运输保险纠纷中的赔偿类型较多，因为保险纠纷涉及的案件较为繁杂，涉及旅客财产与人身纠纷，所以会涉及货物、行李、人身相关的合同和侵权案件中常出现的赔偿类型，其中保险费、保险金、保险理赔款、赔偿金（保险赔偿金）、代偿款都是同样费用的不同表述，由图表7可知处保险相关费用外，数量较多的类型中值得关注的是限额，其中限额与货物损失与人身伤亡相关，都是赔偿的责任限额。</w:t>
          </w:r>
        </w:p>
        <w:p>
          <w:pPr>
            <w:numPr>
              <w:ilvl w:val="0"/>
              <w:numId w:val="0"/>
            </w:numPr>
            <w:ind w:leftChars="0" w:firstLine="420" w:firstLineChars="200"/>
            <w:rPr>
              <w:rFonts w:hint="eastAsia"/>
              <w:lang w:val="en-US" w:eastAsia="zh-CN"/>
            </w:rPr>
          </w:pPr>
          <w:r>
            <w:rPr>
              <w:rFonts w:hint="eastAsia"/>
              <w:lang w:val="en-US" w:eastAsia="zh-CN"/>
            </w:rPr>
            <w:t>图表8是关于赔偿数额的数据，由图可知，保险代偿纠纷中纠纷数额集中在1万以下，数额在10万以上区间的并不多，这和具体的争议事由有关，货物与行李纠纷纠纷数额较小，这类案件中，保险赔偿的数额除了与限额相关还与声明价值相关，是否声明价格可能影响后者的注意义务和损失的可预见性；部分货物以及人身侵权纠纷尤其是人身伤亡纠纷数额较大，其中还有部分是受责任限额的影响。</w:t>
          </w:r>
        </w:p>
        <w:p>
          <w:pPr>
            <w:numPr>
              <w:ilvl w:val="0"/>
              <w:numId w:val="0"/>
            </w:numPr>
            <w:rPr>
              <w:rFonts w:hint="default"/>
              <w:b/>
              <w:bCs/>
              <w:sz w:val="22"/>
              <w:szCs w:val="28"/>
              <w:lang w:val="en-US" w:eastAsia="zh-CN"/>
            </w:rPr>
          </w:pPr>
        </w:p>
        <w:tbl>
          <w:tblPr>
            <w:tblStyle w:val="8"/>
            <w:tblW w:w="96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
            <w:gridCol w:w="347"/>
            <w:gridCol w:w="303"/>
            <w:gridCol w:w="302"/>
            <w:gridCol w:w="302"/>
            <w:gridCol w:w="302"/>
            <w:gridCol w:w="302"/>
            <w:gridCol w:w="303"/>
            <w:gridCol w:w="303"/>
            <w:gridCol w:w="302"/>
            <w:gridCol w:w="302"/>
            <w:gridCol w:w="303"/>
            <w:gridCol w:w="302"/>
            <w:gridCol w:w="347"/>
            <w:gridCol w:w="302"/>
            <w:gridCol w:w="302"/>
            <w:gridCol w:w="303"/>
            <w:gridCol w:w="302"/>
            <w:gridCol w:w="302"/>
            <w:gridCol w:w="302"/>
            <w:gridCol w:w="302"/>
            <w:gridCol w:w="303"/>
            <w:gridCol w:w="303"/>
            <w:gridCol w:w="302"/>
            <w:gridCol w:w="388"/>
            <w:gridCol w:w="388"/>
            <w:gridCol w:w="388"/>
            <w:gridCol w:w="388"/>
            <w:gridCol w:w="388"/>
            <w:gridCol w:w="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 w:type="dxa"/>
                <w:noWrap w:val="0"/>
                <w:vAlign w:val="top"/>
              </w:tcPr>
              <w:p>
                <w:pPr>
                  <w:numPr>
                    <w:ilvl w:val="0"/>
                    <w:numId w:val="0"/>
                  </w:numPr>
                  <w:rPr>
                    <w:rFonts w:hint="default"/>
                    <w:b/>
                    <w:bCs/>
                    <w:sz w:val="24"/>
                    <w:szCs w:val="32"/>
                    <w:vertAlign w:val="baseline"/>
                    <w:lang w:val="en-US" w:eastAsia="zh-CN"/>
                  </w:rPr>
                </w:pPr>
                <w:r>
                  <w:rPr>
                    <w:rFonts w:hint="eastAsia"/>
                    <w:b/>
                    <w:bCs/>
                    <w:sz w:val="24"/>
                    <w:szCs w:val="32"/>
                    <w:vertAlign w:val="baseline"/>
                    <w:lang w:val="en-US" w:eastAsia="zh-CN"/>
                  </w:rPr>
                  <w:t>争议事由</w:t>
                </w:r>
              </w:p>
            </w:tc>
            <w:tc>
              <w:tcPr>
                <w:tcW w:w="347" w:type="dxa"/>
                <w:noWrap w:val="0"/>
                <w:vAlign w:val="top"/>
              </w:tcPr>
              <w:p>
                <w:pPr>
                  <w:numPr>
                    <w:ilvl w:val="0"/>
                    <w:numId w:val="0"/>
                  </w:numPr>
                  <w:rPr>
                    <w:rFonts w:hint="default"/>
                    <w:vertAlign w:val="baseline"/>
                    <w:lang w:val="en-US" w:eastAsia="zh-CN"/>
                  </w:rPr>
                </w:pPr>
                <w:r>
                  <w:rPr>
                    <w:rFonts w:hint="eastAsia"/>
                    <w:vertAlign w:val="baseline"/>
                    <w:lang w:val="en-US" w:eastAsia="zh-CN"/>
                  </w:rPr>
                  <w:t>误工</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残疾赔偿金</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鉴定费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丧葬费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医疗费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死亡赔偿金</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抚慰金</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寄存费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住宿费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翻译费</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住院费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伙食补助费</w:t>
                </w:r>
              </w:p>
            </w:tc>
            <w:tc>
              <w:tcPr>
                <w:tcW w:w="347" w:type="dxa"/>
                <w:noWrap w:val="0"/>
                <w:vAlign w:val="top"/>
              </w:tcPr>
              <w:p>
                <w:pPr>
                  <w:numPr>
                    <w:ilvl w:val="0"/>
                    <w:numId w:val="0"/>
                  </w:numPr>
                  <w:rPr>
                    <w:rFonts w:hint="default"/>
                    <w:vertAlign w:val="baseline"/>
                    <w:lang w:val="en-US" w:eastAsia="zh-CN"/>
                  </w:rPr>
                </w:pPr>
                <w:r>
                  <w:rPr>
                    <w:rFonts w:hint="eastAsia"/>
                    <w:vertAlign w:val="baseline"/>
                    <w:lang w:val="en-US" w:eastAsia="zh-CN"/>
                  </w:rPr>
                  <w:t>营养费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陪护费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护理费</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交通费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保险金</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运费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税费</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代偿款</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理赔款</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货损价值</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货物损失</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提别提款权</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限额</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利息</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赔偿金</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报关费</w:t>
                </w:r>
              </w:p>
            </w:tc>
            <w:tc>
              <w:tcPr>
                <w:tcW w:w="388" w:type="dxa"/>
                <w:noWrap w:val="0"/>
                <w:vAlign w:val="top"/>
              </w:tcPr>
              <w:p>
                <w:pPr>
                  <w:numPr>
                    <w:ilvl w:val="0"/>
                    <w:numId w:val="0"/>
                  </w:numPr>
                  <w:rPr>
                    <w:rFonts w:hint="default"/>
                    <w:vertAlign w:val="baseline"/>
                    <w:lang w:val="en-US" w:eastAsia="zh-CN"/>
                  </w:rPr>
                </w:pPr>
                <w:r>
                  <w:rPr>
                    <w:rFonts w:hint="eastAsia"/>
                    <w:vertAlign w:val="baseline"/>
                    <w:lang w:val="en-US" w:eastAsia="zh-CN"/>
                  </w:rPr>
                  <w:t>保险费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 w:type="dxa"/>
                <w:noWrap w:val="0"/>
                <w:vAlign w:val="top"/>
              </w:tcPr>
              <w:p>
                <w:pPr>
                  <w:numPr>
                    <w:ilvl w:val="0"/>
                    <w:numId w:val="0"/>
                  </w:numPr>
                  <w:rPr>
                    <w:rFonts w:hint="default"/>
                    <w:b/>
                    <w:bCs/>
                    <w:sz w:val="22"/>
                    <w:szCs w:val="28"/>
                    <w:vertAlign w:val="baseline"/>
                    <w:lang w:val="en-US" w:eastAsia="zh-CN"/>
                  </w:rPr>
                </w:pPr>
                <w:r>
                  <w:rPr>
                    <w:rFonts w:hint="eastAsia"/>
                    <w:b/>
                    <w:bCs/>
                    <w:sz w:val="22"/>
                    <w:szCs w:val="28"/>
                    <w:vertAlign w:val="baseline"/>
                    <w:lang w:val="en-US" w:eastAsia="zh-CN"/>
                  </w:rPr>
                  <w:t>案件数</w:t>
                </w:r>
              </w:p>
            </w:tc>
            <w:tc>
              <w:tcPr>
                <w:tcW w:w="347" w:type="dxa"/>
                <w:noWrap w:val="0"/>
                <w:vAlign w:val="top"/>
              </w:tcPr>
              <w:p>
                <w:pPr>
                  <w:numPr>
                    <w:ilvl w:val="0"/>
                    <w:numId w:val="0"/>
                  </w:numPr>
                  <w:rPr>
                    <w:rFonts w:hint="default"/>
                    <w:vertAlign w:val="baseline"/>
                    <w:lang w:val="en-US" w:eastAsia="zh-CN"/>
                  </w:rPr>
                </w:pPr>
                <w:r>
                  <w:rPr>
                    <w:rFonts w:hint="eastAsia"/>
                    <w:vertAlign w:val="baseline"/>
                    <w:lang w:val="en-US" w:eastAsia="zh-CN"/>
                  </w:rPr>
                  <w:t>42</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9</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17</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6</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19</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5</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2</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1</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6</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6</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6</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3</w:t>
                </w:r>
              </w:p>
            </w:tc>
            <w:tc>
              <w:tcPr>
                <w:tcW w:w="347" w:type="dxa"/>
                <w:noWrap w:val="0"/>
                <w:vAlign w:val="top"/>
              </w:tcPr>
              <w:p>
                <w:pPr>
                  <w:numPr>
                    <w:ilvl w:val="0"/>
                    <w:numId w:val="0"/>
                  </w:numPr>
                  <w:rPr>
                    <w:rFonts w:hint="default"/>
                    <w:vertAlign w:val="baseline"/>
                    <w:lang w:val="en-US" w:eastAsia="zh-CN"/>
                  </w:rPr>
                </w:pPr>
                <w:r>
                  <w:rPr>
                    <w:rFonts w:hint="eastAsia"/>
                    <w:vertAlign w:val="baseline"/>
                    <w:lang w:val="en-US" w:eastAsia="zh-CN"/>
                  </w:rPr>
                  <w:t>3</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1</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5</w:t>
                </w:r>
              </w:p>
            </w:tc>
            <w:tc>
              <w:tcPr>
                <w:tcW w:w="303" w:type="dxa"/>
                <w:noWrap w:val="0"/>
                <w:vAlign w:val="top"/>
              </w:tcPr>
              <w:p>
                <w:pPr>
                  <w:numPr>
                    <w:ilvl w:val="0"/>
                    <w:numId w:val="0"/>
                  </w:numPr>
                  <w:rPr>
                    <w:rFonts w:hint="default"/>
                    <w:vertAlign w:val="baseline"/>
                    <w:lang w:val="en-US" w:eastAsia="zh-CN"/>
                  </w:rPr>
                </w:pPr>
                <w:r>
                  <w:rPr>
                    <w:rFonts w:hint="eastAsia"/>
                    <w:vertAlign w:val="baseline"/>
                    <w:lang w:val="en-US" w:eastAsia="zh-CN"/>
                  </w:rPr>
                  <w:t>8</w:t>
                </w:r>
              </w:p>
            </w:tc>
            <w:tc>
              <w:tcPr>
                <w:tcW w:w="302" w:type="dxa"/>
                <w:noWrap w:val="0"/>
                <w:vAlign w:val="top"/>
              </w:tcPr>
              <w:p>
                <w:pPr>
                  <w:numPr>
                    <w:ilvl w:val="0"/>
                    <w:numId w:val="0"/>
                  </w:numPr>
                  <w:rPr>
                    <w:rFonts w:hint="default"/>
                    <w:vertAlign w:val="baseline"/>
                    <w:lang w:val="en-US" w:eastAsia="zh-CN"/>
                  </w:rPr>
                </w:pPr>
                <w:r>
                  <w:rPr>
                    <w:rFonts w:hint="eastAsia"/>
                    <w:vertAlign w:val="baseline"/>
                    <w:lang w:val="en-US" w:eastAsia="zh-CN"/>
                  </w:rPr>
                  <w:t>164</w:t>
                </w:r>
              </w:p>
            </w:tc>
            <w:tc>
              <w:tcPr>
                <w:tcW w:w="302"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14</w:t>
                </w:r>
              </w:p>
            </w:tc>
            <w:tc>
              <w:tcPr>
                <w:tcW w:w="302"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3</w:t>
                </w:r>
              </w:p>
            </w:tc>
            <w:tc>
              <w:tcPr>
                <w:tcW w:w="302"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11</w:t>
                </w:r>
              </w:p>
            </w:tc>
            <w:tc>
              <w:tcPr>
                <w:tcW w:w="303"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45</w:t>
                </w:r>
              </w:p>
            </w:tc>
            <w:tc>
              <w:tcPr>
                <w:tcW w:w="303"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16</w:t>
                </w:r>
              </w:p>
            </w:tc>
            <w:tc>
              <w:tcPr>
                <w:tcW w:w="302"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15</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17</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80</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146</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86</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6</w:t>
                </w:r>
              </w:p>
            </w:tc>
            <w:tc>
              <w:tcPr>
                <w:tcW w:w="388" w:type="dxa"/>
                <w:noWrap w:val="0"/>
                <w:vAlign w:val="top"/>
              </w:tcPr>
              <w:p>
                <w:pPr>
                  <w:numPr>
                    <w:ilvl w:val="0"/>
                    <w:numId w:val="0"/>
                  </w:numPr>
                  <w:rPr>
                    <w:rFonts w:hint="default"/>
                    <w:highlight w:val="none"/>
                    <w:vertAlign w:val="baseline"/>
                    <w:lang w:val="en-US" w:eastAsia="zh-CN"/>
                  </w:rPr>
                </w:pPr>
                <w:r>
                  <w:rPr>
                    <w:rFonts w:hint="eastAsia"/>
                    <w:highlight w:val="none"/>
                    <w:vertAlign w:val="baseline"/>
                    <w:lang w:val="en-US" w:eastAsia="zh-CN"/>
                  </w:rPr>
                  <w:t>50</w:t>
                </w:r>
              </w:p>
            </w:tc>
          </w:tr>
        </w:tbl>
        <w:p>
          <w:pPr>
            <w:numPr>
              <w:ilvl w:val="0"/>
              <w:numId w:val="0"/>
            </w:numPr>
            <w:jc w:val="center"/>
            <w:rPr>
              <w:rFonts w:hint="default"/>
              <w:lang w:val="en-US" w:eastAsia="zh-CN"/>
            </w:rPr>
          </w:pPr>
          <w:r>
            <w:rPr>
              <w:rFonts w:hint="eastAsia"/>
              <w:lang w:val="en-US" w:eastAsia="zh-CN"/>
            </w:rPr>
            <w:t>图表 6</w:t>
          </w:r>
        </w:p>
        <w:p>
          <w:pPr>
            <w:numPr>
              <w:ilvl w:val="0"/>
              <w:numId w:val="0"/>
            </w:numPr>
            <w:ind w:leftChars="0"/>
          </w:pPr>
          <w:r>
            <w:rPr>
              <w:rFonts w:hint="eastAsia"/>
              <w:lang w:val="en-US" w:eastAsia="zh-CN"/>
            </w:rPr>
            <w:t xml:space="preserve">              </w:t>
          </w:r>
          <w:r>
            <w:drawing>
              <wp:inline distT="0" distB="0" distL="114300" distR="114300">
                <wp:extent cx="3456940" cy="1516380"/>
                <wp:effectExtent l="4445" t="5080" r="5715" b="12065"/>
                <wp:docPr id="18" name="图表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numPr>
              <w:ilvl w:val="0"/>
              <w:numId w:val="0"/>
            </w:numPr>
            <w:jc w:val="center"/>
            <w:rPr>
              <w:rFonts w:hint="eastAsia"/>
              <w:lang w:val="en-US" w:eastAsia="zh-CN"/>
            </w:rPr>
          </w:pPr>
          <w:r>
            <w:rPr>
              <w:rFonts w:hint="eastAsia"/>
              <w:lang w:val="en-US" w:eastAsia="zh-CN"/>
            </w:rPr>
            <w:t>图表7</w:t>
          </w:r>
        </w:p>
        <w:p>
          <w:pPr>
            <w:numPr>
              <w:ilvl w:val="0"/>
              <w:numId w:val="0"/>
            </w:numPr>
            <w:jc w:val="center"/>
            <w:rPr>
              <w:rFonts w:hint="default"/>
              <w:lang w:val="en-US" w:eastAsia="zh-CN"/>
            </w:rPr>
          </w:pPr>
          <w:r>
            <w:drawing>
              <wp:inline distT="0" distB="0" distL="114300" distR="114300">
                <wp:extent cx="3246120" cy="1948180"/>
                <wp:effectExtent l="4445" t="4445" r="6985" b="38100"/>
                <wp:docPr id="19" name="图表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numPr>
              <w:ilvl w:val="0"/>
              <w:numId w:val="0"/>
            </w:numPr>
            <w:ind w:leftChars="0"/>
            <w:jc w:val="center"/>
            <w:rPr>
              <w:rFonts w:hint="eastAsia"/>
              <w:lang w:val="en-US" w:eastAsia="zh-CN"/>
            </w:rPr>
          </w:pPr>
          <w:r>
            <w:rPr>
              <w:rFonts w:hint="eastAsia"/>
              <w:lang w:val="en-US" w:eastAsia="zh-CN"/>
            </w:rPr>
            <w:t>图表8</w:t>
          </w:r>
        </w:p>
        <w:p>
          <w:pPr>
            <w:numPr>
              <w:ilvl w:val="0"/>
              <w:numId w:val="0"/>
            </w:numPr>
            <w:ind w:leftChars="0"/>
            <w:jc w:val="center"/>
            <w:rPr>
              <w:rFonts w:hint="eastAsia"/>
              <w:lang w:val="en-US" w:eastAsia="zh-CN"/>
            </w:rPr>
          </w:pPr>
        </w:p>
        <w:p>
          <w:pPr>
            <w:numPr>
              <w:ilvl w:val="0"/>
              <w:numId w:val="0"/>
            </w:numPr>
            <w:rPr>
              <w:rFonts w:hint="eastAsia"/>
              <w:b/>
              <w:bCs/>
              <w:sz w:val="22"/>
              <w:szCs w:val="28"/>
              <w:lang w:val="en-US" w:eastAsia="zh-CN"/>
            </w:rPr>
          </w:pPr>
          <w:r>
            <w:rPr>
              <w:rFonts w:hint="eastAsia"/>
              <w:b/>
              <w:bCs/>
              <w:sz w:val="22"/>
              <w:szCs w:val="28"/>
              <w:lang w:val="en-US" w:eastAsia="zh-CN"/>
            </w:rPr>
            <w:t>4、法律规范分析</w:t>
          </w:r>
        </w:p>
        <w:p>
          <w:pPr>
            <w:numPr>
              <w:ilvl w:val="0"/>
              <w:numId w:val="0"/>
            </w:num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团队将307件保险纠纷案件中判决援引或参照的法律法规进行了筛选、整理与分类，提取出较具代表性的12部法律法规，其中保险法相关司法解释与保险法纳入一类（详见图表9）。可以看到，航空运输的保险纠纷案件中，法官在判决书中，援引合同法与保险法较多，与一般案件无异，但是航空运输中保险纠纷案件的特点在于航空法中的责任限额以及涉外因素、国际条约的相关规定。</w:t>
          </w:r>
        </w:p>
        <w:p>
          <w:pPr>
            <w:numPr>
              <w:ilvl w:val="0"/>
              <w:numId w:val="0"/>
            </w:numPr>
            <w:rPr>
              <w:rFonts w:hint="default"/>
              <w:b/>
              <w:bCs/>
              <w:sz w:val="22"/>
              <w:szCs w:val="28"/>
              <w:lang w:val="en-US" w:eastAsia="zh-CN"/>
            </w:rPr>
          </w:pPr>
        </w:p>
        <w:tbl>
          <w:tblPr>
            <w:tblStyle w:val="8"/>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2"/>
            <w:gridCol w:w="773"/>
            <w:gridCol w:w="773"/>
            <w:gridCol w:w="773"/>
            <w:gridCol w:w="773"/>
            <w:gridCol w:w="773"/>
            <w:gridCol w:w="773"/>
            <w:gridCol w:w="773"/>
            <w:gridCol w:w="773"/>
            <w:gridCol w:w="773"/>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 w:type="pct"/>
                <w:noWrap w:val="0"/>
                <w:vAlign w:val="top"/>
              </w:tcPr>
              <w:p>
                <w:pPr>
                  <w:numPr>
                    <w:ilvl w:val="0"/>
                    <w:numId w:val="0"/>
                  </w:numPr>
                  <w:rPr>
                    <w:rFonts w:hint="default"/>
                    <w:b/>
                    <w:bCs/>
                    <w:sz w:val="24"/>
                    <w:szCs w:val="32"/>
                    <w:vertAlign w:val="baseline"/>
                    <w:lang w:val="en-US" w:eastAsia="zh-CN"/>
                  </w:rPr>
                </w:pPr>
                <w:r>
                  <w:rPr>
                    <w:rFonts w:hint="eastAsia"/>
                    <w:b/>
                    <w:bCs/>
                    <w:sz w:val="24"/>
                    <w:szCs w:val="32"/>
                    <w:vertAlign w:val="baseline"/>
                    <w:lang w:val="en-US" w:eastAsia="zh-CN"/>
                  </w:rPr>
                  <w:t>法律规范</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物权法</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侵权法</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人身损害赔偿解释</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航空法</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赔偿责任限额规定</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保险法以及司法解释</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合同法</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蒙特利尔公约</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海牙议定书</w:t>
                </w:r>
              </w:p>
            </w:tc>
            <w:tc>
              <w:tcPr>
                <w:tcW w:w="462" w:type="pct"/>
                <w:noWrap w:val="0"/>
                <w:vAlign w:val="top"/>
              </w:tcPr>
              <w:p>
                <w:pPr>
                  <w:numPr>
                    <w:ilvl w:val="0"/>
                    <w:numId w:val="0"/>
                  </w:numPr>
                  <w:rPr>
                    <w:rFonts w:hint="default"/>
                    <w:vertAlign w:val="baseline"/>
                    <w:lang w:val="en-US" w:eastAsia="zh-CN"/>
                  </w:rPr>
                </w:pPr>
                <w:r>
                  <w:rPr>
                    <w:rFonts w:hint="eastAsia"/>
                    <w:vertAlign w:val="baseline"/>
                    <w:lang w:val="en-US" w:eastAsia="zh-CN"/>
                  </w:rPr>
                  <w:t>涉外民事关系法律适用法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 w:type="pct"/>
                <w:noWrap w:val="0"/>
                <w:vAlign w:val="top"/>
              </w:tcPr>
              <w:p>
                <w:pPr>
                  <w:numPr>
                    <w:ilvl w:val="0"/>
                    <w:numId w:val="0"/>
                  </w:numPr>
                  <w:rPr>
                    <w:rFonts w:hint="default"/>
                    <w:b/>
                    <w:bCs/>
                    <w:sz w:val="22"/>
                    <w:szCs w:val="28"/>
                    <w:vertAlign w:val="baseline"/>
                    <w:lang w:val="en-US" w:eastAsia="zh-CN"/>
                  </w:rPr>
                </w:pPr>
                <w:r>
                  <w:rPr>
                    <w:rFonts w:hint="eastAsia"/>
                    <w:b/>
                    <w:bCs/>
                    <w:sz w:val="22"/>
                    <w:szCs w:val="28"/>
                    <w:vertAlign w:val="baseline"/>
                    <w:lang w:val="en-US" w:eastAsia="zh-CN"/>
                  </w:rPr>
                  <w:t>案件数</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3</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15</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9</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28</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10</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147</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80</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13</w:t>
                </w:r>
              </w:p>
            </w:tc>
            <w:tc>
              <w:tcPr>
                <w:tcW w:w="453" w:type="pct"/>
                <w:noWrap w:val="0"/>
                <w:vAlign w:val="top"/>
              </w:tcPr>
              <w:p>
                <w:pPr>
                  <w:numPr>
                    <w:ilvl w:val="0"/>
                    <w:numId w:val="0"/>
                  </w:numPr>
                  <w:rPr>
                    <w:rFonts w:hint="default"/>
                    <w:vertAlign w:val="baseline"/>
                    <w:lang w:val="en-US" w:eastAsia="zh-CN"/>
                  </w:rPr>
                </w:pPr>
                <w:r>
                  <w:rPr>
                    <w:rFonts w:hint="eastAsia"/>
                    <w:vertAlign w:val="baseline"/>
                    <w:lang w:val="en-US" w:eastAsia="zh-CN"/>
                  </w:rPr>
                  <w:t>3</w:t>
                </w:r>
              </w:p>
            </w:tc>
            <w:tc>
              <w:tcPr>
                <w:tcW w:w="462" w:type="pct"/>
                <w:noWrap w:val="0"/>
                <w:vAlign w:val="top"/>
              </w:tcPr>
              <w:p>
                <w:pPr>
                  <w:numPr>
                    <w:ilvl w:val="0"/>
                    <w:numId w:val="0"/>
                  </w:numPr>
                  <w:rPr>
                    <w:rFonts w:hint="default"/>
                    <w:vertAlign w:val="baseline"/>
                    <w:lang w:val="en-US" w:eastAsia="zh-CN"/>
                  </w:rPr>
                </w:pPr>
                <w:r>
                  <w:rPr>
                    <w:rFonts w:hint="eastAsia"/>
                    <w:vertAlign w:val="baseline"/>
                    <w:lang w:val="en-US" w:eastAsia="zh-CN"/>
                  </w:rPr>
                  <w:t>5</w:t>
                </w:r>
              </w:p>
            </w:tc>
          </w:tr>
        </w:tbl>
        <w:p>
          <w:pPr>
            <w:numPr>
              <w:ilvl w:val="0"/>
              <w:numId w:val="0"/>
            </w:numPr>
            <w:ind w:leftChars="0"/>
            <w:jc w:val="center"/>
            <w:rPr>
              <w:rFonts w:hint="eastAsia"/>
              <w:lang w:val="en-US" w:eastAsia="zh-CN"/>
            </w:rPr>
          </w:pPr>
          <w:r>
            <w:rPr>
              <w:rFonts w:hint="eastAsia"/>
              <w:lang w:val="en-US" w:eastAsia="zh-CN"/>
            </w:rPr>
            <w:t>图表9</w:t>
          </w:r>
        </w:p>
        <w:p>
          <w:pPr>
            <w:numPr>
              <w:ilvl w:val="0"/>
              <w:numId w:val="0"/>
            </w:numPr>
            <w:ind w:leftChars="0"/>
            <w:jc w:val="center"/>
          </w:pPr>
          <w:r>
            <w:drawing>
              <wp:inline distT="0" distB="0" distL="114300" distR="114300">
                <wp:extent cx="4761865" cy="2682240"/>
                <wp:effectExtent l="4445" t="5080" r="5715"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numPr>
              <w:ilvl w:val="0"/>
              <w:numId w:val="0"/>
            </w:numPr>
            <w:ind w:leftChars="0"/>
            <w:jc w:val="center"/>
            <w:rPr>
              <w:rFonts w:hint="default" w:eastAsia="宋体"/>
              <w:lang w:val="en-US" w:eastAsia="zh-CN"/>
            </w:rPr>
          </w:pPr>
          <w:r>
            <w:rPr>
              <w:rFonts w:hint="eastAsia"/>
              <w:lang w:val="en-US" w:eastAsia="zh-CN"/>
            </w:rPr>
            <w:t>图表10</w:t>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五</w:t>
          </w:r>
          <w:r>
            <w:rPr>
              <w:rFonts w:hint="eastAsia" w:ascii="仿宋_GB2312" w:hAnsi="Times New Roman" w:eastAsia="仿宋_GB2312" w:cs="Times New Roman"/>
              <w:kern w:val="2"/>
              <w:sz w:val="28"/>
              <w:szCs w:val="28"/>
              <w:lang w:val="en-US" w:eastAsia="zh-CN" w:bidi="ar-SA"/>
            </w:rPr>
            <w:fldChar w:fldCharType="end"/>
          </w:r>
          <w:r>
            <w:rPr>
              <w:rFonts w:hint="eastAsia" w:ascii="仿宋_GB2312" w:hAnsi="Times New Roman" w:eastAsia="仿宋_GB2312" w:cs="Times New Roman"/>
              <w:kern w:val="2"/>
              <w:sz w:val="28"/>
              <w:szCs w:val="28"/>
              <w:lang w:val="en-US" w:eastAsia="zh-CN" w:bidi="ar-SA"/>
            </w:rPr>
            <w:t>、民用航空侵权案件获赔影响因素分析</w:t>
          </w:r>
        </w:p>
        <w:p>
          <w:pPr>
            <w:rPr>
              <w:rFonts w:hint="eastAsia" w:ascii="仿宋_GB2312" w:hAnsi="Times New Roman" w:eastAsia="仿宋_GB2312" w:cs="Times New Roman"/>
              <w:kern w:val="2"/>
              <w:sz w:val="28"/>
              <w:szCs w:val="28"/>
              <w:lang w:val="en-US" w:eastAsia="zh-CN" w:bidi="ar-SA"/>
            </w:rPr>
          </w:pPr>
          <w:r>
            <w:rPr>
              <w:rFonts w:hint="eastAsia" w:ascii="仿宋_GB2312" w:hAnsi="Times New Roman" w:eastAsia="仿宋_GB2312" w:cs="Times New Roman"/>
              <w:kern w:val="2"/>
              <w:sz w:val="28"/>
              <w:szCs w:val="28"/>
              <w:lang w:val="en-US" w:eastAsia="zh-CN" w:bidi="ar-SA"/>
            </w:rPr>
            <w:t>【分案件类型，结合事由、证据等方面分析】</w:t>
          </w:r>
        </w:p>
        <w:p>
          <w:r>
            <w:rPr>
              <w:rFonts w:hint="eastAsia" w:ascii="仿宋_GB2312" w:hAnsi="Times New Roman" w:eastAsia="仿宋_GB2312" w:cs="Times New Roman"/>
              <w:kern w:val="2"/>
              <w:sz w:val="28"/>
              <w:szCs w:val="28"/>
              <w:lang w:val="en-US" w:eastAsia="zh-CN" w:bidi="ar-SA"/>
            </w:rPr>
            <w:t>六、优化</w:t>
          </w:r>
          <w:r>
            <w:rPr>
              <w:rFonts w:hint="eastAsia" w:ascii="仿宋_GB2312" w:eastAsia="仿宋_GB2312"/>
              <w:color w:val="000000"/>
              <w:sz w:val="28"/>
            </w:rPr>
            <w:t>国内航空运输责任限额</w:t>
          </w:r>
          <w:r>
            <w:rPr>
              <w:rFonts w:hint="eastAsia" w:ascii="仿宋_GB2312" w:eastAsia="仿宋_GB2312"/>
              <w:color w:val="000000"/>
              <w:sz w:val="28"/>
              <w:lang w:val="en-US" w:eastAsia="zh-CN"/>
            </w:rPr>
            <w:t>的立法建议</w:t>
          </w:r>
        </w:p>
      </w:sdtContent>
    </w:sdt>
    <w:p>
      <w:pPr>
        <w:rPr>
          <w:rFonts w:hint="eastAsia" w:ascii="仿宋_GB2312" w:eastAsia="仿宋_GB2312"/>
          <w:color w:val="000000"/>
          <w:sz w:val="28"/>
          <w:lang w:val="en-US" w:eastAsia="zh-CN"/>
        </w:rPr>
      </w:pPr>
      <w:r>
        <w:rPr>
          <w:rFonts w:hint="eastAsia" w:ascii="仿宋_GB2312" w:eastAsia="仿宋_GB2312"/>
          <w:color w:val="000000"/>
          <w:sz w:val="28"/>
          <w:lang w:val="en-US" w:eastAsia="zh-CN"/>
        </w:rPr>
        <w:t>1、必要性</w:t>
      </w:r>
    </w:p>
    <w:p>
      <w:pPr>
        <w:rPr>
          <w:rFonts w:hint="default" w:ascii="仿宋_GB2312" w:eastAsia="仿宋_GB2312"/>
          <w:color w:val="000000"/>
          <w:sz w:val="28"/>
          <w:lang w:val="en-US" w:eastAsia="zh-CN"/>
        </w:rPr>
      </w:pPr>
      <w:r>
        <w:rPr>
          <w:rFonts w:hint="eastAsia" w:ascii="仿宋_GB2312" w:eastAsia="仿宋_GB2312"/>
          <w:color w:val="000000"/>
          <w:sz w:val="28"/>
          <w:lang w:val="en-US" w:eastAsia="zh-CN"/>
        </w:rPr>
        <w:t>2、具体建议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Impact">
    <w:panose1 w:val="020B0806030902050204"/>
    <w:charset w:val="00"/>
    <w:family w:val="auto"/>
    <w:pitch w:val="default"/>
    <w:sig w:usb0="00000287" w:usb1="00000000" w:usb2="00000000" w:usb3="00000000" w:csb0="2000009F" w:csb1="DFD70000"/>
  </w:font>
  <w:font w:name="微软雅黑 Light">
    <w:panose1 w:val="020B0502040204020203"/>
    <w:charset w:val="86"/>
    <w:family w:val="auto"/>
    <w:pitch w:val="default"/>
    <w:sig w:usb0="80000287" w:usb1="2ACF0010" w:usb2="00000016" w:usb3="00000000" w:csb0="0004001F" w:csb1="00000000"/>
  </w:font>
  <w:font w:name="Arial">
    <w:panose1 w:val="020B0604020202020204"/>
    <w:charset w:val="00"/>
    <w:family w:val=""/>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XU/0tAgAAVw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xXU/0tAgAAVwQAAA4AAAAAAAAAAQAgAAAAHwEAAGRycy9lMm9Eb2MueG1sUEsFBgAAAAAG&#10;AAYAWQEAAL4FAAAAAA==&#10;">
              <v:fill on="f" focussize="0,0"/>
              <v:stroke on="f" weight="0.5pt"/>
              <v:imagedata o:title=""/>
              <o:lock v:ext="edit" aspectratio="f"/>
              <v:textbox inset="0mm,0mm,0mm,0mm" style="mso-fit-shape-to-text:t;">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5"/>
        <w:spacing w:beforeLines="0" w:afterLines="0"/>
        <w:rPr>
          <w:rFonts w:hint="default"/>
          <w:sz w:val="18"/>
        </w:rPr>
      </w:pPr>
      <w:r>
        <w:rPr>
          <w:rStyle w:val="10"/>
          <w:rFonts w:hint="default"/>
          <w:sz w:val="18"/>
        </w:rPr>
        <w:footnoteRef/>
      </w:r>
      <w:r>
        <w:rPr>
          <w:rFonts w:hint="default" w:ascii="Times New Roman" w:hAnsi="Times New Roman"/>
          <w:sz w:val="18"/>
        </w:rPr>
        <w:t xml:space="preserve"> 1SDR</w:t>
      </w:r>
      <w:r>
        <w:rPr>
          <w:rFonts w:hint="eastAsia" w:ascii="Times New Roman" w:hAnsi="Times New Roman"/>
          <w:sz w:val="18"/>
        </w:rPr>
        <w:t>约合人民币9.28元</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229684"/>
    <w:multiLevelType w:val="multilevel"/>
    <w:tmpl w:val="29229684"/>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3F502A49"/>
    <w:multiLevelType w:val="singleLevel"/>
    <w:tmpl w:val="3F502A49"/>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C480CCC"/>
    <w:rsid w:val="0E726DD9"/>
    <w:rsid w:val="10197F37"/>
    <w:rsid w:val="102C242B"/>
    <w:rsid w:val="3069637B"/>
    <w:rsid w:val="63966AD5"/>
    <w:rsid w:val="7BBD1318"/>
    <w:rsid w:val="7D267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toc 1"/>
    <w:basedOn w:val="1"/>
    <w:next w:val="1"/>
    <w:qFormat/>
    <w:uiPriority w:val="0"/>
  </w:style>
  <w:style w:type="paragraph" w:styleId="5">
    <w:name w:val="footnote text"/>
    <w:basedOn w:val="1"/>
    <w:unhideWhenUsed/>
    <w:qFormat/>
    <w:uiPriority w:val="0"/>
    <w:pPr>
      <w:snapToGrid w:val="0"/>
      <w:spacing w:beforeLines="0" w:afterLines="0"/>
      <w:jc w:val="left"/>
    </w:pPr>
    <w:rPr>
      <w:rFonts w:hint="default"/>
      <w:sz w:val="18"/>
    </w:rPr>
  </w:style>
  <w:style w:type="paragraph" w:styleId="6">
    <w:name w:val="toc 2"/>
    <w:basedOn w:val="1"/>
    <w:next w:val="1"/>
    <w:qFormat/>
    <w:uiPriority w:val="0"/>
    <w:pPr>
      <w:ind w:left="420" w:leftChars="200"/>
    </w:p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otnote reference"/>
    <w:basedOn w:val="9"/>
    <w:unhideWhenUsed/>
    <w:uiPriority w:val="0"/>
    <w:rPr>
      <w:rFonts w:hint="default"/>
      <w:sz w:val="24"/>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chart" Target="charts/chart7.xml"/><Relationship Id="rId23" Type="http://schemas.openxmlformats.org/officeDocument/2006/relationships/chart" Target="charts/chart6.xml"/><Relationship Id="rId22" Type="http://schemas.openxmlformats.org/officeDocument/2006/relationships/chart" Target="charts/chart5.xml"/><Relationship Id="rId21" Type="http://schemas.openxmlformats.org/officeDocument/2006/relationships/chart" Target="charts/chart4.xml"/><Relationship Id="rId20" Type="http://schemas.openxmlformats.org/officeDocument/2006/relationships/chart" Target="charts/chart3.xml"/><Relationship Id="rId2" Type="http://schemas.openxmlformats.org/officeDocument/2006/relationships/settings" Target="settings.xml"/><Relationship Id="rId19" Type="http://schemas.openxmlformats.org/officeDocument/2006/relationships/chart" Target="charts/chart2.xml"/><Relationship Id="rId18" Type="http://schemas.openxmlformats.org/officeDocument/2006/relationships/chart" Target="charts/chart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6.xml"/><Relationship Id="rId3" Type="http://schemas.microsoft.com/office/2011/relationships/chartStyle" Target="style6.xml"/><Relationship Id="rId2" Type="http://schemas.openxmlformats.org/officeDocument/2006/relationships/themeOverride" Target="../theme/themeOverride4.xml"/><Relationship Id="rId1" Type="http://schemas.openxmlformats.org/officeDocument/2006/relationships/oleObject" Target="file:///C:\Users\xiaosunjie\Desktop\&#24037;&#20316;&#31807;1.xlsx" TargetMode="External"/></Relationships>
</file>

<file path=word/charts/_rels/chart3.xml.rels><?xml version="1.0" encoding="UTF-8" standalone="yes"?>
<Relationships xmlns="http://schemas.openxmlformats.org/package/2006/relationships"><Relationship Id="rId5" Type="http://schemas.microsoft.com/office/2011/relationships/chartColorStyle" Target="colors2.xml"/><Relationship Id="rId4" Type="http://schemas.microsoft.com/office/2011/relationships/chartStyle" Target="style2.xml"/><Relationship Id="rId3" Type="http://schemas.openxmlformats.org/officeDocument/2006/relationships/image" Target="../media/image12.png"/><Relationship Id="rId2" Type="http://schemas.openxmlformats.org/officeDocument/2006/relationships/themeOverride" Target="../theme/themeOverride1.xml"/><Relationship Id="rId1" Type="http://schemas.openxmlformats.org/officeDocument/2006/relationships/oleObject" Target="file:///C:\Users\xiaosunjie\Desktop\&#24037;&#20316;&#31807;1.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7.xml"/><Relationship Id="rId3" Type="http://schemas.microsoft.com/office/2011/relationships/chartStyle" Target="style7.xml"/><Relationship Id="rId2" Type="http://schemas.openxmlformats.org/officeDocument/2006/relationships/themeOverride" Target="../theme/themeOverride5.xml"/><Relationship Id="rId1" Type="http://schemas.openxmlformats.org/officeDocument/2006/relationships/oleObject" Target="file:///C:\Users\xiaosunjie\Desktop\&#24037;&#20316;&#31807;1.xlsx" TargetMode="External"/></Relationships>
</file>

<file path=word/charts/_rels/chart5.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2.xml"/><Relationship Id="rId1" Type="http://schemas.openxmlformats.org/officeDocument/2006/relationships/oleObject" Target="&#24037;&#20316;&#31807;1" TargetMode="External"/></Relationships>
</file>

<file path=word/charts/_rels/chart6.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3.xml"/><Relationship Id="rId1" Type="http://schemas.openxmlformats.org/officeDocument/2006/relationships/oleObject" Target="&#24037;&#20316;&#31807;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24037;&#20316;&#31807;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rgbClr val="595959">
                  <a:lumMod val="65000"/>
                  <a:lumOff val="35000"/>
                </a:srgbClr>
              </a:solidFill>
              <a:latin typeface="+mn-lt"/>
              <a:ea typeface="+mn-ea"/>
              <a:cs typeface="+mn-cs"/>
            </a:defRPr>
          </a:pPr>
        </a:p>
      </c:txPr>
    </c:title>
    <c:autoTitleDeleted val="0"/>
    <c:plotArea>
      <c:layout/>
      <c:barChart>
        <c:barDir val="col"/>
        <c:grouping val="clustered"/>
        <c:varyColors val="0"/>
        <c:ser>
          <c:idx val="0"/>
          <c:order val="0"/>
          <c:tx>
            <c:strRef>
              <c:f>[工作簿1]Sheet1!$B$1</c:f>
              <c:strCache>
                <c:ptCount val="1"/>
                <c:pt idx="0">
                  <c:v>案件数量</c:v>
                </c:pt>
              </c:strCache>
            </c:strRef>
          </c:tx>
          <c:spPr>
            <a:solidFill>
              <a:srgbClr val="4F81BD"/>
            </a:solidFill>
            <a:ln>
              <a:noFill/>
            </a:ln>
            <a:effectLst/>
          </c:spPr>
          <c:invertIfNegative val="0"/>
          <c:dLbls>
            <c:delete val="1"/>
          </c:dLbls>
          <c:cat>
            <c:strRef>
              <c:f>[工作簿1]Sheet1!$A$2:$A$16</c:f>
              <c:strCache>
                <c:ptCount val="15"/>
                <c:pt idx="0">
                  <c:v>责任限额</c:v>
                </c:pt>
                <c:pt idx="1">
                  <c:v>涉诉保险</c:v>
                </c:pt>
                <c:pt idx="2">
                  <c:v>赔偿范围</c:v>
                </c:pt>
                <c:pt idx="3">
                  <c:v>水湿事故</c:v>
                </c:pt>
                <c:pt idx="4">
                  <c:v>货物受潮</c:v>
                </c:pt>
                <c:pt idx="5">
                  <c:v>货物损坏</c:v>
                </c:pt>
                <c:pt idx="6">
                  <c:v>损坏</c:v>
                </c:pt>
                <c:pt idx="7">
                  <c:v>公共场所管理人责任</c:v>
                </c:pt>
                <c:pt idx="8">
                  <c:v>服务合同</c:v>
                </c:pt>
                <c:pt idx="9">
                  <c:v>格式条款</c:v>
                </c:pt>
                <c:pt idx="10">
                  <c:v>全部责任</c:v>
                </c:pt>
                <c:pt idx="11">
                  <c:v>旅客死亡</c:v>
                </c:pt>
                <c:pt idx="12">
                  <c:v>受伤</c:v>
                </c:pt>
                <c:pt idx="13">
                  <c:v>摔伤</c:v>
                </c:pt>
                <c:pt idx="14">
                  <c:v>救助义务</c:v>
                </c:pt>
              </c:strCache>
            </c:strRef>
          </c:cat>
          <c:val>
            <c:numRef>
              <c:f>[工作簿1]Sheet1!$B$2:$B$16</c:f>
              <c:numCache>
                <c:formatCode>General</c:formatCode>
                <c:ptCount val="15"/>
                <c:pt idx="0">
                  <c:v>53</c:v>
                </c:pt>
                <c:pt idx="1">
                  <c:v>1</c:v>
                </c:pt>
                <c:pt idx="2">
                  <c:v>21</c:v>
                </c:pt>
                <c:pt idx="3">
                  <c:v>2</c:v>
                </c:pt>
                <c:pt idx="4">
                  <c:v>3</c:v>
                </c:pt>
                <c:pt idx="5">
                  <c:v>2</c:v>
                </c:pt>
                <c:pt idx="6">
                  <c:v>156</c:v>
                </c:pt>
                <c:pt idx="7">
                  <c:v>2</c:v>
                </c:pt>
                <c:pt idx="8">
                  <c:v>7</c:v>
                </c:pt>
                <c:pt idx="9">
                  <c:v>5</c:v>
                </c:pt>
                <c:pt idx="10">
                  <c:v>6</c:v>
                </c:pt>
                <c:pt idx="11">
                  <c:v>5</c:v>
                </c:pt>
                <c:pt idx="12">
                  <c:v>12</c:v>
                </c:pt>
                <c:pt idx="13">
                  <c:v>2</c:v>
                </c:pt>
                <c:pt idx="14">
                  <c:v>2</c:v>
                </c:pt>
              </c:numCache>
            </c:numRef>
          </c:val>
        </c:ser>
        <c:dLbls>
          <c:showLegendKey val="0"/>
          <c:showVal val="0"/>
          <c:showCatName val="0"/>
          <c:showSerName val="0"/>
          <c:showPercent val="0"/>
          <c:showBubbleSize val="0"/>
        </c:dLbls>
        <c:gapWidth val="219"/>
        <c:overlap val="-27"/>
        <c:axId val="163536550"/>
        <c:axId val="94171463"/>
      </c:barChart>
      <c:catAx>
        <c:axId val="163536550"/>
        <c:scaling>
          <c:orientation val="minMax"/>
        </c:scaling>
        <c:delete val="0"/>
        <c:axPos val="b"/>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94171463"/>
        <c:crosses val="autoZero"/>
        <c:auto val="1"/>
        <c:lblAlgn val="ctr"/>
        <c:lblOffset val="100"/>
        <c:noMultiLvlLbl val="0"/>
      </c:catAx>
      <c:valAx>
        <c:axId val="94171463"/>
        <c:scaling>
          <c:orientation val="minMax"/>
        </c:scaling>
        <c:delete val="0"/>
        <c:axPos val="l"/>
        <c:majorGridlines>
          <c:spPr>
            <a:ln w="9525" cap="flat" cmpd="sng" algn="ctr">
              <a:solidFill>
                <a:srgbClr val="D9D9D9">
                  <a:lumMod val="15000"/>
                  <a:lumOff val="85000"/>
                </a:srgb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63536550"/>
        <c:crosses val="autoZero"/>
        <c:crossBetween val="between"/>
      </c:valAx>
      <c:spPr>
        <a:no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r>
              <a:t>争议事由分析</a:t>
            </a:r>
          </a:p>
        </c:rich>
      </c:tx>
      <c:layout>
        <c:manualLayout>
          <c:xMode val="edge"/>
          <c:yMode val="edge"/>
          <c:x val="0.0380555555555556"/>
          <c:y val="0.0798611111111111"/>
        </c:manualLayout>
      </c:layout>
      <c:overlay val="0"/>
      <c:spPr>
        <a:noFill/>
        <a:ln>
          <a:noFill/>
        </a:ln>
        <a:effectLst/>
      </c:spPr>
    </c:title>
    <c:autoTitleDeleted val="0"/>
    <c:plotArea>
      <c:layout>
        <c:manualLayout>
          <c:layoutTarget val="inner"/>
          <c:xMode val="edge"/>
          <c:yMode val="edge"/>
          <c:x val="0.363902777777778"/>
          <c:y val="0.221527777777778"/>
          <c:w val="0.760472222222222"/>
          <c:h val="0.711666666666667"/>
        </c:manualLayout>
      </c:layout>
      <c:pieChart>
        <c:varyColors val="1"/>
        <c:ser>
          <c:idx val="0"/>
          <c:order val="0"/>
          <c:tx>
            <c:strRef>
              <c:f>[工作簿1.xlsx]Sheet1!$B$1</c:f>
              <c:strCache>
                <c:ptCount val="1"/>
                <c:pt idx="0">
                  <c:v>案件数量</c:v>
                </c:pt>
              </c:strCache>
            </c:strRef>
          </c:tx>
          <c:spPr>
            <a:solidFill>
              <a:srgbClr val="0197A6"/>
            </a:solidFill>
            <a:ln>
              <a:solidFill>
                <a:srgbClr val="FFFFFF"/>
              </a:solidFill>
            </a:ln>
            <a:effectLst/>
          </c:spPr>
          <c:explosion val="0"/>
          <c:dPt>
            <c:idx val="0"/>
            <c:bubble3D val="0"/>
            <c:spPr>
              <a:solidFill>
                <a:srgbClr val="ED544F"/>
              </a:solidFill>
              <a:ln>
                <a:solidFill>
                  <a:srgbClr val="FFFFFF"/>
                </a:solidFill>
              </a:ln>
              <a:effectLst/>
            </c:spPr>
          </c:dPt>
          <c:dPt>
            <c:idx val="1"/>
            <c:bubble3D val="0"/>
            <c:spPr>
              <a:solidFill>
                <a:srgbClr val="465A65"/>
              </a:solidFill>
              <a:ln>
                <a:solidFill>
                  <a:srgbClr val="FFFFFF"/>
                </a:solidFill>
              </a:ln>
              <a:effectLst/>
            </c:spPr>
          </c:dPt>
          <c:dPt>
            <c:idx val="2"/>
            <c:bubble3D val="0"/>
            <c:spPr>
              <a:solidFill>
                <a:srgbClr val="C0CA33"/>
              </a:solidFill>
              <a:ln>
                <a:solidFill>
                  <a:srgbClr val="FFFFFF"/>
                </a:solidFill>
              </a:ln>
              <a:effectLst/>
            </c:spPr>
          </c:dPt>
          <c:dPt>
            <c:idx val="3"/>
            <c:bubble3D val="0"/>
            <c:spPr>
              <a:solidFill>
                <a:srgbClr val="0197A6"/>
              </a:solidFill>
              <a:ln>
                <a:solidFill>
                  <a:srgbClr val="FFFFFF"/>
                </a:solidFill>
              </a:ln>
              <a:effectLst/>
            </c:spPr>
          </c:dPt>
          <c:dPt>
            <c:idx val="4"/>
            <c:bubble3D val="0"/>
            <c:spPr>
              <a:solidFill>
                <a:srgbClr val="0197A6"/>
              </a:solidFill>
              <a:ln>
                <a:solidFill>
                  <a:srgbClr val="FFFFFF"/>
                </a:solidFill>
              </a:ln>
              <a:effectLst/>
            </c:spPr>
          </c:dPt>
          <c:dPt>
            <c:idx val="5"/>
            <c:bubble3D val="0"/>
            <c:spPr>
              <a:solidFill>
                <a:srgbClr val="0197A6"/>
              </a:solidFill>
              <a:ln>
                <a:solidFill>
                  <a:srgbClr val="FFFFFF"/>
                </a:solidFill>
              </a:ln>
              <a:effectLst/>
            </c:spPr>
          </c:dPt>
          <c:dPt>
            <c:idx val="6"/>
            <c:bubble3D val="0"/>
            <c:spPr>
              <a:solidFill>
                <a:srgbClr val="0197A6"/>
              </a:solidFill>
              <a:ln>
                <a:solidFill>
                  <a:srgbClr val="FFFFFF"/>
                </a:solidFill>
              </a:ln>
              <a:effectLst/>
            </c:spPr>
          </c:dPt>
          <c:dPt>
            <c:idx val="7"/>
            <c:bubble3D val="0"/>
            <c:spPr>
              <a:solidFill>
                <a:srgbClr val="0197A6"/>
              </a:solidFill>
              <a:ln>
                <a:solidFill>
                  <a:srgbClr val="FFFFFF"/>
                </a:solidFill>
              </a:ln>
              <a:effectLst/>
            </c:spPr>
          </c:dPt>
          <c:dPt>
            <c:idx val="8"/>
            <c:bubble3D val="0"/>
            <c:spPr>
              <a:solidFill>
                <a:srgbClr val="0197A6"/>
              </a:solidFill>
              <a:ln>
                <a:solidFill>
                  <a:srgbClr val="FFFFFF"/>
                </a:solidFill>
              </a:ln>
              <a:effectLst/>
            </c:spPr>
          </c:dPt>
          <c:dPt>
            <c:idx val="9"/>
            <c:bubble3D val="0"/>
            <c:spPr>
              <a:solidFill>
                <a:srgbClr val="0197A6"/>
              </a:solidFill>
              <a:ln>
                <a:solidFill>
                  <a:srgbClr val="FFFFFF"/>
                </a:solidFill>
              </a:ln>
              <a:effectLst/>
            </c:spPr>
          </c:dPt>
          <c:dPt>
            <c:idx val="10"/>
            <c:bubble3D val="0"/>
            <c:spPr>
              <a:solidFill>
                <a:srgbClr val="0197A6"/>
              </a:solidFill>
              <a:ln>
                <a:solidFill>
                  <a:srgbClr val="FFFFFF"/>
                </a:solidFill>
              </a:ln>
              <a:effectLst/>
            </c:spPr>
          </c:dPt>
          <c:dPt>
            <c:idx val="11"/>
            <c:bubble3D val="0"/>
            <c:spPr>
              <a:solidFill>
                <a:srgbClr val="0197A6"/>
              </a:solidFill>
              <a:ln>
                <a:solidFill>
                  <a:srgbClr val="FFFFFF"/>
                </a:solidFill>
              </a:ln>
              <a:effectLst/>
            </c:spPr>
          </c:dPt>
          <c:dPt>
            <c:idx val="12"/>
            <c:bubble3D val="0"/>
            <c:spPr>
              <a:solidFill>
                <a:srgbClr val="0197A6"/>
              </a:solidFill>
              <a:ln>
                <a:solidFill>
                  <a:srgbClr val="FFFFFF"/>
                </a:solidFill>
              </a:ln>
              <a:effectLst/>
            </c:spPr>
          </c:dPt>
          <c:dPt>
            <c:idx val="13"/>
            <c:bubble3D val="0"/>
            <c:spPr>
              <a:solidFill>
                <a:srgbClr val="0197A6"/>
              </a:solidFill>
              <a:ln>
                <a:solidFill>
                  <a:srgbClr val="FFFFFF"/>
                </a:solidFill>
              </a:ln>
              <a:effectLst/>
            </c:spPr>
          </c:dPt>
          <c:dPt>
            <c:idx val="14"/>
            <c:bubble3D val="0"/>
            <c:spPr>
              <a:solidFill>
                <a:srgbClr val="0197A6"/>
              </a:solidFill>
              <a:ln>
                <a:solidFill>
                  <a:srgbClr val="FFFFFF"/>
                </a:solidFill>
              </a:ln>
              <a:effectLst/>
            </c:spPr>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rgbClr val="FFFFFF"/>
                    </a:solidFill>
                    <a:latin typeface="Impact" panose="020B0806030902050204" charset="0"/>
                    <a:ea typeface="Impact" panose="020B0806030902050204" charset="0"/>
                    <a:cs typeface="Impact" panose="020B0806030902050204" charset="0"/>
                    <a:sym typeface="Impact" panose="020B0806030902050204" charset="0"/>
                  </a:defRPr>
                </a:pPr>
              </a:p>
            </c:txPr>
            <c:dLblPos val="inEnd"/>
            <c:showLegendKey val="0"/>
            <c:showVal val="0"/>
            <c:showCatName val="0"/>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rgbClr val="A6A6A6">
                          <a:lumMod val="35000"/>
                          <a:lumOff val="65000"/>
                        </a:srgbClr>
                      </a:solidFill>
                      <a:round/>
                    </a:ln>
                    <a:effectLst/>
                  </c:spPr>
                </c15:leaderLines>
              </c:ext>
            </c:extLst>
          </c:dLbls>
          <c:cat>
            <c:strRef>
              <c:f>[工作簿1.xlsx]Sheet1!$A$2:$A$16</c:f>
              <c:strCache>
                <c:ptCount val="15"/>
                <c:pt idx="0">
                  <c:v>责任限额</c:v>
                </c:pt>
                <c:pt idx="1">
                  <c:v>涉诉保险</c:v>
                </c:pt>
                <c:pt idx="2">
                  <c:v>赔偿范围</c:v>
                </c:pt>
                <c:pt idx="3">
                  <c:v>水湿事故</c:v>
                </c:pt>
                <c:pt idx="4">
                  <c:v>货物受潮</c:v>
                </c:pt>
                <c:pt idx="5">
                  <c:v>货物损坏</c:v>
                </c:pt>
                <c:pt idx="6">
                  <c:v>损坏</c:v>
                </c:pt>
                <c:pt idx="7">
                  <c:v>公共场所管理人责任</c:v>
                </c:pt>
                <c:pt idx="8">
                  <c:v>服务合同</c:v>
                </c:pt>
                <c:pt idx="9">
                  <c:v>格式条款</c:v>
                </c:pt>
                <c:pt idx="10">
                  <c:v>全部责任</c:v>
                </c:pt>
                <c:pt idx="11">
                  <c:v>旅客死亡</c:v>
                </c:pt>
                <c:pt idx="12">
                  <c:v>受伤</c:v>
                </c:pt>
                <c:pt idx="13">
                  <c:v>摔伤</c:v>
                </c:pt>
                <c:pt idx="14">
                  <c:v>救助义务</c:v>
                </c:pt>
              </c:strCache>
            </c:strRef>
          </c:cat>
          <c:val>
            <c:numRef>
              <c:f>[工作簿1.xlsx]Sheet1!$B$2:$B$16</c:f>
              <c:numCache>
                <c:formatCode>General</c:formatCode>
                <c:ptCount val="15"/>
                <c:pt idx="0">
                  <c:v>53</c:v>
                </c:pt>
                <c:pt idx="1">
                  <c:v>1</c:v>
                </c:pt>
                <c:pt idx="2">
                  <c:v>21</c:v>
                </c:pt>
                <c:pt idx="3">
                  <c:v>2</c:v>
                </c:pt>
                <c:pt idx="4">
                  <c:v>3</c:v>
                </c:pt>
                <c:pt idx="5">
                  <c:v>2</c:v>
                </c:pt>
                <c:pt idx="6">
                  <c:v>156</c:v>
                </c:pt>
                <c:pt idx="7">
                  <c:v>2</c:v>
                </c:pt>
                <c:pt idx="8">
                  <c:v>7</c:v>
                </c:pt>
                <c:pt idx="9">
                  <c:v>5</c:v>
                </c:pt>
                <c:pt idx="10">
                  <c:v>6</c:v>
                </c:pt>
                <c:pt idx="11">
                  <c:v>5</c:v>
                </c:pt>
                <c:pt idx="12">
                  <c:v>12</c:v>
                </c:pt>
                <c:pt idx="13">
                  <c:v>2</c:v>
                </c:pt>
                <c:pt idx="14">
                  <c:v>2</c:v>
                </c:pt>
              </c:numCache>
            </c:numRef>
          </c:val>
        </c:ser>
        <c:dLbls>
          <c:showLegendKey val="0"/>
          <c:showVal val="0"/>
          <c:showCatName val="0"/>
          <c:showSerName val="0"/>
          <c:showPercent val="1"/>
          <c:showBubbleSize val="0"/>
          <c:showLeaderLines val="0"/>
        </c:dLbls>
        <c:firstSliceAng val="0"/>
      </c:pieChart>
      <c:spPr>
        <a:noFill/>
        <a:ln>
          <a:noFill/>
        </a:ln>
        <a:effectLst/>
      </c:spPr>
    </c:plotArea>
    <c:legend>
      <c:legendPos val="l"/>
      <c:layout>
        <c:manualLayout>
          <c:xMode val="edge"/>
          <c:yMode val="edge"/>
          <c:x val="0.05625"/>
          <c:y val="0.212615740740741"/>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legend>
    <c:plotVisOnly val="1"/>
    <c:dispBlanksAs val="gap"/>
    <c:showDLblsOverMax val="0"/>
  </c:chart>
  <c:spPr>
    <a:pattFill prst="openDmnd">
      <a:fgClr>
        <a:srgbClr val="EEF2F3"/>
      </a:fgClr>
      <a:bgClr>
        <a:srgbClr val="FFFFFF"/>
      </a:bgClr>
    </a:pattFill>
    <a:ln w="9525" cap="flat" cmpd="sng" algn="ctr">
      <a:solidFill>
        <a:srgbClr val="D9D9D9">
          <a:lumMod val="15000"/>
          <a:lumOff val="85000"/>
        </a:srgbClr>
      </a:solid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r>
              <a:t>货物相关</a:t>
            </a:r>
          </a:p>
        </c:rich>
      </c:tx>
      <c:layout/>
      <c:overlay val="0"/>
      <c:spPr>
        <a:noFill/>
        <a:ln>
          <a:noFill/>
        </a:ln>
        <a:effectLst/>
      </c:spPr>
    </c:title>
    <c:autoTitleDeleted val="0"/>
    <c:plotArea>
      <c:layout>
        <c:manualLayout>
          <c:layoutTarget val="inner"/>
          <c:xMode val="edge"/>
          <c:yMode val="edge"/>
          <c:x val="0.130927011188066"/>
          <c:y val="0.213452475902866"/>
          <c:w val="0.803143313798615"/>
          <c:h val="0.587989004017763"/>
        </c:manualLayout>
      </c:layout>
      <c:lineChart>
        <c:grouping val="standard"/>
        <c:varyColors val="0"/>
        <c:ser>
          <c:idx val="0"/>
          <c:order val="0"/>
          <c:spPr>
            <a:ln w="15875" cap="rnd">
              <a:solidFill>
                <a:srgbClr val="BFBFBF">
                  <a:lumMod val="75000"/>
                </a:srgbClr>
              </a:solidFill>
              <a:round/>
            </a:ln>
            <a:effectLst>
              <a:outerShdw blurRad="50800" dist="25400" dir="16200000" rotWithShape="0">
                <a:srgbClr val="FFFFFF">
                  <a:alpha val="40000"/>
                </a:srgbClr>
              </a:outerShdw>
            </a:effectLst>
          </c:spPr>
          <c:marker>
            <c:symbol val="circle"/>
            <c:size val="25"/>
            <c:spPr>
              <a:solidFill>
                <a:srgbClr val="458994"/>
              </a:solidFill>
              <a:ln w="15875">
                <a:noFill/>
              </a:ln>
              <a:effectLst>
                <a:outerShdw blurRad="50800" dist="25400" dir="16200000" rotWithShape="0">
                  <a:srgbClr val="FFFFFF">
                    <a:alpha val="40000"/>
                  </a:srgbClr>
                </a:outerShdw>
              </a:effectLst>
            </c:spPr>
          </c:marker>
          <c:dPt>
            <c:idx val="0"/>
            <c:marker>
              <c:symbol val="circle"/>
              <c:size val="25"/>
              <c:spPr>
                <a:solidFill>
                  <a:srgbClr val="43546F"/>
                </a:solidFill>
                <a:ln w="15875">
                  <a:noFill/>
                </a:ln>
                <a:effectLst>
                  <a:outerShdw blurRad="50800" dist="25400" dir="16200000" rotWithShape="0">
                    <a:srgbClr val="FFFFFF">
                      <a:alpha val="40000"/>
                    </a:srgbClr>
                  </a:outerShdw>
                </a:effectLst>
              </c:spPr>
            </c:marker>
            <c:bubble3D val="0"/>
          </c:dPt>
          <c:dPt>
            <c:idx val="1"/>
            <c:marker>
              <c:symbol val="circle"/>
              <c:size val="25"/>
              <c:spPr>
                <a:solidFill>
                  <a:srgbClr val="2E80A5"/>
                </a:solidFill>
                <a:ln w="15875">
                  <a:noFill/>
                </a:ln>
                <a:effectLst>
                  <a:outerShdw blurRad="50800" dist="25400" dir="16200000" rotWithShape="0">
                    <a:srgbClr val="FFFFFF">
                      <a:alpha val="40000"/>
                    </a:srgbClr>
                  </a:outerShdw>
                </a:effectLst>
              </c:spPr>
            </c:marker>
            <c:bubble3D val="0"/>
          </c:dPt>
          <c:dPt>
            <c:idx val="2"/>
            <c:marker>
              <c:symbol val="circle"/>
              <c:size val="25"/>
              <c:spPr>
                <a:solidFill>
                  <a:srgbClr val="14A488"/>
                </a:solidFill>
                <a:ln w="15875">
                  <a:noFill/>
                </a:ln>
                <a:effectLst>
                  <a:outerShdw blurRad="50800" dist="25400" dir="16200000" rotWithShape="0">
                    <a:srgbClr val="FFFFFF">
                      <a:alpha val="40000"/>
                    </a:srgbClr>
                  </a:outerShdw>
                </a:effectLst>
              </c:spPr>
            </c:marker>
            <c:bubble3D val="0"/>
          </c:dPt>
          <c:dPt>
            <c:idx val="3"/>
            <c:marker>
              <c:symbol val="circle"/>
              <c:size val="25"/>
              <c:spPr>
                <a:solidFill>
                  <a:srgbClr val="9EBD62"/>
                </a:solidFill>
                <a:ln w="15875">
                  <a:noFill/>
                </a:ln>
                <a:effectLst>
                  <a:outerShdw blurRad="50800" dist="25400" dir="16200000" rotWithShape="0">
                    <a:srgbClr val="FFFFFF">
                      <a:alpha val="40000"/>
                    </a:srgbClr>
                  </a:outerShdw>
                </a:effectLst>
              </c:spPr>
            </c:marker>
            <c:bubble3D val="0"/>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800" b="0" i="0" u="none" strike="noStrike" kern="1200" baseline="0">
                    <a:solidFill>
                      <a:srgbClr val="FFFFFF"/>
                    </a:solidFill>
                    <a:latin typeface="微软雅黑 Light" panose="020B0502040204020203" charset="-122"/>
                    <a:ea typeface="微软雅黑 Light" panose="020B0502040204020203" charset="-122"/>
                    <a:cs typeface="微软雅黑 Light" panose="020B0502040204020203" charset="-122"/>
                    <a:sym typeface="微软雅黑 Light" panose="020B0502040204020203" charset="-122"/>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rgbClr val="A6A6A6">
                          <a:lumMod val="35000"/>
                          <a:lumOff val="65000"/>
                        </a:srgbClr>
                      </a:solidFill>
                      <a:round/>
                    </a:ln>
                    <a:effectLst/>
                  </c:spPr>
                </c15:leaderLines>
              </c:ext>
            </c:extLst>
          </c:dLbls>
          <c:cat>
            <c:strRef>
              <c:f>[工作簿1.xlsx]Sheet1!$A$5:$A$8</c:f>
              <c:strCache>
                <c:ptCount val="4"/>
                <c:pt idx="0">
                  <c:v>水湿事故</c:v>
                </c:pt>
                <c:pt idx="1">
                  <c:v>货物受潮</c:v>
                </c:pt>
                <c:pt idx="2">
                  <c:v>货物损坏</c:v>
                </c:pt>
                <c:pt idx="3">
                  <c:v>损坏</c:v>
                </c:pt>
              </c:strCache>
            </c:strRef>
          </c:cat>
          <c:val>
            <c:numRef>
              <c:f>[工作簿1.xlsx]Sheet1!$B$5:$B$8</c:f>
              <c:numCache>
                <c:formatCode>General</c:formatCode>
                <c:ptCount val="4"/>
                <c:pt idx="0">
                  <c:v>2</c:v>
                </c:pt>
                <c:pt idx="1">
                  <c:v>3</c:v>
                </c:pt>
                <c:pt idx="2">
                  <c:v>2</c:v>
                </c:pt>
                <c:pt idx="3">
                  <c:v>156</c:v>
                </c:pt>
              </c:numCache>
            </c:numRef>
          </c:val>
          <c:smooth val="0"/>
        </c:ser>
        <c:dLbls>
          <c:showLegendKey val="0"/>
          <c:showVal val="1"/>
          <c:showCatName val="0"/>
          <c:showSerName val="0"/>
          <c:showPercent val="0"/>
          <c:showBubbleSize val="0"/>
        </c:dLbls>
        <c:marker val="1"/>
        <c:smooth val="0"/>
        <c:axId val="215541652"/>
        <c:axId val="855761778"/>
      </c:lineChart>
      <c:catAx>
        <c:axId val="215541652"/>
        <c:scaling>
          <c:orientation val="minMax"/>
        </c:scaling>
        <c:delete val="0"/>
        <c:axPos val="b"/>
        <c:numFmt formatCode="General" sourceLinked="0"/>
        <c:majorTickMark val="cross"/>
        <c:minorTickMark val="none"/>
        <c:tickLblPos val="nextTo"/>
        <c:spPr>
          <a:noFill/>
          <a:ln w="3175" cap="flat" cmpd="sng" algn="ctr">
            <a:solidFill>
              <a:srgbClr val="BFBFBF">
                <a:lumMod val="75000"/>
              </a:srgbClr>
            </a:solidFill>
            <a:round/>
          </a:ln>
          <a:effectLst/>
        </c:spPr>
        <c:txPr>
          <a:bodyPr rot="-60000000" spcFirstLastPara="0" vertOverflow="ellipsis" vert="horz" wrap="square" anchor="ctr" anchorCtr="1" forceAA="0"/>
          <a:lstStyle/>
          <a:p>
            <a:pPr>
              <a:defRPr lang="zh-CN" sz="900" b="0" i="0" u="none" strike="noStrike" kern="1200" baseline="0">
                <a:solidFill>
                  <a:srgbClr val="595959">
                    <a:lumMod val="65000"/>
                    <a:lumOff val="35000"/>
                  </a:srgbClr>
                </a:solidFill>
                <a:latin typeface="微软雅黑 Light" panose="020B0502040204020203" charset="-122"/>
                <a:ea typeface="微软雅黑 Light" panose="020B0502040204020203" charset="-122"/>
                <a:cs typeface="微软雅黑 Light" panose="020B0502040204020203" charset="-122"/>
                <a:sym typeface="微软雅黑 Light" panose="020B0502040204020203" charset="-122"/>
              </a:defRPr>
            </a:pPr>
          </a:p>
        </c:txPr>
        <c:crossAx val="855761778"/>
        <c:crosses val="autoZero"/>
        <c:auto val="1"/>
        <c:lblAlgn val="ctr"/>
        <c:lblOffset val="100"/>
        <c:noMultiLvlLbl val="0"/>
      </c:catAx>
      <c:valAx>
        <c:axId val="855761778"/>
        <c:scaling>
          <c:orientation val="minMax"/>
        </c:scaling>
        <c:delete val="0"/>
        <c:axPos val="l"/>
        <c:numFmt formatCode="General" sourceLinked="1"/>
        <c:majorTickMark val="cross"/>
        <c:minorTickMark val="none"/>
        <c:tickLblPos val="nextTo"/>
        <c:spPr>
          <a:noFill/>
          <a:ln w="3175">
            <a:solidFill>
              <a:srgbClr val="BFBFBF">
                <a:lumMod val="75000"/>
              </a:srgbClr>
            </a:solidFill>
          </a:ln>
          <a:effectLst/>
        </c:spPr>
        <c:txPr>
          <a:bodyPr rot="-60000000" spcFirstLastPara="0" vertOverflow="ellipsis" vert="horz" wrap="square" anchor="ctr" anchorCtr="1" forceAA="0"/>
          <a:lstStyle/>
          <a:p>
            <a:pPr>
              <a:defRPr lang="zh-CN" sz="900" b="0" i="0" u="none" strike="noStrike" kern="1200" baseline="0">
                <a:solidFill>
                  <a:srgbClr val="595959">
                    <a:lumMod val="65000"/>
                    <a:lumOff val="35000"/>
                  </a:srgbClr>
                </a:solidFill>
                <a:latin typeface="微软雅黑 Light" panose="020B0502040204020203" charset="-122"/>
                <a:ea typeface="微软雅黑 Light" panose="020B0502040204020203" charset="-122"/>
                <a:cs typeface="微软雅黑 Light" panose="020B0502040204020203" charset="-122"/>
                <a:sym typeface="微软雅黑 Light" panose="020B0502040204020203" charset="-122"/>
              </a:defRPr>
            </a:pPr>
          </a:p>
        </c:txPr>
        <c:crossAx val="215541652"/>
        <c:crosses val="autoZero"/>
        <c:crossBetween val="between"/>
      </c:valAx>
      <c:spPr>
        <a:noFill/>
        <a:ln>
          <a:noFill/>
        </a:ln>
        <a:effectLst/>
      </c:spPr>
    </c:plotArea>
    <c:plotVisOnly val="1"/>
    <c:dispBlanksAs val="gap"/>
    <c:showDLblsOverMax val="0"/>
  </c:chart>
  <c:spPr>
    <a:blipFill rotWithShape="1">
      <a:blip xmlns:r="http://schemas.openxmlformats.org/officeDocument/2006/relationships" r:embed="rId3"/>
      <a:stretch>
        <a:fillRect/>
      </a:stretch>
    </a:blipFill>
    <a:ln w="9525" cap="flat" cmpd="sng" algn="ctr">
      <a:solidFill>
        <a:srgbClr val="D9D9D9">
          <a:lumMod val="15000"/>
          <a:lumOff val="85000"/>
        </a:srgbClr>
      </a:solidFill>
      <a:round/>
    </a:ln>
    <a:effectLst>
      <a:outerShdw blurRad="63500" dist="37357" dir="2700000" sx="0" sy="0" rotWithShape="0">
        <a:scrgbClr r="0" g="0" b="0"/>
      </a:outerShdw>
    </a:effectLst>
  </c:spPr>
  <c:txPr>
    <a:bodyPr/>
    <a:lstStyle/>
    <a:p>
      <a:pPr>
        <a:defRPr lang="zh-CN">
          <a:solidFill>
            <a:srgbClr val="595959">
              <a:lumMod val="65000"/>
              <a:lumOff val="35000"/>
            </a:srgbClr>
          </a:solidFill>
          <a:latin typeface="微软雅黑 Light" panose="020B0502040204020203" charset="-122"/>
          <a:ea typeface="微软雅黑 Light" panose="020B0502040204020203" charset="-122"/>
          <a:cs typeface="微软雅黑 Light" panose="020B0502040204020203" charset="-122"/>
          <a:sym typeface="微软雅黑 Light" panose="020B0502040204020203" charset="-122"/>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r>
              <a:t>旅客</a:t>
            </a:r>
          </a:p>
        </c:rich>
      </c:tx>
      <c:layout>
        <c:manualLayout>
          <c:xMode val="edge"/>
          <c:yMode val="edge"/>
          <c:x val="0.0380555555555556"/>
          <c:y val="0.0798611111111111"/>
        </c:manualLayout>
      </c:layout>
      <c:overlay val="0"/>
      <c:spPr>
        <a:noFill/>
        <a:ln>
          <a:noFill/>
        </a:ln>
        <a:effectLst/>
      </c:spPr>
    </c:title>
    <c:autoTitleDeleted val="0"/>
    <c:plotArea>
      <c:layout>
        <c:manualLayout>
          <c:layoutTarget val="inner"/>
          <c:xMode val="edge"/>
          <c:yMode val="edge"/>
          <c:x val="0.363902777777778"/>
          <c:y val="0.221527777777778"/>
          <c:w val="0.760472222222222"/>
          <c:h val="0.711666666666667"/>
        </c:manualLayout>
      </c:layout>
      <c:pieChart>
        <c:varyColors val="1"/>
        <c:ser>
          <c:idx val="0"/>
          <c:order val="0"/>
          <c:spPr>
            <a:solidFill>
              <a:srgbClr val="0197A6"/>
            </a:solidFill>
            <a:ln>
              <a:solidFill>
                <a:srgbClr val="FFFFFF"/>
              </a:solidFill>
            </a:ln>
            <a:effectLst/>
          </c:spPr>
          <c:explosion val="0"/>
          <c:dPt>
            <c:idx val="0"/>
            <c:bubble3D val="0"/>
            <c:spPr>
              <a:solidFill>
                <a:srgbClr val="ED544F"/>
              </a:solidFill>
              <a:ln>
                <a:solidFill>
                  <a:srgbClr val="FFFFFF"/>
                </a:solidFill>
              </a:ln>
              <a:effectLst/>
            </c:spPr>
          </c:dPt>
          <c:dPt>
            <c:idx val="1"/>
            <c:bubble3D val="0"/>
            <c:spPr>
              <a:solidFill>
                <a:srgbClr val="465A65"/>
              </a:solidFill>
              <a:ln>
                <a:solidFill>
                  <a:srgbClr val="FFFFFF"/>
                </a:solidFill>
              </a:ln>
              <a:effectLst/>
            </c:spPr>
          </c:dPt>
          <c:dPt>
            <c:idx val="2"/>
            <c:bubble3D val="0"/>
            <c:spPr>
              <a:solidFill>
                <a:srgbClr val="C0CA33"/>
              </a:solidFill>
              <a:ln>
                <a:solidFill>
                  <a:srgbClr val="FFFFFF"/>
                </a:solidFill>
              </a:ln>
              <a:effectLst/>
            </c:spPr>
          </c:dPt>
          <c:dLbls>
            <c:numFmt formatCode="General" sourceLinked="1"/>
            <c:spPr>
              <a:noFill/>
              <a:ln>
                <a:noFill/>
              </a:ln>
              <a:effectLst/>
            </c:spPr>
            <c:txPr>
              <a:bodyPr rot="0" spcFirstLastPara="0" vertOverflow="ellipsis" vert="horz" wrap="square" lIns="38100" tIns="19050" rIns="38100" bIns="19050" anchor="ctr" anchorCtr="1" forceAA="0"/>
              <a:lstStyle/>
              <a:p>
                <a:pPr>
                  <a:defRPr lang="zh-CN" sz="900" b="0" i="0" u="none" strike="noStrike" kern="1200" baseline="0">
                    <a:solidFill>
                      <a:srgbClr val="FFFFFF"/>
                    </a:solidFill>
                    <a:latin typeface="Impact" panose="020B0806030902050204" charset="0"/>
                    <a:ea typeface="Impact" panose="020B0806030902050204" charset="0"/>
                    <a:cs typeface="Impact" panose="020B0806030902050204" charset="0"/>
                    <a:sym typeface="Impact" panose="020B0806030902050204" charset="0"/>
                  </a:defRPr>
                </a:pPr>
              </a:p>
            </c:txPr>
            <c:dLblPos val="inEnd"/>
            <c:showLegendKey val="0"/>
            <c:showVal val="0"/>
            <c:showCatName val="0"/>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rgbClr val="A6A6A6">
                          <a:lumMod val="35000"/>
                          <a:lumOff val="65000"/>
                        </a:srgbClr>
                      </a:solidFill>
                      <a:round/>
                    </a:ln>
                    <a:effectLst/>
                  </c:spPr>
                </c15:leaderLines>
              </c:ext>
            </c:extLst>
          </c:dLbls>
          <c:cat>
            <c:strRef>
              <c:f>[工作簿1.xlsx]Sheet1!$A$13:$A$15</c:f>
              <c:strCache>
                <c:ptCount val="3"/>
                <c:pt idx="0">
                  <c:v>旅客死亡</c:v>
                </c:pt>
                <c:pt idx="1">
                  <c:v>受伤</c:v>
                </c:pt>
                <c:pt idx="2">
                  <c:v>摔伤</c:v>
                </c:pt>
              </c:strCache>
            </c:strRef>
          </c:cat>
          <c:val>
            <c:numRef>
              <c:f>[工作簿1.xlsx]Sheet1!$B$13:$B$15</c:f>
              <c:numCache>
                <c:formatCode>General</c:formatCode>
                <c:ptCount val="3"/>
                <c:pt idx="0">
                  <c:v>5</c:v>
                </c:pt>
                <c:pt idx="1">
                  <c:v>12</c:v>
                </c:pt>
                <c:pt idx="2">
                  <c:v>2</c:v>
                </c:pt>
              </c:numCache>
            </c:numRef>
          </c:val>
        </c:ser>
        <c:dLbls>
          <c:showLegendKey val="0"/>
          <c:showVal val="0"/>
          <c:showCatName val="0"/>
          <c:showSerName val="0"/>
          <c:showPercent val="1"/>
          <c:showBubbleSize val="0"/>
          <c:showLeaderLines val="0"/>
        </c:dLbls>
        <c:firstSliceAng val="0"/>
      </c:pieChart>
      <c:spPr>
        <a:noFill/>
        <a:ln>
          <a:noFill/>
        </a:ln>
        <a:effectLst/>
      </c:spPr>
    </c:plotArea>
    <c:legend>
      <c:legendPos val="l"/>
      <c:layout>
        <c:manualLayout>
          <c:xMode val="edge"/>
          <c:yMode val="edge"/>
          <c:x val="0.05625"/>
          <c:y val="0.212615740740741"/>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legend>
    <c:plotVisOnly val="1"/>
    <c:dispBlanksAs val="gap"/>
    <c:showDLblsOverMax val="0"/>
  </c:chart>
  <c:spPr>
    <a:pattFill prst="openDmnd">
      <a:fgClr>
        <a:srgbClr val="EEF2F3"/>
      </a:fgClr>
      <a:bgClr>
        <a:srgbClr val="FFFFFF"/>
      </a:bgClr>
    </a:pattFill>
    <a:ln w="9525" cap="flat" cmpd="sng" algn="ctr">
      <a:solidFill>
        <a:srgbClr val="D9D9D9">
          <a:lumMod val="15000"/>
          <a:lumOff val="85000"/>
        </a:srgbClr>
      </a:solid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1" i="0" u="none" strike="noStrike" kern="1200" spc="0" baseline="0">
                <a:solidFill>
                  <a:srgbClr val="595959">
                    <a:lumMod val="65000"/>
                    <a:lumOff val="3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r>
              <a:t>赔偿类型</a:t>
            </a:r>
          </a:p>
        </c:rich>
      </c:tx>
      <c:layout/>
      <c:overlay val="0"/>
      <c:spPr>
        <a:noFill/>
        <a:ln>
          <a:noFill/>
        </a:ln>
        <a:effectLst/>
      </c:spPr>
    </c:title>
    <c:autoTitleDeleted val="0"/>
    <c:plotArea>
      <c:layout/>
      <c:scatterChart>
        <c:scatterStyle val="smoothMarker"/>
        <c:varyColors val="0"/>
        <c:ser>
          <c:idx val="0"/>
          <c:order val="0"/>
          <c:spPr>
            <a:ln w="12700" cap="rnd">
              <a:solidFill>
                <a:srgbClr val="FAD5E4"/>
              </a:solidFill>
              <a:prstDash val="sysDash"/>
              <a:round/>
            </a:ln>
            <a:effectLst/>
          </c:spPr>
          <c:marker>
            <c:symbol val="circle"/>
            <c:size val="8"/>
            <c:spPr>
              <a:solidFill>
                <a:srgbClr val="FAD5E4"/>
              </a:solidFill>
              <a:ln w="9525">
                <a:noFill/>
              </a:ln>
              <a:effectLst/>
            </c:spPr>
          </c:marker>
          <c:dLbls>
            <c:dLbl>
              <c:idx val="0"/>
              <c:delete val="1"/>
            </c:dLbl>
            <c:dLbl>
              <c:idx val="1"/>
              <c:delete val="1"/>
            </c:dLbl>
            <c:dLbl>
              <c:idx val="2"/>
              <c:delete val="1"/>
            </c:dLbl>
            <c:dLbl>
              <c:idx val="3"/>
              <c:delete val="1"/>
            </c:dLbl>
            <c:dLbl>
              <c:idx val="4"/>
              <c:delete val="1"/>
            </c:dLbl>
            <c:dLbl>
              <c:idx val="5"/>
              <c:delete val="1"/>
            </c:dLbl>
            <c:dLbl>
              <c:idx val="6"/>
              <c:delete val="1"/>
            </c:dLbl>
            <c:dLbl>
              <c:idx val="7"/>
              <c:delete val="1"/>
            </c:dLbl>
            <c:dLbl>
              <c:idx val="8"/>
              <c:delete val="1"/>
            </c:dLbl>
            <c:dLbl>
              <c:idx val="9"/>
              <c:delete val="1"/>
            </c:dLbl>
            <c:dLbl>
              <c:idx val="10"/>
              <c:delete val="1"/>
            </c:dLbl>
            <c:dLbl>
              <c:idx val="11"/>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保险金</a:t>
                    </a:r>
                  </a:p>
                </c:rich>
              </c:tx>
              <c:dLblPos val="r"/>
              <c:showLegendKey val="0"/>
              <c:showVal val="1"/>
              <c:showCatName val="0"/>
              <c:showSerName val="0"/>
              <c:showPercent val="0"/>
              <c:showBubbleSize val="0"/>
              <c:extLst>
                <c:ext xmlns:c15="http://schemas.microsoft.com/office/drawing/2012/chart" uri="{CE6537A1-D6FC-4f65-9D91-7224C49458BB}"/>
              </c:extLst>
            </c:dLbl>
            <c:dLbl>
              <c:idx val="12"/>
              <c:delete val="1"/>
            </c:dLbl>
            <c:dLbl>
              <c:idx val="13"/>
              <c:delete val="1"/>
            </c:dLbl>
            <c:dLbl>
              <c:idx val="14"/>
              <c:delete val="1"/>
            </c:dLbl>
            <c:dLbl>
              <c:idx val="15"/>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理赔款</a:t>
                    </a:r>
                  </a:p>
                </c:rich>
              </c:tx>
              <c:dLblPos val="r"/>
              <c:showLegendKey val="0"/>
              <c:showVal val="1"/>
              <c:showCatName val="0"/>
              <c:showSerName val="0"/>
              <c:showPercent val="0"/>
              <c:showBubbleSize val="0"/>
              <c:extLst>
                <c:ext xmlns:c15="http://schemas.microsoft.com/office/drawing/2012/chart" uri="{CE6537A1-D6FC-4f65-9D91-7224C49458BB}"/>
              </c:extLst>
            </c:dLbl>
            <c:dLbl>
              <c:idx val="16"/>
              <c:delete val="1"/>
            </c:dLbl>
            <c:dLbl>
              <c:idx val="17"/>
              <c:delete val="1"/>
            </c:dLbl>
            <c:dLbl>
              <c:idx val="18"/>
              <c:delete val="1"/>
            </c:dLbl>
            <c:dLbl>
              <c:idx val="19"/>
              <c:layout>
                <c:manualLayout>
                  <c:x val="-0.0796208530805687"/>
                  <c:y val="-0.00487701441899915"/>
                </c:manualLayout>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限额</a:t>
                    </a:r>
                  </a:p>
                </c:rich>
              </c:tx>
              <c:dLblPos val="r"/>
              <c:showLegendKey val="0"/>
              <c:showVal val="1"/>
              <c:showCatName val="0"/>
              <c:showSerName val="0"/>
              <c:showPercent val="0"/>
              <c:showBubbleSize val="0"/>
              <c:extLst>
                <c:ext xmlns:c15="http://schemas.microsoft.com/office/drawing/2012/chart" uri="{CE6537A1-D6FC-4f65-9D91-7224C49458BB}">
                  <c15:layout>
                    <c:manualLayout>
                      <c:w val="0.0513744075829384"/>
                      <c:h val="0.0551314673452078"/>
                    </c:manualLayout>
                  </c15:layout>
                </c:ext>
              </c:extLst>
            </c:dLbl>
            <c:dLbl>
              <c:idx val="20"/>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利息</a:t>
                    </a:r>
                  </a:p>
                </c:rich>
              </c:tx>
              <c:dLblPos val="r"/>
              <c:showLegendKey val="0"/>
              <c:showVal val="1"/>
              <c:showCatName val="0"/>
              <c:showSerName val="0"/>
              <c:showPercent val="0"/>
              <c:showBubbleSize val="0"/>
              <c:extLst>
                <c:ext xmlns:c15="http://schemas.microsoft.com/office/drawing/2012/chart" uri="{CE6537A1-D6FC-4f65-9D91-7224C49458BB}"/>
              </c:extLst>
            </c:dLbl>
            <c:dLbl>
              <c:idx val="21"/>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赔偿金</a:t>
                    </a:r>
                  </a:p>
                </c:rich>
              </c:tx>
              <c:dLblPos val="r"/>
              <c:showLegendKey val="0"/>
              <c:showVal val="1"/>
              <c:showCatName val="0"/>
              <c:showSerName val="0"/>
              <c:showPercent val="0"/>
              <c:showBubbleSize val="0"/>
              <c:extLst>
                <c:ext xmlns:c15="http://schemas.microsoft.com/office/drawing/2012/chart" uri="{CE6537A1-D6FC-4f65-9D91-7224C49458BB}"/>
              </c:extLst>
            </c:dLbl>
            <c:dLbl>
              <c:idx val="22"/>
              <c:delete val="1"/>
            </c:dLbl>
            <c:dLbl>
              <c:idx val="23"/>
              <c:layout/>
              <c:tx>
                <c:rich>
                  <a:bodyPr rot="0" spcFirstLastPara="0" vertOverflow="ellipsis" vert="horz" wrap="square" lIns="38100" tIns="19050" rIns="38100" bIns="19050" anchor="ctr" anchorCtr="1"/>
                  <a:lstStyle/>
                  <a:p>
                    <a:pPr defTabSz="914400">
                      <a:defRPr lang="zh-CN" sz="900" b="0" i="0" u="none" strike="noStrike" kern="1200" baseline="0">
                        <a:solidFill>
                          <a:srgbClr val="404040">
                            <a:lumMod val="75000"/>
                            <a:lumOff val="25000"/>
                          </a:srgbClr>
                        </a:solidFill>
                        <a:latin typeface="+mn-lt"/>
                        <a:ea typeface="+mn-ea"/>
                        <a:cs typeface="+mn-cs"/>
                      </a:defRPr>
                    </a:pPr>
                    <a:r>
                      <a:t>保险费</a:t>
                    </a:r>
                  </a:p>
                </c:rich>
              </c:tx>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rgbClr val="404040">
                        <a:lumMod val="75000"/>
                        <a:lumOff val="25000"/>
                      </a:srgbClr>
                    </a:solidFill>
                    <a:latin typeface="+mn-lt"/>
                    <a:ea typeface="+mn-ea"/>
                    <a:cs typeface="+mn-cs"/>
                  </a:defRPr>
                </a:pPr>
              </a:p>
            </c:txPr>
            <c:dLblPos val="r"/>
            <c:showLegendKey val="0"/>
            <c:showVal val="0"/>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rgbClr val="A6A6A6">
                          <a:lumMod val="35000"/>
                          <a:lumOff val="65000"/>
                        </a:srgbClr>
                      </a:solidFill>
                      <a:round/>
                    </a:ln>
                    <a:effectLst/>
                  </c:spPr>
                </c15:leaderLines>
              </c:ext>
            </c:extLst>
          </c:dLbls>
          <c:xVal>
            <c:strRef>
              <c:f>[工作簿1]Sheet1!$G$1:$AD$1</c:f>
              <c:strCache>
                <c:ptCount val="24"/>
                <c:pt idx="0">
                  <c:v>死亡赔偿金</c:v>
                </c:pt>
                <c:pt idx="1">
                  <c:v>抚慰金</c:v>
                </c:pt>
                <c:pt idx="2">
                  <c:v>寄存费</c:v>
                </c:pt>
                <c:pt idx="3">
                  <c:v>住宿费</c:v>
                </c:pt>
                <c:pt idx="4">
                  <c:v>翻译费</c:v>
                </c:pt>
                <c:pt idx="5">
                  <c:v>住院费</c:v>
                </c:pt>
                <c:pt idx="6">
                  <c:v>伙食补助费</c:v>
                </c:pt>
                <c:pt idx="7">
                  <c:v>营养费</c:v>
                </c:pt>
                <c:pt idx="8">
                  <c:v>陪护费</c:v>
                </c:pt>
                <c:pt idx="9">
                  <c:v>护理费</c:v>
                </c:pt>
                <c:pt idx="10">
                  <c:v>交通费</c:v>
                </c:pt>
                <c:pt idx="11">
                  <c:v>保险金</c:v>
                </c:pt>
                <c:pt idx="12">
                  <c:v>运费</c:v>
                </c:pt>
                <c:pt idx="13">
                  <c:v>税费</c:v>
                </c:pt>
                <c:pt idx="14">
                  <c:v>代偿款</c:v>
                </c:pt>
                <c:pt idx="15">
                  <c:v>理赔款</c:v>
                </c:pt>
                <c:pt idx="16">
                  <c:v>货损价值</c:v>
                </c:pt>
                <c:pt idx="17">
                  <c:v>货物损失</c:v>
                </c:pt>
                <c:pt idx="18">
                  <c:v>提别提款权</c:v>
                </c:pt>
                <c:pt idx="19">
                  <c:v>限额</c:v>
                </c:pt>
                <c:pt idx="20">
                  <c:v>利息</c:v>
                </c:pt>
                <c:pt idx="21">
                  <c:v>赔偿金</c:v>
                </c:pt>
                <c:pt idx="22">
                  <c:v>报关费</c:v>
                </c:pt>
                <c:pt idx="23">
                  <c:v>保险费</c:v>
                </c:pt>
              </c:strCache>
            </c:strRef>
          </c:xVal>
          <c:yVal>
            <c:numRef>
              <c:f>[工作簿1]Sheet1!$G$2:$AD$2</c:f>
              <c:numCache>
                <c:formatCode>General</c:formatCode>
                <c:ptCount val="24"/>
                <c:pt idx="0">
                  <c:v>5</c:v>
                </c:pt>
                <c:pt idx="1">
                  <c:v>2</c:v>
                </c:pt>
                <c:pt idx="2">
                  <c:v>1</c:v>
                </c:pt>
                <c:pt idx="3">
                  <c:v>6</c:v>
                </c:pt>
                <c:pt idx="4">
                  <c:v>6</c:v>
                </c:pt>
                <c:pt idx="5">
                  <c:v>6</c:v>
                </c:pt>
                <c:pt idx="6">
                  <c:v>3</c:v>
                </c:pt>
                <c:pt idx="7">
                  <c:v>3</c:v>
                </c:pt>
                <c:pt idx="8">
                  <c:v>1</c:v>
                </c:pt>
                <c:pt idx="9">
                  <c:v>5</c:v>
                </c:pt>
                <c:pt idx="10">
                  <c:v>8</c:v>
                </c:pt>
                <c:pt idx="11">
                  <c:v>164</c:v>
                </c:pt>
                <c:pt idx="12">
                  <c:v>14</c:v>
                </c:pt>
                <c:pt idx="13">
                  <c:v>3</c:v>
                </c:pt>
                <c:pt idx="14">
                  <c:v>11</c:v>
                </c:pt>
                <c:pt idx="15">
                  <c:v>45</c:v>
                </c:pt>
                <c:pt idx="16">
                  <c:v>16</c:v>
                </c:pt>
                <c:pt idx="17">
                  <c:v>15</c:v>
                </c:pt>
                <c:pt idx="18">
                  <c:v>17</c:v>
                </c:pt>
                <c:pt idx="19">
                  <c:v>80</c:v>
                </c:pt>
                <c:pt idx="20">
                  <c:v>146</c:v>
                </c:pt>
                <c:pt idx="21">
                  <c:v>86</c:v>
                </c:pt>
                <c:pt idx="22">
                  <c:v>6</c:v>
                </c:pt>
                <c:pt idx="23">
                  <c:v>50</c:v>
                </c:pt>
              </c:numCache>
            </c:numRef>
          </c:yVal>
          <c:smooth val="1"/>
        </c:ser>
        <c:dLbls>
          <c:showLegendKey val="0"/>
          <c:showVal val="0"/>
          <c:showCatName val="0"/>
          <c:showSerName val="0"/>
          <c:showPercent val="0"/>
          <c:showBubbleSize val="0"/>
        </c:dLbls>
        <c:axId val="271534628"/>
        <c:axId val="764180283"/>
      </c:scatterChart>
      <c:valAx>
        <c:axId val="271534628"/>
        <c:scaling>
          <c:orientation val="minMax"/>
        </c:scaling>
        <c:delete val="0"/>
        <c:axPos val="b"/>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rgbClr val="808080">
                    <a:lumMod val="50000"/>
                    <a:lumOff val="50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crossAx val="764180283"/>
        <c:crosses val="autoZero"/>
        <c:crossBetween val="midCat"/>
      </c:valAx>
      <c:valAx>
        <c:axId val="764180283"/>
        <c:scaling>
          <c:orientation val="minMax"/>
        </c:scaling>
        <c:delete val="0"/>
        <c:axPos val="l"/>
        <c:majorGridlines>
          <c:spPr>
            <a:ln w="6350" cap="flat" cmpd="sng" algn="ctr">
              <a:solidFill>
                <a:srgbClr val="F2F2F2">
                  <a:lumMod val="95000"/>
                </a:srgbClr>
              </a:solidFill>
              <a:round/>
            </a:ln>
            <a:effectLst/>
          </c:spPr>
        </c:majorGridlines>
        <c:numFmt formatCode="General" sourceLinked="1"/>
        <c:majorTickMark val="none"/>
        <c:minorTickMark val="none"/>
        <c:tickLblPos val="nextTo"/>
        <c:spPr>
          <a:noFill/>
          <a:ln w="6350">
            <a:solidFill>
              <a:srgbClr val="F2F2F2">
                <a:lumMod val="95000"/>
              </a:srgbClr>
            </a:solidFill>
          </a:ln>
          <a:effectLst/>
        </c:spPr>
        <c:txPr>
          <a:bodyPr rot="-60000000" spcFirstLastPara="0" vertOverflow="ellipsis" vert="horz" wrap="square" anchor="ctr" anchorCtr="1" forceAA="0"/>
          <a:lstStyle/>
          <a:p>
            <a:pPr>
              <a:defRPr lang="zh-CN" sz="900" b="0" i="0" u="none" strike="noStrike" kern="1200" baseline="0">
                <a:solidFill>
                  <a:srgbClr val="808080">
                    <a:lumMod val="50000"/>
                    <a:lumOff val="50000"/>
                  </a:srgbClr>
                </a:solidFill>
                <a:latin typeface="Arial" panose="020B0604020202020204" pitchFamily="7" charset="0"/>
                <a:ea typeface="Arial" panose="020B0604020202020204" pitchFamily="7" charset="0"/>
                <a:cs typeface="Arial" panose="020B0604020202020204" pitchFamily="7" charset="0"/>
                <a:sym typeface="Arial" panose="020B0604020202020204" pitchFamily="7" charset="0"/>
              </a:defRPr>
            </a:pPr>
          </a:p>
        </c:txPr>
        <c:crossAx val="271534628"/>
        <c:crosses val="autoZero"/>
        <c:crossBetween val="midCat"/>
      </c:valAx>
      <c:spPr>
        <a:noFill/>
        <a:ln w="6350">
          <a:solidFill>
            <a:srgbClr val="F2F2F2">
              <a:lumMod val="95000"/>
            </a:srgbClr>
          </a:solid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rgbClr val="808080">
                  <a:lumMod val="50000"/>
                  <a:lumOff val="50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rgbClr val="F2F2F2">
                    <a:lumMod val="9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r>
              <a:rPr altLang="en-US"/>
              <a:t>赔偿数额</a:t>
            </a:r>
            <a:endParaRPr lang="en-US" altLang="zh-CN"/>
          </a:p>
        </c:rich>
      </c:tx>
      <c:layout/>
      <c:overlay val="0"/>
      <c:spPr>
        <a:noFill/>
        <a:ln>
          <a:noFill/>
        </a:ln>
        <a:effectLst/>
      </c:spPr>
    </c:title>
    <c:autoTitleDeleted val="0"/>
    <c:plotArea>
      <c:layout>
        <c:manualLayout>
          <c:layoutTarget val="inner"/>
          <c:xMode val="edge"/>
          <c:yMode val="edge"/>
          <c:x val="0.103066485753053"/>
          <c:y val="0.218910471087296"/>
          <c:w val="0.850800542740841"/>
          <c:h val="0.609488725161866"/>
        </c:manualLayout>
      </c:layout>
      <c:barChart>
        <c:barDir val="col"/>
        <c:grouping val="clustered"/>
        <c:varyColors val="0"/>
        <c:ser>
          <c:idx val="0"/>
          <c:order val="0"/>
          <c:tx>
            <c:strRef>
              <c:f>[工作簿1]Sheet1!$A$2</c:f>
              <c:strCache>
                <c:ptCount val="1"/>
                <c:pt idx="0">
                  <c:v>数量</c:v>
                </c:pt>
              </c:strCache>
            </c:strRef>
          </c:tx>
          <c:spPr>
            <a:solidFill>
              <a:srgbClr val="4DB5F2"/>
            </a:solidFill>
            <a:ln>
              <a:noFill/>
            </a:ln>
            <a:effectLst/>
          </c:spPr>
          <c:invertIfNegative val="0"/>
          <c:dLbls>
            <c:delete val="1"/>
          </c:dLbls>
          <c:cat>
            <c:strRef>
              <c:f>[工作簿1]Sheet1!$B$1:$G$1</c:f>
              <c:strCache>
                <c:ptCount val="6"/>
                <c:pt idx="0">
                  <c:v>&lt;1w</c:v>
                </c:pt>
                <c:pt idx="1">
                  <c:v>1-10w</c:v>
                </c:pt>
                <c:pt idx="2">
                  <c:v>10-20w</c:v>
                </c:pt>
                <c:pt idx="3">
                  <c:v>20-40w</c:v>
                </c:pt>
                <c:pt idx="4">
                  <c:v>40-50w</c:v>
                </c:pt>
                <c:pt idx="5">
                  <c:v>50-100w</c:v>
                </c:pt>
              </c:strCache>
            </c:strRef>
          </c:cat>
          <c:val>
            <c:numRef>
              <c:f>[工作簿1]Sheet1!$B$2:$G$2</c:f>
              <c:numCache>
                <c:formatCode>General</c:formatCode>
                <c:ptCount val="6"/>
                <c:pt idx="0">
                  <c:v>247</c:v>
                </c:pt>
                <c:pt idx="1">
                  <c:v>17</c:v>
                </c:pt>
                <c:pt idx="2">
                  <c:v>63</c:v>
                </c:pt>
                <c:pt idx="3">
                  <c:v>9</c:v>
                </c:pt>
                <c:pt idx="4">
                  <c:v>23</c:v>
                </c:pt>
                <c:pt idx="5">
                  <c:v>24</c:v>
                </c:pt>
              </c:numCache>
            </c:numRef>
          </c:val>
        </c:ser>
        <c:dLbls>
          <c:showLegendKey val="0"/>
          <c:showVal val="0"/>
          <c:showCatName val="0"/>
          <c:showSerName val="0"/>
          <c:showPercent val="0"/>
          <c:showBubbleSize val="0"/>
        </c:dLbls>
        <c:gapWidth val="439"/>
        <c:overlap val="-33"/>
        <c:axId val="304907685"/>
        <c:axId val="263050204"/>
      </c:barChart>
      <c:catAx>
        <c:axId val="304907685"/>
        <c:scaling>
          <c:orientation val="minMax"/>
        </c:scaling>
        <c:delete val="0"/>
        <c:axPos val="b"/>
        <c:numFmt formatCode="General" sourceLinked="0"/>
        <c:majorTickMark val="none"/>
        <c:minorTickMark val="none"/>
        <c:tickLblPos val="nextTo"/>
        <c:spPr>
          <a:noFill/>
          <a:ln w="9525" cap="flat" cmpd="sng" algn="ctr">
            <a:noFill/>
            <a:round/>
          </a:ln>
          <a:effectLst/>
        </c:spPr>
        <c:txPr>
          <a:bodyPr rot="-60000000" spcFirstLastPara="0" vertOverflow="ellipsis" vert="horz" wrap="square" anchor="ctr" anchorCtr="1" forceAA="0"/>
          <a:lstStyle/>
          <a:p>
            <a:pPr>
              <a:defRPr lang="zh-CN" sz="900" b="0" i="0" u="none" strike="noStrike" kern="1200" baseline="0">
                <a:solidFill>
                  <a:srgbClr val="F2F2F2">
                    <a:lumMod val="9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crossAx val="263050204"/>
        <c:crosses val="autoZero"/>
        <c:auto val="1"/>
        <c:lblAlgn val="ctr"/>
        <c:lblOffset val="100"/>
        <c:noMultiLvlLbl val="0"/>
      </c:catAx>
      <c:valAx>
        <c:axId val="263050204"/>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rgbClr val="F2F2F2">
                    <a:lumMod val="9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crossAx val="304907685"/>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rgbClr val="F2F2F2">
                  <a:lumMod val="9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legend>
    <c:plotVisOnly val="1"/>
    <c:dispBlanksAs val="gap"/>
    <c:showDLblsOverMax val="0"/>
  </c:chart>
  <c:spPr>
    <a:solidFill>
      <a:srgbClr val="2A3950"/>
    </a:solidFill>
    <a:ln w="9525" cap="flat" cmpd="sng" algn="ctr">
      <a:solidFill>
        <a:srgbClr val="D9D9D9">
          <a:lumMod val="15000"/>
          <a:lumOff val="85000"/>
        </a:srgbClr>
      </a:solidFill>
      <a:round/>
    </a:ln>
    <a:effectLst>
      <a:outerShdw blurRad="63500" dist="37357" dir="2700000" sx="0" sy="0" rotWithShape="0">
        <a:scrgbClr r="0" g="0" b="0"/>
      </a:outerShdw>
    </a:effectLst>
  </c:spPr>
  <c:txPr>
    <a:bodyPr/>
    <a:lstStyle/>
    <a:p>
      <a:pPr>
        <a:defRPr lang="zh-CN">
          <a:solidFill>
            <a:srgbClr val="F2F2F2">
              <a:lumMod val="95000"/>
            </a:srgbClr>
          </a:solidFill>
          <a:latin typeface="微软雅黑" panose="020B0503020204020204" pitchFamily="34" charset="-122"/>
          <a:ea typeface="微软雅黑" panose="020B0503020204020204" pitchFamily="34" charset="-122"/>
          <a:cs typeface="微软雅黑" panose="020B0503020204020204" pitchFamily="34" charset="-122"/>
          <a:sym typeface="微软雅黑" panose="020B0503020204020204" pitchFamily="34" charset="-122"/>
        </a:defRPr>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rgbClr val="595959">
                    <a:lumMod val="65000"/>
                    <a:lumOff val="35000"/>
                  </a:srgbClr>
                </a:solidFill>
                <a:latin typeface="+mn-lt"/>
                <a:ea typeface="+mn-ea"/>
                <a:cs typeface="+mn-cs"/>
              </a:defRPr>
            </a:pPr>
            <a:r>
              <a:t>法律规范</a:t>
            </a:r>
          </a:p>
        </c:rich>
      </c:tx>
      <c:layout/>
      <c:overlay val="0"/>
      <c:spPr>
        <a:noFill/>
        <a:ln>
          <a:noFill/>
        </a:ln>
        <a:effectLst/>
      </c:spPr>
    </c:title>
    <c:autoTitleDeleted val="0"/>
    <c:plotArea>
      <c:layout/>
      <c:barChart>
        <c:barDir val="col"/>
        <c:grouping val="clustered"/>
        <c:varyColors val="0"/>
        <c:ser>
          <c:idx val="0"/>
          <c:order val="0"/>
          <c:tx>
            <c:strRef>
              <c:f>[工作簿2]Sheet1!$B$1</c:f>
              <c:strCache>
                <c:ptCount val="1"/>
                <c:pt idx="0">
                  <c:v>数量</c:v>
                </c:pt>
              </c:strCache>
            </c:strRef>
          </c:tx>
          <c:spPr>
            <a:solidFill>
              <a:srgbClr val="4F81BD"/>
            </a:solidFill>
            <a:ln>
              <a:noFill/>
            </a:ln>
            <a:effectLst/>
          </c:spPr>
          <c:invertIfNegative val="0"/>
          <c:dLbls>
            <c:delete val="1"/>
          </c:dLbls>
          <c:cat>
            <c:strRef>
              <c:f>[工作簿2]Sheet1!$A$2:$A$11</c:f>
              <c:strCache>
                <c:ptCount val="10"/>
                <c:pt idx="0">
                  <c:v>物权法</c:v>
                </c:pt>
                <c:pt idx="1">
                  <c:v>侵权法</c:v>
                </c:pt>
                <c:pt idx="2">
                  <c:v>人身损害赔偿解释</c:v>
                </c:pt>
                <c:pt idx="3">
                  <c:v>航空法</c:v>
                </c:pt>
                <c:pt idx="4">
                  <c:v>赔偿责任限额规定</c:v>
                </c:pt>
                <c:pt idx="5">
                  <c:v>保险法以及司法解释</c:v>
                </c:pt>
                <c:pt idx="6">
                  <c:v>合同法</c:v>
                </c:pt>
                <c:pt idx="7">
                  <c:v>蒙特利尔公约</c:v>
                </c:pt>
                <c:pt idx="8">
                  <c:v>海牙议定书</c:v>
                </c:pt>
                <c:pt idx="9">
                  <c:v>涉外民事关系法律适用法</c:v>
                </c:pt>
              </c:strCache>
            </c:strRef>
          </c:cat>
          <c:val>
            <c:numRef>
              <c:f>[工作簿2]Sheet1!$B$2:$B$11</c:f>
              <c:numCache>
                <c:formatCode>General</c:formatCode>
                <c:ptCount val="10"/>
                <c:pt idx="0">
                  <c:v>3</c:v>
                </c:pt>
                <c:pt idx="1">
                  <c:v>15</c:v>
                </c:pt>
                <c:pt idx="2">
                  <c:v>9</c:v>
                </c:pt>
                <c:pt idx="3">
                  <c:v>28</c:v>
                </c:pt>
                <c:pt idx="4">
                  <c:v>10</c:v>
                </c:pt>
                <c:pt idx="5">
                  <c:v>147</c:v>
                </c:pt>
                <c:pt idx="6">
                  <c:v>80</c:v>
                </c:pt>
                <c:pt idx="7">
                  <c:v>13</c:v>
                </c:pt>
                <c:pt idx="8">
                  <c:v>3</c:v>
                </c:pt>
                <c:pt idx="9">
                  <c:v>5</c:v>
                </c:pt>
              </c:numCache>
            </c:numRef>
          </c:val>
        </c:ser>
        <c:dLbls>
          <c:showLegendKey val="0"/>
          <c:showVal val="0"/>
          <c:showCatName val="0"/>
          <c:showSerName val="0"/>
          <c:showPercent val="0"/>
          <c:showBubbleSize val="0"/>
        </c:dLbls>
        <c:gapWidth val="219"/>
        <c:overlap val="-27"/>
        <c:axId val="802175975"/>
        <c:axId val="249072265"/>
      </c:barChart>
      <c:catAx>
        <c:axId val="802175975"/>
        <c:scaling>
          <c:orientation val="minMax"/>
        </c:scaling>
        <c:delete val="0"/>
        <c:axPos val="b"/>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249072265"/>
        <c:crosses val="autoZero"/>
        <c:auto val="1"/>
        <c:lblAlgn val="ctr"/>
        <c:lblOffset val="100"/>
        <c:noMultiLvlLbl val="0"/>
      </c:catAx>
      <c:valAx>
        <c:axId val="249072265"/>
        <c:scaling>
          <c:orientation val="minMax"/>
        </c:scaling>
        <c:delete val="0"/>
        <c:axPos val="l"/>
        <c:majorGridlines>
          <c:spPr>
            <a:ln w="9525" cap="flat" cmpd="sng" algn="ctr">
              <a:solidFill>
                <a:srgbClr val="D9D9D9">
                  <a:lumMod val="15000"/>
                  <a:lumOff val="85000"/>
                </a:srgb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02175975"/>
        <c:crosses val="autoZero"/>
        <c:crossBetween val="between"/>
      </c:valAx>
      <c:spPr>
        <a:noFill/>
        <a:ln>
          <a:noFill/>
        </a:ln>
        <a:effectLst/>
      </c:spPr>
    </c:plotArea>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404040">
          <a:lumMod val="75000"/>
          <a:lumOff val="25000"/>
        </a:srgbClr>
      </a:solidFill>
      <a:ln w="9525" cap="flat" cmpd="sng" algn="ctr">
        <a:solidFill>
          <a:srgbClr val="595959">
            <a:lumMod val="65000"/>
            <a:lumOff val="35000"/>
          </a:srgbClr>
        </a:solidFill>
        <a:round/>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808080">
            <a:lumMod val="50000"/>
            <a:lumOff val="50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cap="flat" cmpd="sng" algn="ctr">
        <a:solidFill>
          <a:srgbClr val="595959">
            <a:lumMod val="65000"/>
            <a:lumOff val="35000"/>
          </a:srgbClr>
        </a:solidFill>
        <a:round/>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404040">
          <a:lumMod val="75000"/>
          <a:lumOff val="25000"/>
        </a:srgbClr>
      </a:solidFill>
      <a:ln w="9525" cap="flat" cmpd="sng" algn="ctr">
        <a:solidFill>
          <a:srgbClr val="595959">
            <a:lumMod val="65000"/>
            <a:lumOff val="35000"/>
          </a:srgbClr>
        </a:solidFill>
        <a:round/>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808080">
            <a:lumMod val="50000"/>
            <a:lumOff val="50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cap="flat" cmpd="sng" algn="ctr">
        <a:solidFill>
          <a:srgbClr val="595959">
            <a:lumMod val="65000"/>
            <a:lumOff val="35000"/>
          </a:srgbClr>
        </a:solidFill>
        <a:round/>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rgbClr val="FFFFFF"/>
      </a:solidFill>
      <a:gradFill rotWithShape="1">
        <a:gsLst>
          <a:gs pos="0">
            <a:srgbClr val="FFFFFF">
              <a:lumMod val="110000"/>
              <a:satMod val="105000"/>
              <a:tint val="67000"/>
            </a:srgbClr>
          </a:gs>
          <a:gs pos="50000">
            <a:srgbClr val="FFFFFF">
              <a:lumMod val="105000"/>
              <a:satMod val="103000"/>
              <a:tint val="73000"/>
            </a:srgbClr>
          </a:gs>
          <a:gs pos="100000">
            <a:srgbClr val="FFFFFF">
              <a:lumMod val="105000"/>
              <a:satMod val="109000"/>
              <a:tint val="81000"/>
            </a:srgbClr>
          </a:gs>
        </a:gsLst>
        <a:lin ang="5400000" scaled="0"/>
      </a:gradFill>
      <a:gradFill rotWithShape="1">
        <a:gsLst>
          <a:gs pos="0">
            <a:srgbClr val="FFFFFF">
              <a:satMod val="103000"/>
              <a:lumMod val="102000"/>
              <a:tint val="94000"/>
            </a:srgbClr>
          </a:gs>
          <a:gs pos="50000">
            <a:srgbClr val="FFFFFF">
              <a:satMod val="110000"/>
              <a:lumMod val="100000"/>
              <a:shade val="100000"/>
            </a:srgbClr>
          </a:gs>
          <a:gs pos="100000">
            <a:srgbClr val="E2E2E2">
              <a:lumMod val="99000"/>
              <a:satMod val="120000"/>
              <a:shade val="78000"/>
            </a:srgbClr>
          </a:gs>
        </a:gsLst>
        <a:lin ang="5400000" scaled="0"/>
      </a:gradFill>
    </a:fillStyleLst>
    <a:lnStyleLst>
      <a:ln w="6350" cap="flat" cmpd="sng" algn="ctr">
        <a:solidFill>
          <a:srgbClr val="FFFFFF"/>
        </a:solidFill>
        <a:prstDash val="solid"/>
        <a:miter lim="800000"/>
      </a:ln>
      <a:ln w="12700" cap="flat" cmpd="sng" algn="ctr">
        <a:solidFill>
          <a:srgbClr val="FFFFFF"/>
        </a:solidFill>
        <a:prstDash val="solid"/>
        <a:miter lim="800000"/>
      </a:ln>
      <a:ln w="19050" cap="flat" cmpd="sng" algn="ctr">
        <a:solidFill>
          <a:srgbClr val="FFFFFF"/>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rgbClr val="FFFFFF"/>
      </a:solidFill>
      <a:solidFill>
        <a:srgbClr val="FFFFFF">
          <a:tint val="95000"/>
          <a:satMod val="170000"/>
        </a:srgbClr>
      </a:solidFill>
      <a:gradFill rotWithShape="1">
        <a:gsLst>
          <a:gs pos="0">
            <a:srgbClr val="FFFFFF">
              <a:tint val="93000"/>
              <a:satMod val="150000"/>
              <a:shade val="98000"/>
              <a:lumMod val="102000"/>
            </a:srgbClr>
          </a:gs>
          <a:gs pos="50000">
            <a:srgbClr val="FBFBFB">
              <a:tint val="98000"/>
              <a:satMod val="130000"/>
              <a:shade val="90000"/>
              <a:lumMod val="103000"/>
            </a:srgbClr>
          </a:gs>
          <a:gs pos="100000">
            <a:srgbClr val="D0D0D0">
              <a:shade val="63000"/>
              <a:satMod val="120000"/>
            </a:srgb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rgbClr val="FFFFFF"/>
      </a:solidFill>
      <a:gradFill rotWithShape="1">
        <a:gsLst>
          <a:gs pos="0">
            <a:srgbClr val="FFFFFF">
              <a:lumMod val="110000"/>
              <a:satMod val="105000"/>
              <a:tint val="67000"/>
            </a:srgbClr>
          </a:gs>
          <a:gs pos="50000">
            <a:srgbClr val="FFFFFF">
              <a:lumMod val="105000"/>
              <a:satMod val="103000"/>
              <a:tint val="73000"/>
            </a:srgbClr>
          </a:gs>
          <a:gs pos="100000">
            <a:srgbClr val="FFFFFF">
              <a:lumMod val="105000"/>
              <a:satMod val="109000"/>
              <a:tint val="81000"/>
            </a:srgbClr>
          </a:gs>
        </a:gsLst>
        <a:lin ang="5400000" scaled="0"/>
      </a:gradFill>
      <a:gradFill rotWithShape="1">
        <a:gsLst>
          <a:gs pos="0">
            <a:srgbClr val="FFFFFF">
              <a:satMod val="103000"/>
              <a:lumMod val="102000"/>
              <a:tint val="94000"/>
            </a:srgbClr>
          </a:gs>
          <a:gs pos="50000">
            <a:srgbClr val="FFFFFF">
              <a:satMod val="110000"/>
              <a:lumMod val="100000"/>
              <a:shade val="100000"/>
            </a:srgbClr>
          </a:gs>
          <a:gs pos="100000">
            <a:srgbClr val="E2E2E2">
              <a:lumMod val="99000"/>
              <a:satMod val="120000"/>
              <a:shade val="78000"/>
            </a:srgbClr>
          </a:gs>
        </a:gsLst>
        <a:lin ang="5400000" scaled="0"/>
      </a:gradFill>
    </a:fillStyleLst>
    <a:lnStyleLst>
      <a:ln w="6350" cap="flat" cmpd="sng" algn="ctr">
        <a:solidFill>
          <a:srgbClr val="FFFFFF"/>
        </a:solidFill>
        <a:prstDash val="solid"/>
        <a:miter lim="800000"/>
      </a:ln>
      <a:ln w="12700" cap="flat" cmpd="sng" algn="ctr">
        <a:solidFill>
          <a:srgbClr val="FFFFFF"/>
        </a:solidFill>
        <a:prstDash val="solid"/>
        <a:miter lim="800000"/>
      </a:ln>
      <a:ln w="19050" cap="flat" cmpd="sng" algn="ctr">
        <a:solidFill>
          <a:srgbClr val="FFFFFF"/>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rgbClr val="FFFFFF"/>
      </a:solidFill>
      <a:solidFill>
        <a:srgbClr val="FFFFFF">
          <a:tint val="95000"/>
          <a:satMod val="170000"/>
        </a:srgbClr>
      </a:solidFill>
      <a:gradFill rotWithShape="1">
        <a:gsLst>
          <a:gs pos="0">
            <a:srgbClr val="FFFFFF">
              <a:tint val="93000"/>
              <a:satMod val="150000"/>
              <a:shade val="98000"/>
              <a:lumMod val="102000"/>
            </a:srgbClr>
          </a:gs>
          <a:gs pos="50000">
            <a:srgbClr val="FBFBFB">
              <a:tint val="98000"/>
              <a:satMod val="130000"/>
              <a:shade val="90000"/>
              <a:lumMod val="103000"/>
            </a:srgbClr>
          </a:gs>
          <a:gs pos="100000">
            <a:srgbClr val="D0D0D0">
              <a:shade val="63000"/>
              <a:satMod val="120000"/>
            </a:srgb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rgbClr val="FFFFFF"/>
      </a:solidFill>
      <a:gradFill rotWithShape="1">
        <a:gsLst>
          <a:gs pos="0">
            <a:srgbClr val="FFFFFF">
              <a:lumMod val="110000"/>
              <a:satMod val="105000"/>
              <a:tint val="67000"/>
            </a:srgbClr>
          </a:gs>
          <a:gs pos="50000">
            <a:srgbClr val="FFFFFF">
              <a:lumMod val="105000"/>
              <a:satMod val="103000"/>
              <a:tint val="73000"/>
            </a:srgbClr>
          </a:gs>
          <a:gs pos="100000">
            <a:srgbClr val="FFFFFF">
              <a:lumMod val="105000"/>
              <a:satMod val="109000"/>
              <a:tint val="81000"/>
            </a:srgbClr>
          </a:gs>
        </a:gsLst>
        <a:lin ang="5400000" scaled="0"/>
      </a:gradFill>
      <a:gradFill rotWithShape="1">
        <a:gsLst>
          <a:gs pos="0">
            <a:srgbClr val="FFFFFF">
              <a:satMod val="103000"/>
              <a:lumMod val="102000"/>
              <a:tint val="94000"/>
            </a:srgbClr>
          </a:gs>
          <a:gs pos="50000">
            <a:srgbClr val="FFFFFF">
              <a:satMod val="110000"/>
              <a:lumMod val="100000"/>
              <a:shade val="100000"/>
            </a:srgbClr>
          </a:gs>
          <a:gs pos="100000">
            <a:srgbClr val="E2E2E2">
              <a:lumMod val="99000"/>
              <a:satMod val="120000"/>
              <a:shade val="78000"/>
            </a:srgbClr>
          </a:gs>
        </a:gsLst>
        <a:lin ang="5400000" scaled="0"/>
      </a:gradFill>
    </a:fillStyleLst>
    <a:lnStyleLst>
      <a:ln w="6350" cap="flat" cmpd="sng" algn="ctr">
        <a:solidFill>
          <a:srgbClr val="FFFFFF"/>
        </a:solidFill>
        <a:prstDash val="solid"/>
        <a:miter lim="800000"/>
      </a:ln>
      <a:ln w="12700" cap="flat" cmpd="sng" algn="ctr">
        <a:solidFill>
          <a:srgbClr val="FFFFFF"/>
        </a:solidFill>
        <a:prstDash val="solid"/>
        <a:miter lim="800000"/>
      </a:ln>
      <a:ln w="19050" cap="flat" cmpd="sng" algn="ctr">
        <a:solidFill>
          <a:srgbClr val="FFFFFF"/>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rgbClr val="FFFFFF"/>
      </a:solidFill>
      <a:solidFill>
        <a:srgbClr val="FFFFFF">
          <a:tint val="95000"/>
          <a:satMod val="170000"/>
        </a:srgbClr>
      </a:solidFill>
      <a:gradFill rotWithShape="1">
        <a:gsLst>
          <a:gs pos="0">
            <a:srgbClr val="FFFFFF">
              <a:tint val="93000"/>
              <a:satMod val="150000"/>
              <a:shade val="98000"/>
              <a:lumMod val="102000"/>
            </a:srgbClr>
          </a:gs>
          <a:gs pos="50000">
            <a:srgbClr val="FBFBFB">
              <a:tint val="98000"/>
              <a:satMod val="130000"/>
              <a:shade val="90000"/>
              <a:lumMod val="103000"/>
            </a:srgbClr>
          </a:gs>
          <a:gs pos="100000">
            <a:srgbClr val="D0D0D0">
              <a:shade val="63000"/>
              <a:satMod val="120000"/>
            </a:srgb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rgbClr val="FFFFFF"/>
      </a:solidFill>
      <a:gradFill rotWithShape="1">
        <a:gsLst>
          <a:gs pos="0">
            <a:srgbClr val="FFFFFF">
              <a:lumMod val="110000"/>
              <a:satMod val="105000"/>
              <a:tint val="67000"/>
            </a:srgbClr>
          </a:gs>
          <a:gs pos="50000">
            <a:srgbClr val="FFFFFF">
              <a:lumMod val="105000"/>
              <a:satMod val="103000"/>
              <a:tint val="73000"/>
            </a:srgbClr>
          </a:gs>
          <a:gs pos="100000">
            <a:srgbClr val="FFFFFF">
              <a:lumMod val="105000"/>
              <a:satMod val="109000"/>
              <a:tint val="81000"/>
            </a:srgbClr>
          </a:gs>
        </a:gsLst>
        <a:lin ang="5400000" scaled="0"/>
      </a:gradFill>
      <a:gradFill rotWithShape="1">
        <a:gsLst>
          <a:gs pos="0">
            <a:srgbClr val="FFFFFF">
              <a:satMod val="103000"/>
              <a:lumMod val="102000"/>
              <a:tint val="94000"/>
            </a:srgbClr>
          </a:gs>
          <a:gs pos="50000">
            <a:srgbClr val="FFFFFF">
              <a:satMod val="110000"/>
              <a:lumMod val="100000"/>
              <a:shade val="100000"/>
            </a:srgbClr>
          </a:gs>
          <a:gs pos="100000">
            <a:srgbClr val="E2E2E2">
              <a:lumMod val="99000"/>
              <a:satMod val="120000"/>
              <a:shade val="78000"/>
            </a:srgbClr>
          </a:gs>
        </a:gsLst>
        <a:lin ang="5400000" scaled="0"/>
      </a:gradFill>
    </a:fillStyleLst>
    <a:lnStyleLst>
      <a:ln w="6350" cap="flat" cmpd="sng" algn="ctr">
        <a:solidFill>
          <a:srgbClr val="FFFFFF"/>
        </a:solidFill>
        <a:prstDash val="solid"/>
        <a:miter lim="800000"/>
      </a:ln>
      <a:ln w="12700" cap="flat" cmpd="sng" algn="ctr">
        <a:solidFill>
          <a:srgbClr val="FFFFFF"/>
        </a:solidFill>
        <a:prstDash val="solid"/>
        <a:miter lim="800000"/>
      </a:ln>
      <a:ln w="19050" cap="flat" cmpd="sng" algn="ctr">
        <a:solidFill>
          <a:srgbClr val="FFFFFF"/>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rgbClr val="FFFFFF"/>
      </a:solidFill>
      <a:solidFill>
        <a:srgbClr val="FFFFFF">
          <a:tint val="95000"/>
          <a:satMod val="170000"/>
        </a:srgbClr>
      </a:solidFill>
      <a:gradFill rotWithShape="1">
        <a:gsLst>
          <a:gs pos="0">
            <a:srgbClr val="FFFFFF">
              <a:tint val="93000"/>
              <a:satMod val="150000"/>
              <a:shade val="98000"/>
              <a:lumMod val="102000"/>
            </a:srgbClr>
          </a:gs>
          <a:gs pos="50000">
            <a:srgbClr val="FBFBFB">
              <a:tint val="98000"/>
              <a:satMod val="130000"/>
              <a:shade val="90000"/>
              <a:lumMod val="103000"/>
            </a:srgbClr>
          </a:gs>
          <a:gs pos="100000">
            <a:srgbClr val="D0D0D0">
              <a:shade val="63000"/>
              <a:satMod val="120000"/>
            </a:srgb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rgbClr val="FFFFFF"/>
      </a:solidFill>
      <a:gradFill rotWithShape="1">
        <a:gsLst>
          <a:gs pos="0">
            <a:srgbClr val="FFFFFF">
              <a:lumMod val="110000"/>
              <a:satMod val="105000"/>
              <a:tint val="67000"/>
            </a:srgbClr>
          </a:gs>
          <a:gs pos="50000">
            <a:srgbClr val="FFFFFF">
              <a:lumMod val="105000"/>
              <a:satMod val="103000"/>
              <a:tint val="73000"/>
            </a:srgbClr>
          </a:gs>
          <a:gs pos="100000">
            <a:srgbClr val="FFFFFF">
              <a:lumMod val="105000"/>
              <a:satMod val="109000"/>
              <a:tint val="81000"/>
            </a:srgbClr>
          </a:gs>
        </a:gsLst>
        <a:lin ang="5400000" scaled="0"/>
      </a:gradFill>
      <a:gradFill rotWithShape="1">
        <a:gsLst>
          <a:gs pos="0">
            <a:srgbClr val="FFFFFF">
              <a:satMod val="103000"/>
              <a:lumMod val="102000"/>
              <a:tint val="94000"/>
            </a:srgbClr>
          </a:gs>
          <a:gs pos="50000">
            <a:srgbClr val="FFFFFF">
              <a:satMod val="110000"/>
              <a:lumMod val="100000"/>
              <a:shade val="100000"/>
            </a:srgbClr>
          </a:gs>
          <a:gs pos="100000">
            <a:srgbClr val="E2E2E2">
              <a:lumMod val="99000"/>
              <a:satMod val="120000"/>
              <a:shade val="78000"/>
            </a:srgbClr>
          </a:gs>
        </a:gsLst>
        <a:lin ang="5400000" scaled="0"/>
      </a:gradFill>
    </a:fillStyleLst>
    <a:lnStyleLst>
      <a:ln w="6350" cap="flat" cmpd="sng" algn="ctr">
        <a:solidFill>
          <a:srgbClr val="FFFFFF"/>
        </a:solidFill>
        <a:prstDash val="solid"/>
        <a:miter lim="800000"/>
      </a:ln>
      <a:ln w="12700" cap="flat" cmpd="sng" algn="ctr">
        <a:solidFill>
          <a:srgbClr val="FFFFFF"/>
        </a:solidFill>
        <a:prstDash val="solid"/>
        <a:miter lim="800000"/>
      </a:ln>
      <a:ln w="19050" cap="flat" cmpd="sng" algn="ctr">
        <a:solidFill>
          <a:srgbClr val="FFFFFF"/>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rgbClr val="FFFFFF"/>
      </a:solidFill>
      <a:solidFill>
        <a:srgbClr val="FFFFFF">
          <a:tint val="95000"/>
          <a:satMod val="170000"/>
        </a:srgbClr>
      </a:solidFill>
      <a:gradFill rotWithShape="1">
        <a:gsLst>
          <a:gs pos="0">
            <a:srgbClr val="FFFFFF">
              <a:tint val="93000"/>
              <a:satMod val="150000"/>
              <a:shade val="98000"/>
              <a:lumMod val="102000"/>
            </a:srgbClr>
          </a:gs>
          <a:gs pos="50000">
            <a:srgbClr val="FBFBFB">
              <a:tint val="98000"/>
              <a:satMod val="130000"/>
              <a:shade val="90000"/>
              <a:lumMod val="103000"/>
            </a:srgbClr>
          </a:gs>
          <a:gs pos="100000">
            <a:srgbClr val="D0D0D0">
              <a:shade val="63000"/>
              <a:satMod val="120000"/>
            </a:srgb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Office_11.1.0.10337_F1E327BC-269C-435d-A152-05C5408002CA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2021-02-23T07:54:00Z</dcterms:created>
  <dc:creator>12985</dc:creator>
  <cp:lastModifiedBy>asus</cp:lastModifiedBy>
  <dcterms:modified xsi:type="dcterms:W3CDTF">2021-02-26T12:29:52Z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2052-11.1.0.10337</vt:lpwstr>
  </property>
  <property fmtid="{D5CDD505-2E9C-101B-9397-08002B2CF9AE}" pid="3" name="ICV">
    <vt:lpwstr>9A51C458FF444C009B17BBC152CCF6AD</vt:lpwstr>
  </property>
</Properties>
</file>