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34886" w14:textId="147987F0" w:rsidR="007B7C70" w:rsidRPr="007B7C70" w:rsidRDefault="007B7C70" w:rsidP="00DF31E1">
      <w:pPr>
        <w:spacing w:line="360" w:lineRule="auto"/>
        <w:jc w:val="center"/>
        <w:rPr>
          <w:b/>
          <w:bCs/>
        </w:rPr>
      </w:pPr>
      <w:r w:rsidRPr="007B7C70">
        <w:rPr>
          <w:b/>
          <w:bCs/>
        </w:rPr>
        <w:t>Where the birds at? Predicting Acadian Flycatcher</w:t>
      </w:r>
      <w:r w:rsidR="00DE7F00">
        <w:rPr>
          <w:b/>
          <w:bCs/>
        </w:rPr>
        <w:t xml:space="preserve"> (</w:t>
      </w:r>
      <w:r w:rsidR="00DE7F00">
        <w:rPr>
          <w:b/>
          <w:bCs/>
          <w:i/>
          <w:iCs/>
        </w:rPr>
        <w:t>Empidonax virescens</w:t>
      </w:r>
      <w:r w:rsidR="00DE7F00">
        <w:rPr>
          <w:b/>
          <w:bCs/>
        </w:rPr>
        <w:t>)</w:t>
      </w:r>
      <w:r w:rsidRPr="007B7C70">
        <w:rPr>
          <w:b/>
          <w:bCs/>
        </w:rPr>
        <w:t xml:space="preserve"> detections in Iowan forests</w:t>
      </w:r>
    </w:p>
    <w:p w14:paraId="4E9BAEB5" w14:textId="458A40AD" w:rsidR="007B7C70" w:rsidRDefault="007B7C70" w:rsidP="00DF31E1">
      <w:pPr>
        <w:spacing w:line="360" w:lineRule="auto"/>
      </w:pPr>
    </w:p>
    <w:p w14:paraId="63E019DE" w14:textId="20F16128" w:rsidR="007B7C70" w:rsidRDefault="00DF31E1" w:rsidP="00DF31E1">
      <w:pPr>
        <w:pStyle w:val="Heading1"/>
        <w:spacing w:line="360" w:lineRule="auto"/>
      </w:pPr>
      <w:r>
        <w:t xml:space="preserve">1. </w:t>
      </w:r>
      <w:r w:rsidR="007B7C70">
        <w:t>Introduction</w:t>
      </w:r>
    </w:p>
    <w:p w14:paraId="1C3A4151" w14:textId="399DA8A3" w:rsidR="007B7C70" w:rsidRDefault="005A1328" w:rsidP="00E420B3">
      <w:pPr>
        <w:spacing w:line="360" w:lineRule="auto"/>
        <w:ind w:firstLine="720"/>
      </w:pPr>
      <w:r>
        <w:rPr>
          <w:noProof/>
        </w:rPr>
        <w:t xml:space="preserve">Breeding site selection for forest birds is </w:t>
      </w:r>
      <w:r w:rsidR="00753298">
        <w:rPr>
          <w:noProof/>
        </w:rPr>
        <w:t xml:space="preserve">driven </w:t>
      </w:r>
      <w:r>
        <w:rPr>
          <w:noProof/>
        </w:rPr>
        <w:t>by habit</w:t>
      </w:r>
      <w:r w:rsidR="00F87723">
        <w:rPr>
          <w:noProof/>
        </w:rPr>
        <w:t xml:space="preserve">at, leading to associations of different birds with different habitat characteristics </w:t>
      </w:r>
      <w:r w:rsidR="00F87723">
        <w:rPr>
          <w:noProof/>
        </w:rPr>
        <w:fldChar w:fldCharType="begin" w:fldLock="1"/>
      </w:r>
      <w:r w:rsidR="00F87723">
        <w:rPr>
          <w:noProof/>
        </w:rPr>
        <w:instrText>ADDIN CSL_CITATION {"citationItems":[{"id":"ITEM-1","itemData":{"DOI":"10.2307/1932254","ISSN":"1939-9170","abstract":"Suggested that Martin 1996 is wrong; that the Phylogenetic Species Concept of Cracraft will not result much chaos. There would be maybe 20,000 species rather than the current 9,000 recognized under the BSC. But most of these were recognized anyway, as subspecies, so it wouldn't result in an expansion of the size of bird guides","author":[{"dropping-particle":"","family":"MacArthur","given":"Robert H.","non-dropping-particle":"","parse-names":false,"suffix":""},{"dropping-particle":"","family":"MacArthur","given":"John W.","non-dropping-particle":"","parse-names":false,"suffix":""}],"container-title":"Ecology","id":"ITEM-1","issue":"3","issued":{"date-parts":[["1961"]]},"title":"On Bird Species Diversity","type":"article-journal","volume":"42"},"uris":["http://www.mendeley.com/documents/?uuid=6cb76b50-ab62-35eb-b228-053853abf847"]}],"mendeley":{"formattedCitation":"(MacArthur &amp; MacArthur, 1961)","plainTextFormattedCitation":"(MacArthur &amp; MacArthur, 1961)","previouslyFormattedCitation":"(MacArthur &amp; MacArthur, 1961)"},"properties":{"noteIndex":0},"schema":"https://github.com/citation-style-language/schema/raw/master/csl-citation.json"}</w:instrText>
      </w:r>
      <w:r w:rsidR="00F87723">
        <w:rPr>
          <w:noProof/>
        </w:rPr>
        <w:fldChar w:fldCharType="separate"/>
      </w:r>
      <w:r w:rsidR="00F87723" w:rsidRPr="00F87723">
        <w:rPr>
          <w:noProof/>
        </w:rPr>
        <w:t>(MacArthur &amp; MacArthur, 1961)</w:t>
      </w:r>
      <w:r w:rsidR="00F87723">
        <w:rPr>
          <w:noProof/>
        </w:rPr>
        <w:fldChar w:fldCharType="end"/>
      </w:r>
      <w:r w:rsidR="00F87723">
        <w:rPr>
          <w:noProof/>
        </w:rPr>
        <w:t xml:space="preserve">. </w:t>
      </w:r>
      <w:r>
        <w:rPr>
          <w:noProof/>
        </w:rPr>
        <w:t xml:space="preserve"> </w:t>
      </w:r>
      <w:r w:rsidR="00E95C01">
        <w:rPr>
          <w:noProof/>
        </w:rPr>
        <w:t>Forest bird-h</w:t>
      </w:r>
      <w:r w:rsidR="00F87723">
        <w:rPr>
          <w:noProof/>
        </w:rPr>
        <w:t xml:space="preserve">abitat associations encompass a range of spatial scale, from landscape scale forest cover to vegetation structure and florisitics at a site </w:t>
      </w:r>
      <w:r w:rsidR="00F87723">
        <w:rPr>
          <w:noProof/>
        </w:rPr>
        <w:fldChar w:fldCharType="begin" w:fldLock="1"/>
      </w:r>
      <w:r w:rsidR="00315CFE">
        <w:rPr>
          <w:noProof/>
        </w:rPr>
        <w:instrText>ADDIN CSL_CITATION {"citationItems":[{"id":"ITEM-1","itemData":{"DOI":"10.1016/j.foreco.2013.10.042","ISSN":"03781127","abstract":"Savanna and woodland were once common in the Midwest, but land use changes have led to increasing scarcity of these communities. These transitional habitats are being restored across the Midwest, but few studies have evaluated the response of wildlife to restoration or the vegetative gradient created by management. We conducted point counts for 25 songbirds at sites undergoing savanna or woodland restoration and nearby non-managed forest sites across the Ozark Highlands of Missouri during the 2009-2011 breeding seasons; these sites represented a gradient of canopy cover and tree density from savanna to woodland to forest. We estimated density of 17 species with ≥50 detections using distance-based models, which adjust estimates by the detection probability. Bird densities were more strongly related to habitat structure, fire history, and landscape composition than simply whether a site was managed or non-managed. Mature forest species such as Acadian Flycatcher (Empidonax virescens), Northen Parula (Setophaga americana), Red-eyed Vireo (Vireo olivaceous), and Worm-eating Warbler (Helmitheros vermivorum) were generally more abundant at points with more trees, higher canopy cover, lower shrub density, and less frequent or no fire in the 20. years prior to surveys. Woodland generalists such as Blue-gray Gnatcatcher (Polioptila caerulea), Eastern Wood-Pewee (Contopus virens), Great Crested Flycatcher (Myiarchus crinitus), Summer Tanager (Piranga rubra), and Yellow-billed Cuckoo (Coccyzus americanus) were generally more abundant at points with less landscape forest cover (10-km scale), more large and fewer small trees, intermediate to high canopy cover, lower shrub density, and recent or frequent fire. Early-successional species such as Eastern Towhee (Pipilo erythrophthalmus), Field Sparrow (Spizella pusilla), Indigo Bunting (Passerina cyanea), Kentucky Warbler (Geothlypis formosa), Prairie Warbler (Setophaga discolor), White-eyed Vireo (Vireo griseus) and Yellow-breasted Chat (Icteria virens) were generally more abundant at points with lower canopy cover, recent or frequent fire, and higher shrub density. Brown-headed Cowbirds (Molothrus ater) were more abundant at points with intermediate landscape forest cover and lower canopy cover. Restored sites provided breeding habitat for woodland generalists and early-successional species of conservation concern; however, managed landscapes with more open canopy and herbaceous ground cover may be required for speci…","author":[{"dropping-particle":"","family":"Reidy","given":"Jennifer L.","non-dropping-particle":"","parse-names":false,"suffix":""},{"dropping-particle":"","family":"Thompson","given":"Frank R.","non-dropping-particle":"","parse-names":false,"suffix":""},{"dropping-particle":"","family":"Kendrick","given":"Sarah W.","non-dropping-particle":"","parse-names":false,"suffix":""}],"container-title":"Forest Ecology and Management","id":"ITEM-1","issued":{"date-parts":[["2014"]]},"title":"Breeding bird response to habitat and landscape factors across a gradient of savanna, woodland, and forest in the Missouri Ozarks","type":"article-journal","volume":"313"},"uris":["http://www.mendeley.com/documents/?uuid=9c23a0cd-779c-3791-94f1-ccead99be682"]},{"id":"ITEM-2","itemData":{"DOI":"10.1093/forestscience/48.2.267","ISSN":"0015749X","abstract":"Because many forest stands are increasingly dominated by maple (Acer spp.) in eastern North America, there will likely be a relative scarcity of mature oak (Quercus spp.) forests within the next several decades. In an effort to understand how avian communities may be affected by a regional change in forest composition from oak to maple dominance, we compared bird communities in both oak- and maple-dominated forest stands in three seasons (winter, spring, and fall). In 1998 and 1999, birds were surveyed and habitat characteristics were measured in six mature forest woodlots in central Pennsylvania. Total abundance of birds was greater within oak- than maple-dominated stands in all seasons, whereas species richness was greater in oak stands only in the spring. Resident species, long-distance migrants, woodpeckers, bark-gleaners, and 11 individual species were more abundant within oak than maple stands in at least one season. Differences in avian community structure between oak and maple stands were greatest in the fall when oaks produced hard mast and in the spring when insectivorous birds gleaned arthropods from tree substrates. This pattern was consistent with our expectations based on mast characteristics and tree physiognomy of maples and oaks as well as the diet and foraging behavior of birds. Our results suggest that a regional change from oak- to maple-dominated forests may strongly affect avian community structure and populations of some common bird species associated with eastern deciduous forests.","author":[{"dropping-particle":"","family":"Rodewald","given":"Amanda D.","non-dropping-particle":"","parse-names":false,"suffix":""},{"dropping-particle":"","family":"Abrams","given":"Marc D.","non-dropping-particle":"","parse-names":false,"suffix":""}],"container-title":"Forest Science","id":"ITEM-2","issue":"2","issued":{"date-parts":[["2002"]]},"title":"Floristics and avian community structure: Implications for regional changes in eastern forest composition","type":"article-journal","volume":"48"},"uris":["http://www.mendeley.com/documents/?uuid=eb638bad-8bad-337a-bc68-5ee102779ba6"]},{"id":"ITEM-3","itemData":{"DOI":"10.1642/0004-8038(2006)123[368:SHUOAF]2.0.CO;2","ISSN":"00048038","abstract":"We used a multiscale approach to examine use of riparian forests by Acadian Flycatchers (Empidonax virescens) at three distinct scales: microsite (nest or territory), local stand (3-ha patch of forest), and landscape (1-km-radius area). We examined the extent to which understory arthropod biomass, vegetation structure, and breeding productivity affected habitat use by Acadian Flycatchers across 36 mature riparian forests along an urbanization gradient in central Ohio, 2001-2002. Using an information-theoretic approach, we found that although vegetation structure and understory arthropod biomass were associated with nest and territory location at small spatial scales, they failed to explain habitat use across stands. Instead, percentage of urban cover in the landscape best explained variation in the abundance of Acadian Flycatchers among stands. In fact, Acadian Flycatchers were ≥3× more abundant in the most rural (≤1% urban) riparian forests than in the more urban (≥10% urban) riparian forests. Nest survival and productivity also declined as urban development increased within the landscape. We suggest that increased nest predation in urban riparian forests, coupled with either reduced productivity or site fidelity or both, may be an underlying mechanism of landscape-scale patterns. Results suggest that explicit consideration of multiple spatial scales, and especially landscape matrix composition, is critical for understanding habitat use. © The American Ornithologists' Union, 2006.","author":[{"dropping-particle":"","family":"Bakermans","given":"Marja H.","non-dropping-particle":"","parse-names":false,"suffix":""},{"dropping-particle":"","family":"Rodewald","given":"Amanda D.","non-dropping-particle":"","parse-names":false,"suffix":""}],"container-title":"Auk","id":"ITEM-3","issue":"2","issued":{"date-parts":[["2006"]]},"title":"Scale-dependent habitat use of Acadian Flycatcher (Empidonax virescens) in central Ohio","type":"article-journal","volume":"123"},"uris":["http://www.mendeley.com/documents/?uuid=4a36fdc9-348c-31e0-acc2-eba9b76735c9"]}],"mendeley":{"formattedCitation":"(Bakermans &amp; Rodewald, 2006; Reidy et al., 2014; Rodewald &amp; Abrams, 2002)","plainTextFormattedCitation":"(Bakermans &amp; Rodewald, 2006; Reidy et al., 2014; Rodewald &amp; Abrams, 2002)","previouslyFormattedCitation":"(Bakermans &amp; Rodewald, 2006; Reidy et al., 2014; Rodewald &amp; Abrams, 2002)"},"properties":{"noteIndex":0},"schema":"https://github.com/citation-style-language/schema/raw/master/csl-citation.json"}</w:instrText>
      </w:r>
      <w:r w:rsidR="00F87723">
        <w:rPr>
          <w:noProof/>
        </w:rPr>
        <w:fldChar w:fldCharType="separate"/>
      </w:r>
      <w:r w:rsidR="00F87723" w:rsidRPr="00F87723">
        <w:rPr>
          <w:noProof/>
        </w:rPr>
        <w:t>(Bakermans &amp; Rodewald, 2006; Reidy et al., 2014; Rodewald &amp; Abrams, 2002)</w:t>
      </w:r>
      <w:r w:rsidR="00F87723">
        <w:rPr>
          <w:noProof/>
        </w:rPr>
        <w:fldChar w:fldCharType="end"/>
      </w:r>
      <w:r>
        <w:rPr>
          <w:noProof/>
        </w:rPr>
        <w:t xml:space="preserve">. </w:t>
      </w:r>
      <w:r w:rsidR="00086DBC">
        <w:rPr>
          <w:noProof/>
        </w:rPr>
        <w:t xml:space="preserve">Using habitat metrics at a variety of spatial scales, it is possible to predict the presence of different forest bird species at a site </w:t>
      </w:r>
      <w:r w:rsidR="00086DBC">
        <w:rPr>
          <w:noProof/>
        </w:rPr>
        <w:fldChar w:fldCharType="begin" w:fldLock="1"/>
      </w:r>
      <w:r w:rsidR="00086DBC">
        <w:rPr>
          <w:noProof/>
        </w:rPr>
        <w:instrText>ADDIN CSL_CITATION {"citationItems":[{"id":"ITEM-1","itemData":{"DOI":"10.1016/j.foreco.2010.10.020","ISSN":"03781127","abstract":"Spatial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Management","id":"ITEM-1","issue":"3","issued":{"date-parts":[["2011"]]},"title":"Predicting breeding bird occurrence by stand- and microhabitat-scale features in even-aged stands in the Central Appalachians","type":"article-journal","volume":"261"},"uris":["http://www.mendeley.com/documents/?uuid=ec69b2bd-3b7d-3583-a6c6-70aca98823db"]},{"id":"ITEM-2","itemData":{"DOI":"10.1890/1051-0761(2001)011[1692:ULLDTP]2.0.CO;2","ISSN":"10510761","abstract":"Selection of scale is critical when investigating ecological processes on landscapes because different patterns emerge in spatial data at different scales. Landscape studies commonly identify a single scale, or spatial extent of data, for assessing broad-scale habitat characteristics, without regard for the sensitivity of spatial data to the scale at which they are measured. An incorrect selection of scale can lead to misleading or erroneous inferences about how animals are associated with coarse-grained habitat characteristics. We developed and compared three statistical models for predicting presence of selected bird species inhabiting a managed forest in South Carolina: a model based only on microhabitat characteristics, a model based only on landscape characteristics (summary statistics of forest age and type calculated at different spatial scales) derived from GIS data, and a model that combined microhabitat and landscape characteristics. In general, landscape models (Somer's D = 0.61 ± 0.16; mean ± 1 SD) worked as well as microhabitat models (D = 0.61 ± 0.14), and combining the two types provided only a slight improvement in the explanatory ability of the models (D = 0.62 ± 0.18). Models for Neotropical and short-distance migrants had the highest fit to field data, whereas models for resident species had relatively poor fit. We refined our landscape models according to known or hypothesized information from the literature to improve their generality, and we tested their ability to predict presence of the same species on a second, independent data set collected on a different managed forest nearby in South Carolina. In general, landscape models were able to predict the distribution of selected birds on the second forest well (D = 0.46 ± 0.32), although overall model fit was somewhat lower than for the first forest (D = 0.61 ± 0.16). Model fit was greatest for Neotropical and short-distance migrants, and poorest for residents. Model fit did not vary according to successional status, but did vary with habitat specialization; model fit was highest for habitat specialists and lowest for generalists. Our results suggest that, in general, coarse landscape characteristics are most important to migratory bird species that are limited in the number of habitats they can use for breeding. For species with adequate fit of landscape models, we assessed relationships between landscape scales associated with habitat variables within each model and ecological char…","author":[{"dropping-particle":"","family":"Mitchell","given":"Michael S.","non-dropping-particle":"","parse-names":false,"suffix":""},{"dropping-particle":"","family":"Lancia","given":"Richard A.","non-dropping-particle":"","parse-names":false,"suffix":""},{"dropping-particle":"","family":"Gerwin","given":"John A.","non-dropping-particle":"","parse-names":false,"suffix":""}],"container-title":"Ecological Applications","id":"ITEM-2","issue":"6","issued":{"date-parts":[["2001"]]},"title":"Using landscape-level data to predict the distribution of birds on a managed forest: Effects of scale","type":"article-journal","volume":"11"},"uris":["http://www.mendeley.com/documents/?uuid=5d68736f-347c-3882-b92a-775abcf7c86e"]}],"mendeley":{"formattedCitation":"(McDermott et al., 2011; Mitchell et al., 2001)","plainTextFormattedCitation":"(McDermott et al., 2011; Mitchell et al., 2001)","previouslyFormattedCitation":"(McDermott et al., 2011; Mitchell et al., 2001)"},"properties":{"noteIndex":0},"schema":"https://github.com/citation-style-language/schema/raw/master/csl-citation.json"}</w:instrText>
      </w:r>
      <w:r w:rsidR="00086DBC">
        <w:rPr>
          <w:noProof/>
        </w:rPr>
        <w:fldChar w:fldCharType="separate"/>
      </w:r>
      <w:r w:rsidR="00086DBC" w:rsidRPr="000D1381">
        <w:rPr>
          <w:noProof/>
        </w:rPr>
        <w:t>(McDermott et al., 2011; Mitchell et al., 2001)</w:t>
      </w:r>
      <w:r w:rsidR="00086DBC">
        <w:rPr>
          <w:noProof/>
        </w:rPr>
        <w:fldChar w:fldCharType="end"/>
      </w:r>
      <w:r w:rsidR="00086DBC">
        <w:rPr>
          <w:noProof/>
        </w:rPr>
        <w:t xml:space="preserve">. </w:t>
      </w:r>
      <w:r w:rsidR="00E95C01">
        <w:t>I</w:t>
      </w:r>
      <w:r w:rsidR="00E95C01" w:rsidRPr="00167FD1">
        <w:t>n North American</w:t>
      </w:r>
      <w:r w:rsidR="00E95C01">
        <w:t xml:space="preserve">, </w:t>
      </w:r>
      <w:r w:rsidR="00E95C01" w:rsidRPr="00167FD1">
        <w:t>forest bird</w:t>
      </w:r>
      <w:r w:rsidR="00E95C01">
        <w:t xml:space="preserve"> populations</w:t>
      </w:r>
      <w:r w:rsidR="00E95C01" w:rsidRPr="00167FD1">
        <w:t xml:space="preserve"> have declined by </w:t>
      </w:r>
      <w:r w:rsidR="00E95C01">
        <w:t>almost</w:t>
      </w:r>
      <w:r w:rsidR="00E95C01" w:rsidRPr="00167FD1">
        <w:t xml:space="preserve"> 20% in recent decades </w:t>
      </w:r>
      <w:r w:rsidR="00E95C01">
        <w:fldChar w:fldCharType="begin" w:fldLock="1"/>
      </w:r>
      <w:r w:rsidR="00E95C01">
        <w:instrText>ADDIN CSL_CITATION {"citationItems":[{"id":"ITEM-1","itemData":{"DOI":"10.1126/science.aaw1313","ISSN":"10959203","abstract":"Species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P.","non-dropping-particle":"","parse-names":false,"suffix":""}],"container-title":"Science","id":"ITEM-1","issue":"6461","issued":{"date-parts":[["2019"]]},"title":"Decline of the North American avifauna","type":"article-journal","volume":"366"},"uris":["http://www.mendeley.com/documents/?uuid=80c99917-caee-3cea-93ad-f8862effb0b3"]}],"mendeley":{"formattedCitation":"(Rosenberg et al., 2019)","plainTextFormattedCitation":"(Rosenberg et al., 2019)","previouslyFormattedCitation":"(Rosenberg et al., 2019)"},"properties":{"noteIndex":0},"schema":"https://github.com/citation-style-language/schema/raw/master/csl-citation.json"}</w:instrText>
      </w:r>
      <w:r w:rsidR="00E95C01">
        <w:fldChar w:fldCharType="separate"/>
      </w:r>
      <w:r w:rsidR="00E95C01" w:rsidRPr="000D1381">
        <w:rPr>
          <w:noProof/>
        </w:rPr>
        <w:t>(Rosenberg et al., 2019)</w:t>
      </w:r>
      <w:r w:rsidR="00E95C01">
        <w:fldChar w:fldCharType="end"/>
      </w:r>
      <w:r w:rsidR="00086DBC">
        <w:rPr>
          <w:noProof/>
        </w:rPr>
        <w:t xml:space="preserve">. These declines make identification and protection of </w:t>
      </w:r>
      <w:r w:rsidR="00E95C01">
        <w:rPr>
          <w:noProof/>
        </w:rPr>
        <w:t xml:space="preserve">breeding </w:t>
      </w:r>
      <w:r w:rsidR="00086DBC">
        <w:rPr>
          <w:noProof/>
        </w:rPr>
        <w:t>territories</w:t>
      </w:r>
      <w:r w:rsidR="00E95C01">
        <w:rPr>
          <w:noProof/>
        </w:rPr>
        <w:t xml:space="preserve"> of declining forest bird species an important population management priority.</w:t>
      </w:r>
      <w:r w:rsidR="00E95C01" w:rsidRPr="00E95C01">
        <w:rPr>
          <w:noProof/>
        </w:rPr>
        <w:t xml:space="preserve"> </w:t>
      </w:r>
      <w:r w:rsidR="00E95C01">
        <w:rPr>
          <w:noProof/>
        </w:rPr>
        <w:t>This project focuses on Acadian Flycatcher</w:t>
      </w:r>
      <w:r w:rsidR="00086DBC">
        <w:rPr>
          <w:noProof/>
        </w:rPr>
        <w:t>s (</w:t>
      </w:r>
      <w:r w:rsidR="00086DBC">
        <w:rPr>
          <w:i/>
          <w:iCs/>
          <w:noProof/>
        </w:rPr>
        <w:t>Empidonax virescens</w:t>
      </w:r>
      <w:r w:rsidR="00086DBC">
        <w:rPr>
          <w:noProof/>
        </w:rPr>
        <w:t>)</w:t>
      </w:r>
      <w:r w:rsidR="00E95C01">
        <w:rPr>
          <w:noProof/>
        </w:rPr>
        <w:t xml:space="preserve"> in south central Iowa, USA.</w:t>
      </w:r>
      <w:r w:rsidR="00315CFE">
        <w:rPr>
          <w:noProof/>
        </w:rPr>
        <w:t xml:space="preserve"> The Acadian Flycatcher is a Species of Greatest </w:t>
      </w:r>
      <w:r w:rsidR="00E95C01">
        <w:rPr>
          <w:noProof/>
        </w:rPr>
        <w:t xml:space="preserve"> </w:t>
      </w:r>
      <w:r w:rsidR="00086DBC">
        <w:rPr>
          <w:noProof/>
        </w:rPr>
        <w:t>To support the goal of predicting sites with Acadian Flycatcher territories,</w:t>
      </w:r>
      <w:r w:rsidR="00E95C01">
        <w:rPr>
          <w:noProof/>
        </w:rPr>
        <w:t xml:space="preserve"> I </w:t>
      </w:r>
      <w:r w:rsidR="00086DBC">
        <w:rPr>
          <w:noProof/>
        </w:rPr>
        <w:t>assessed the ability of</w:t>
      </w:r>
      <w:r w:rsidR="00E95C01">
        <w:rPr>
          <w:noProof/>
        </w:rPr>
        <w:t xml:space="preserve"> three model types </w:t>
      </w:r>
      <w:r w:rsidR="00086DBC">
        <w:rPr>
          <w:noProof/>
        </w:rPr>
        <w:t>to predict</w:t>
      </w:r>
      <w:r w:rsidR="003152B1">
        <w:rPr>
          <w:noProof/>
        </w:rPr>
        <w:t xml:space="preserve"> </w:t>
      </w:r>
      <w:r w:rsidR="00086DBC">
        <w:rPr>
          <w:noProof/>
        </w:rPr>
        <w:t>Acadian Flycatcher</w:t>
      </w:r>
      <w:r w:rsidR="00042CF5">
        <w:rPr>
          <w:noProof/>
        </w:rPr>
        <w:t xml:space="preserve"> </w:t>
      </w:r>
      <w:r w:rsidR="003152B1">
        <w:rPr>
          <w:noProof/>
        </w:rPr>
        <w:t xml:space="preserve">territory </w:t>
      </w:r>
      <w:r w:rsidR="00042CF5">
        <w:rPr>
          <w:noProof/>
        </w:rPr>
        <w:t>presence from habitat data</w:t>
      </w:r>
      <w:r w:rsidR="00086DBC">
        <w:rPr>
          <w:noProof/>
        </w:rPr>
        <w:t>.</w:t>
      </w:r>
    </w:p>
    <w:p w14:paraId="147C4F83" w14:textId="0EE35036" w:rsidR="007B7C70" w:rsidRDefault="007B7C70" w:rsidP="00DF31E1">
      <w:pPr>
        <w:pStyle w:val="Heading1"/>
        <w:spacing w:line="360" w:lineRule="auto"/>
      </w:pPr>
      <w:r>
        <w:t>2. Methods</w:t>
      </w:r>
    </w:p>
    <w:p w14:paraId="4188D925" w14:textId="77777777" w:rsidR="007B7C70" w:rsidRPr="007B7C70" w:rsidRDefault="007B7C70" w:rsidP="00DF31E1">
      <w:pPr>
        <w:spacing w:line="360" w:lineRule="auto"/>
      </w:pPr>
    </w:p>
    <w:p w14:paraId="5A39FCB5" w14:textId="3B54A44C" w:rsidR="007B7C70" w:rsidRDefault="007B7C70" w:rsidP="00DF31E1">
      <w:pPr>
        <w:pStyle w:val="Heading2"/>
        <w:spacing w:line="360" w:lineRule="auto"/>
      </w:pPr>
      <w:r>
        <w:t xml:space="preserve">2.1. </w:t>
      </w:r>
      <w:r w:rsidR="00EF7553">
        <w:t xml:space="preserve">Bird and Habitat </w:t>
      </w:r>
      <w:r>
        <w:t xml:space="preserve">Data </w:t>
      </w:r>
    </w:p>
    <w:p w14:paraId="0AFF3BC0" w14:textId="0E0264D9" w:rsidR="007B7C70" w:rsidRDefault="00315CFE" w:rsidP="00E420B3">
      <w:pPr>
        <w:spacing w:line="360" w:lineRule="auto"/>
        <w:ind w:firstLine="720"/>
      </w:pPr>
      <w:r>
        <w:t xml:space="preserve">The </w:t>
      </w:r>
      <w:r w:rsidR="00EF7553">
        <w:t>bird and habitat</w:t>
      </w:r>
      <w:r>
        <w:t xml:space="preserve"> </w:t>
      </w:r>
      <w:r w:rsidR="004740B3">
        <w:t xml:space="preserve">data </w:t>
      </w:r>
      <w:r>
        <w:t xml:space="preserve">methods presented here are a summary; see </w:t>
      </w:r>
      <w:r>
        <w:fldChar w:fldCharType="begin" w:fldLock="1"/>
      </w:r>
      <w:r>
        <w:instrText>ADDIN CSL_CITATION {"citationItems":[{"id":"ITEM-1","itemData":{"author":[{"dropping-particle":"","family":"West","given":"Benjamin M","non-dropping-particle":"","parse-names":false,"suffix":""}],"id":"ITEM-1","issued":{"date-parts":[["2020"]]},"number-of-pages":"198","publisher":"Iowa State University, Ames, IA","title":"Bird-habitat relationships in southern Iowa forests","type":"thesis"},"uris":["http://www.mendeley.com/documents/?uuid=b24d68cd-a5e0-41bf-83ec-ac259ce05d49"]}],"mendeley":{"formattedCitation":"(West, 2020)","manualFormatting":"West (2020)","plainTextFormattedCitation":"(West, 2020)","previouslyFormattedCitation":"(West, 2020)"},"properties":{"noteIndex":0},"schema":"https://github.com/citation-style-language/schema/raw/master/csl-citation.json"}</w:instrText>
      </w:r>
      <w:r>
        <w:fldChar w:fldCharType="separate"/>
      </w:r>
      <w:r w:rsidRPr="00315CFE">
        <w:rPr>
          <w:noProof/>
        </w:rPr>
        <w:t>West</w:t>
      </w:r>
      <w:r>
        <w:rPr>
          <w:noProof/>
        </w:rPr>
        <w:t xml:space="preserve"> (</w:t>
      </w:r>
      <w:r w:rsidRPr="00315CFE">
        <w:rPr>
          <w:noProof/>
        </w:rPr>
        <w:t>2020)</w:t>
      </w:r>
      <w:r>
        <w:fldChar w:fldCharType="end"/>
      </w:r>
      <w:r>
        <w:t xml:space="preserve"> for full details. </w:t>
      </w:r>
      <w:r w:rsidR="00E95C01">
        <w:t>For all field surveys, I</w:t>
      </w:r>
      <w:r w:rsidR="00F91451">
        <w:t xml:space="preserve"> employed a</w:t>
      </w:r>
      <w:r w:rsidR="00DF31E1">
        <w:t xml:space="preserve"> grid </w:t>
      </w:r>
      <w:r w:rsidR="00F91451">
        <w:t xml:space="preserve">of 493 points with </w:t>
      </w:r>
      <w:r w:rsidR="00E95C01">
        <w:t xml:space="preserve">300 m spacing, distributed across public lands within three </w:t>
      </w:r>
      <w:r>
        <w:t xml:space="preserve">forested </w:t>
      </w:r>
      <w:r w:rsidR="00E95C01">
        <w:t xml:space="preserve">Bird Conservation Areas in south-central Iowa. </w:t>
      </w:r>
      <w:r>
        <w:t xml:space="preserve">The public lands included Sand Creek Wildlife Management Area and multiple units of Stephens State Forest. </w:t>
      </w:r>
      <w:r w:rsidR="00E95C01">
        <w:t>Over the course of the 2019 breeding season (late</w:t>
      </w:r>
      <w:r w:rsidR="00042CF5">
        <w:t xml:space="preserve"> </w:t>
      </w:r>
      <w:r w:rsidR="00E95C01">
        <w:t>May to early</w:t>
      </w:r>
      <w:r w:rsidR="00042CF5">
        <w:t xml:space="preserve"> </w:t>
      </w:r>
      <w:r w:rsidR="00E95C01">
        <w:t xml:space="preserve">August), </w:t>
      </w:r>
      <w:r w:rsidR="00086DBC">
        <w:t xml:space="preserve">observers conducted 10-minute bird surveys at each point; they visited each point twice. During each survey, singing </w:t>
      </w:r>
      <w:r w:rsidR="007B7C70">
        <w:t xml:space="preserve">Acadian Flycatchers </w:t>
      </w:r>
      <w:r w:rsidR="00086DBC">
        <w:t xml:space="preserve">were recorded </w:t>
      </w:r>
      <w:r w:rsidR="00E95C01">
        <w:t xml:space="preserve">as </w:t>
      </w:r>
      <w:r w:rsidR="00DF31E1">
        <w:t>present or absent within 100</w:t>
      </w:r>
      <w:r w:rsidR="00F91451">
        <w:t xml:space="preserve"> meters of each</w:t>
      </w:r>
      <w:r w:rsidR="00E95C01">
        <w:t xml:space="preserve"> point.</w:t>
      </w:r>
      <w:r w:rsidR="00086DBC">
        <w:t xml:space="preserve"> If a</w:t>
      </w:r>
      <w:r w:rsidR="00E420B3">
        <w:t>t least one</w:t>
      </w:r>
      <w:r w:rsidR="00086DBC">
        <w:t xml:space="preserve"> singing Acadian</w:t>
      </w:r>
      <w:r w:rsidR="00042CF5">
        <w:t xml:space="preserve"> Flycatcher was recorded during at least one survey, </w:t>
      </w:r>
      <w:r w:rsidR="00E420B3">
        <w:t>an Acadian Flycatcher territory</w:t>
      </w:r>
      <w:r w:rsidR="00042CF5">
        <w:t xml:space="preserve"> considered “present” at that site. </w:t>
      </w:r>
      <w:r w:rsidR="009873F4">
        <w:t>I derived v</w:t>
      </w:r>
      <w:r>
        <w:t xml:space="preserve">arious habitat </w:t>
      </w:r>
      <w:r>
        <w:lastRenderedPageBreak/>
        <w:t>characteristics from p</w:t>
      </w:r>
      <w:r w:rsidR="00042CF5">
        <w:t>oint-scale</w:t>
      </w:r>
      <w:r>
        <w:t xml:space="preserve"> field</w:t>
      </w:r>
      <w:r w:rsidR="00042CF5">
        <w:t xml:space="preserve"> vegetation surveys conducted from mid July to late August</w:t>
      </w:r>
      <w:r>
        <w:t xml:space="preserve"> </w:t>
      </w:r>
      <w:r w:rsidR="009873F4">
        <w:t xml:space="preserve">2019 </w:t>
      </w:r>
      <w:r w:rsidR="00042CF5">
        <w:t>(Table 1)</w:t>
      </w:r>
      <w:r w:rsidR="009873F4">
        <w:t xml:space="preserve">. Landscape-scale habitat characteristics were derived using </w:t>
      </w:r>
      <w:r w:rsidR="009873F4" w:rsidRPr="000629EA">
        <w:rPr>
          <w:color w:val="000000"/>
          <w:shd w:val="clear" w:color="auto" w:fill="FFFFFF"/>
        </w:rPr>
        <w:t>Esri</w:t>
      </w:r>
      <w:r w:rsidR="009873F4" w:rsidRPr="00167FD1">
        <w:t>®</w:t>
      </w:r>
      <w:r w:rsidR="009873F4" w:rsidRPr="000629EA">
        <w:rPr>
          <w:color w:val="000000"/>
          <w:shd w:val="clear" w:color="auto" w:fill="FFFFFF"/>
        </w:rPr>
        <w:t xml:space="preserve"> ArcGIS Pro</w:t>
      </w:r>
      <w:r w:rsidR="009873F4" w:rsidRPr="00167FD1">
        <w:t>®</w:t>
      </w:r>
      <w:r w:rsidR="009873F4">
        <w:rPr>
          <w:color w:val="000000"/>
          <w:shd w:val="clear" w:color="auto" w:fill="FFFFFF"/>
        </w:rPr>
        <w:t xml:space="preserve"> to analyze </w:t>
      </w:r>
      <w:r w:rsidR="009873F4">
        <w:t xml:space="preserve">the 2019 National Cropland Data Layer (Table 1; </w:t>
      </w:r>
      <w:r w:rsidR="00EF7553">
        <w:t xml:space="preserve">USDA </w:t>
      </w:r>
      <w:r w:rsidR="00EF7553">
        <w:fldChar w:fldCharType="begin" w:fldLock="1"/>
      </w:r>
      <w:r w:rsidR="00570022">
        <w:instrText>ADDIN CSL_CITATION {"citationItems":[{"id":"ITEM-1","itemData":{"URL":"https://nassgeodata.gmu.edu/CropScape/ (accessed 02.24.20)","accessed":{"date-parts":[["2019","11","26"]]},"author":[{"dropping-particle":"","family":"Layer","given":"USDA National Agricultural Statistics Service Cropland Data","non-dropping-particle":"","parse-names":false,"suffix":""}],"id":"ITEM-1","issued":{"date-parts":[["2019"]]},"title":"Published crop-specific data layer [Online]","type":"webpage"},"uris":["http://www.mendeley.com/documents/?uuid=777d2cdb-d83f-4271-83bb-fe22d7e2ba6c"]}],"mendeley":{"formattedCitation":"(Layer, 2019)","manualFormatting":"2019)","plainTextFormattedCitation":"(Layer, 2019)","previouslyFormattedCitation":"(Layer, 2019)"},"properties":{"noteIndex":0},"schema":"https://github.com/citation-style-language/schema/raw/master/csl-citation.json"}</w:instrText>
      </w:r>
      <w:r w:rsidR="00EF7553">
        <w:fldChar w:fldCharType="separate"/>
      </w:r>
      <w:r w:rsidR="00EF7553" w:rsidRPr="00EF7553">
        <w:rPr>
          <w:noProof/>
        </w:rPr>
        <w:t>2019)</w:t>
      </w:r>
      <w:r w:rsidR="00EF7553">
        <w:fldChar w:fldCharType="end"/>
      </w:r>
      <w:r w:rsidR="009873F4">
        <w:t>.</w:t>
      </w:r>
    </w:p>
    <w:p w14:paraId="2498E039" w14:textId="70851664" w:rsidR="00E420B3" w:rsidRDefault="00E420B3" w:rsidP="006D6687">
      <w:pPr>
        <w:spacing w:line="240" w:lineRule="auto"/>
      </w:pPr>
      <w:r>
        <w:t>Table 1. Habitat variables from south central Iowa forests used to predict presence of Acadian Flycatcher territories</w:t>
      </w:r>
      <w:r w:rsidR="006F7301">
        <w:t>. *Standard deviation of midstory foliage density calculated from six measures of midstory foliage, each calculated as proportion of coverboard covered.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7020"/>
      </w:tblGrid>
      <w:tr w:rsidR="00E420B3" w14:paraId="6886700A" w14:textId="77777777" w:rsidTr="00161476">
        <w:tc>
          <w:tcPr>
            <w:tcW w:w="2070" w:type="dxa"/>
            <w:tcBorders>
              <w:top w:val="single" w:sz="4" w:space="0" w:color="auto"/>
              <w:bottom w:val="single" w:sz="4" w:space="0" w:color="auto"/>
            </w:tcBorders>
          </w:tcPr>
          <w:p w14:paraId="69C2207E" w14:textId="3536BDBD" w:rsidR="00E420B3" w:rsidRPr="00E420B3" w:rsidRDefault="00E420B3" w:rsidP="00DF31E1">
            <w:pPr>
              <w:spacing w:line="360" w:lineRule="auto"/>
              <w:rPr>
                <w:b/>
                <w:bCs/>
              </w:rPr>
            </w:pPr>
            <w:r w:rsidRPr="00E420B3">
              <w:rPr>
                <w:b/>
                <w:bCs/>
              </w:rPr>
              <w:t>Variable name</w:t>
            </w:r>
          </w:p>
        </w:tc>
        <w:tc>
          <w:tcPr>
            <w:tcW w:w="7020" w:type="dxa"/>
            <w:tcBorders>
              <w:top w:val="single" w:sz="4" w:space="0" w:color="auto"/>
              <w:bottom w:val="single" w:sz="4" w:space="0" w:color="auto"/>
            </w:tcBorders>
          </w:tcPr>
          <w:p w14:paraId="57656953" w14:textId="7AC7AC91" w:rsidR="00E420B3" w:rsidRPr="00E420B3" w:rsidRDefault="00E420B3" w:rsidP="00DF31E1">
            <w:pPr>
              <w:spacing w:line="360" w:lineRule="auto"/>
              <w:rPr>
                <w:b/>
                <w:bCs/>
              </w:rPr>
            </w:pPr>
            <w:r w:rsidRPr="00E420B3">
              <w:rPr>
                <w:b/>
                <w:bCs/>
              </w:rPr>
              <w:t>Definition</w:t>
            </w:r>
          </w:p>
        </w:tc>
      </w:tr>
      <w:tr w:rsidR="00E420B3" w14:paraId="790A3966" w14:textId="77777777" w:rsidTr="00161476">
        <w:tc>
          <w:tcPr>
            <w:tcW w:w="2070" w:type="dxa"/>
            <w:tcBorders>
              <w:top w:val="single" w:sz="4" w:space="0" w:color="auto"/>
            </w:tcBorders>
          </w:tcPr>
          <w:p w14:paraId="08851623" w14:textId="077EF220" w:rsidR="00E420B3" w:rsidRDefault="00E420B3" w:rsidP="00E420B3">
            <w:pPr>
              <w:spacing w:line="360" w:lineRule="auto"/>
            </w:pPr>
            <w:r w:rsidRPr="00231EA6">
              <w:t>fprop_1km</w:t>
            </w:r>
          </w:p>
        </w:tc>
        <w:tc>
          <w:tcPr>
            <w:tcW w:w="7020" w:type="dxa"/>
            <w:tcBorders>
              <w:top w:val="single" w:sz="4" w:space="0" w:color="auto"/>
            </w:tcBorders>
          </w:tcPr>
          <w:p w14:paraId="74AF02C5" w14:textId="4FF33B1E" w:rsidR="00E420B3" w:rsidRDefault="00E420B3" w:rsidP="00E420B3">
            <w:pPr>
              <w:spacing w:line="360" w:lineRule="auto"/>
            </w:pPr>
            <w:r w:rsidRPr="002001DB">
              <w:rPr>
                <w:rFonts w:eastAsia="Times New Roman"/>
                <w:color w:val="000000"/>
              </w:rPr>
              <w:t>Forest land</w:t>
            </w:r>
            <w:r>
              <w:rPr>
                <w:rFonts w:eastAsia="Times New Roman"/>
                <w:color w:val="000000"/>
              </w:rPr>
              <w:t>cover within 1</w:t>
            </w:r>
            <w:r w:rsidRPr="002001DB">
              <w:rPr>
                <w:rFonts w:eastAsia="Times New Roman"/>
                <w:color w:val="000000"/>
              </w:rPr>
              <w:t xml:space="preserve"> km</w:t>
            </w:r>
            <w:r>
              <w:rPr>
                <w:rFonts w:eastAsia="Times New Roman"/>
                <w:color w:val="000000"/>
              </w:rPr>
              <w:t xml:space="preserve"> (proportion of area)</w:t>
            </w:r>
          </w:p>
        </w:tc>
      </w:tr>
      <w:tr w:rsidR="00E420B3" w14:paraId="44CA74DD" w14:textId="77777777" w:rsidTr="00161476">
        <w:tc>
          <w:tcPr>
            <w:tcW w:w="2070" w:type="dxa"/>
          </w:tcPr>
          <w:p w14:paraId="1848E562" w14:textId="2C1B571F" w:rsidR="00E420B3" w:rsidRDefault="00E420B3" w:rsidP="00E420B3">
            <w:pPr>
              <w:spacing w:line="360" w:lineRule="auto"/>
            </w:pPr>
            <w:r w:rsidRPr="00231EA6">
              <w:t>fprop_10km</w:t>
            </w:r>
          </w:p>
        </w:tc>
        <w:tc>
          <w:tcPr>
            <w:tcW w:w="7020" w:type="dxa"/>
          </w:tcPr>
          <w:p w14:paraId="3F94A6A9" w14:textId="6327A58B" w:rsidR="00E420B3" w:rsidRDefault="00E420B3" w:rsidP="00E420B3">
            <w:pPr>
              <w:spacing w:line="360" w:lineRule="auto"/>
            </w:pPr>
            <w:r w:rsidRPr="002001DB">
              <w:rPr>
                <w:rFonts w:eastAsia="Times New Roman"/>
                <w:color w:val="000000"/>
              </w:rPr>
              <w:t>Forest land</w:t>
            </w:r>
            <w:r>
              <w:rPr>
                <w:rFonts w:eastAsia="Times New Roman"/>
                <w:color w:val="000000"/>
              </w:rPr>
              <w:t>cover within 10</w:t>
            </w:r>
            <w:r w:rsidRPr="002001DB">
              <w:rPr>
                <w:rFonts w:eastAsia="Times New Roman"/>
                <w:color w:val="000000"/>
              </w:rPr>
              <w:t xml:space="preserve"> km</w:t>
            </w:r>
            <w:r>
              <w:rPr>
                <w:rFonts w:eastAsia="Times New Roman"/>
                <w:color w:val="000000"/>
              </w:rPr>
              <w:t xml:space="preserve"> (proportion of area)</w:t>
            </w:r>
          </w:p>
        </w:tc>
      </w:tr>
      <w:tr w:rsidR="00E420B3" w14:paraId="2885E28A" w14:textId="77777777" w:rsidTr="00161476">
        <w:tc>
          <w:tcPr>
            <w:tcW w:w="2070" w:type="dxa"/>
          </w:tcPr>
          <w:p w14:paraId="25F22977" w14:textId="2FE9FB28" w:rsidR="00E420B3" w:rsidRDefault="00E420B3" w:rsidP="00E420B3">
            <w:pPr>
              <w:spacing w:line="360" w:lineRule="auto"/>
            </w:pPr>
            <w:r w:rsidRPr="00231EA6">
              <w:t>spp_rich</w:t>
            </w:r>
          </w:p>
        </w:tc>
        <w:tc>
          <w:tcPr>
            <w:tcW w:w="7020" w:type="dxa"/>
          </w:tcPr>
          <w:p w14:paraId="562D7247" w14:textId="2533BD97" w:rsidR="00E420B3" w:rsidRDefault="00E420B3" w:rsidP="00E420B3">
            <w:pPr>
              <w:spacing w:line="360" w:lineRule="auto"/>
            </w:pPr>
            <w:r w:rsidRPr="002001DB">
              <w:rPr>
                <w:rFonts w:eastAsia="Times New Roman"/>
                <w:color w:val="000000"/>
              </w:rPr>
              <w:t>Tree sp</w:t>
            </w:r>
            <w:r w:rsidR="00161476">
              <w:rPr>
                <w:rFonts w:eastAsia="Times New Roman"/>
                <w:color w:val="000000"/>
              </w:rPr>
              <w:t>p.</w:t>
            </w:r>
            <w:r w:rsidRPr="002001DB">
              <w:rPr>
                <w:rFonts w:eastAsia="Times New Roman"/>
                <w:color w:val="000000"/>
              </w:rPr>
              <w:t xml:space="preserve"> richness</w:t>
            </w:r>
            <w:r>
              <w:rPr>
                <w:rFonts w:eastAsia="Times New Roman"/>
                <w:color w:val="000000"/>
              </w:rPr>
              <w:t xml:space="preserve"> in a </w:t>
            </w:r>
            <w:r w:rsidRPr="00E420B3">
              <w:rPr>
                <w:rFonts w:eastAsia="Times New Roman"/>
                <w:color w:val="000000"/>
              </w:rPr>
              <w:t>variable radius 1</w:t>
            </w:r>
            <w:r w:rsidR="00161476">
              <w:rPr>
                <w:rFonts w:eastAsia="Times New Roman"/>
                <w:color w:val="000000"/>
              </w:rPr>
              <w:t>-</w:t>
            </w:r>
            <w:r w:rsidRPr="00E420B3">
              <w:rPr>
                <w:rFonts w:eastAsia="Times New Roman"/>
                <w:color w:val="000000"/>
              </w:rPr>
              <w:t>m factor forestry prism plot</w:t>
            </w:r>
          </w:p>
        </w:tc>
      </w:tr>
      <w:tr w:rsidR="00E420B3" w14:paraId="600203F9" w14:textId="77777777" w:rsidTr="00161476">
        <w:tc>
          <w:tcPr>
            <w:tcW w:w="2070" w:type="dxa"/>
          </w:tcPr>
          <w:p w14:paraId="33508C52" w14:textId="3E54FE87" w:rsidR="00E420B3" w:rsidRDefault="00E420B3" w:rsidP="00E420B3">
            <w:pPr>
              <w:spacing w:line="360" w:lineRule="auto"/>
            </w:pPr>
            <w:r w:rsidRPr="00231EA6">
              <w:t>live_basal</w:t>
            </w:r>
          </w:p>
        </w:tc>
        <w:tc>
          <w:tcPr>
            <w:tcW w:w="7020" w:type="dxa"/>
          </w:tcPr>
          <w:p w14:paraId="3423E481" w14:textId="5CE26C6E" w:rsidR="00E420B3" w:rsidRDefault="00161476" w:rsidP="00E420B3">
            <w:pPr>
              <w:spacing w:line="360" w:lineRule="auto"/>
            </w:pPr>
            <w:r w:rsidRPr="002001DB">
              <w:rPr>
                <w:rFonts w:eastAsia="Times New Roman"/>
                <w:color w:val="000000"/>
              </w:rPr>
              <w:t>Live tree basal area (m</w:t>
            </w:r>
            <w:r w:rsidRPr="002001DB">
              <w:rPr>
                <w:rFonts w:eastAsia="Times New Roman"/>
                <w:color w:val="000000"/>
                <w:vertAlign w:val="superscript"/>
              </w:rPr>
              <w:t>2</w:t>
            </w:r>
            <w:r w:rsidRPr="002001DB">
              <w:rPr>
                <w:rFonts w:eastAsia="Times New Roman"/>
                <w:color w:val="000000"/>
              </w:rPr>
              <w:t>/ha)</w:t>
            </w:r>
          </w:p>
        </w:tc>
      </w:tr>
      <w:tr w:rsidR="00E420B3" w14:paraId="2AC13C90" w14:textId="77777777" w:rsidTr="00161476">
        <w:tc>
          <w:tcPr>
            <w:tcW w:w="2070" w:type="dxa"/>
          </w:tcPr>
          <w:p w14:paraId="485F62DD" w14:textId="5DB56871" w:rsidR="00E420B3" w:rsidRDefault="00E420B3" w:rsidP="00E420B3">
            <w:pPr>
              <w:spacing w:line="360" w:lineRule="auto"/>
            </w:pPr>
            <w:r w:rsidRPr="00231EA6">
              <w:t>dead_basal</w:t>
            </w:r>
          </w:p>
        </w:tc>
        <w:tc>
          <w:tcPr>
            <w:tcW w:w="7020" w:type="dxa"/>
          </w:tcPr>
          <w:p w14:paraId="0E609859" w14:textId="4CBB9B3C" w:rsidR="00E420B3" w:rsidRDefault="00161476" w:rsidP="00E420B3">
            <w:pPr>
              <w:spacing w:line="360" w:lineRule="auto"/>
            </w:pPr>
            <w:r w:rsidRPr="002001DB">
              <w:rPr>
                <w:rFonts w:eastAsia="Times New Roman"/>
                <w:color w:val="000000"/>
              </w:rPr>
              <w:t>Dead tree basal area (m</w:t>
            </w:r>
            <w:r w:rsidRPr="002001DB">
              <w:rPr>
                <w:rFonts w:eastAsia="Times New Roman"/>
                <w:color w:val="000000"/>
                <w:vertAlign w:val="superscript"/>
              </w:rPr>
              <w:t>2</w:t>
            </w:r>
            <w:r w:rsidRPr="002001DB">
              <w:rPr>
                <w:rFonts w:eastAsia="Times New Roman"/>
                <w:color w:val="000000"/>
              </w:rPr>
              <w:t>/ha)</w:t>
            </w:r>
          </w:p>
        </w:tc>
      </w:tr>
      <w:tr w:rsidR="00E420B3" w14:paraId="321C4E73" w14:textId="77777777" w:rsidTr="00161476">
        <w:tc>
          <w:tcPr>
            <w:tcW w:w="2070" w:type="dxa"/>
          </w:tcPr>
          <w:p w14:paraId="523D3CEC" w14:textId="1374AA5E" w:rsidR="00E420B3" w:rsidRDefault="00E420B3" w:rsidP="00E420B3">
            <w:pPr>
              <w:spacing w:line="360" w:lineRule="auto"/>
            </w:pPr>
            <w:r w:rsidRPr="00231EA6">
              <w:t>total_basal</w:t>
            </w:r>
          </w:p>
        </w:tc>
        <w:tc>
          <w:tcPr>
            <w:tcW w:w="7020" w:type="dxa"/>
          </w:tcPr>
          <w:p w14:paraId="1257170F" w14:textId="3C499DCE" w:rsidR="00E420B3" w:rsidRDefault="00161476" w:rsidP="00E420B3">
            <w:pPr>
              <w:spacing w:line="360" w:lineRule="auto"/>
            </w:pPr>
            <w:r>
              <w:t xml:space="preserve">Total tree basal area </w:t>
            </w:r>
            <w:r w:rsidRPr="002001DB">
              <w:rPr>
                <w:rFonts w:eastAsia="Times New Roman"/>
                <w:color w:val="000000"/>
              </w:rPr>
              <w:t>(m</w:t>
            </w:r>
            <w:r w:rsidRPr="002001DB">
              <w:rPr>
                <w:rFonts w:eastAsia="Times New Roman"/>
                <w:color w:val="000000"/>
                <w:vertAlign w:val="superscript"/>
              </w:rPr>
              <w:t>2</w:t>
            </w:r>
            <w:r w:rsidRPr="002001DB">
              <w:rPr>
                <w:rFonts w:eastAsia="Times New Roman"/>
                <w:color w:val="000000"/>
              </w:rPr>
              <w:t>/ha)</w:t>
            </w:r>
          </w:p>
        </w:tc>
      </w:tr>
      <w:tr w:rsidR="00E420B3" w14:paraId="5B091AA6" w14:textId="77777777" w:rsidTr="00161476">
        <w:tc>
          <w:tcPr>
            <w:tcW w:w="2070" w:type="dxa"/>
          </w:tcPr>
          <w:p w14:paraId="02FA6DDE" w14:textId="7DB8A087" w:rsidR="00E420B3" w:rsidRDefault="00E420B3" w:rsidP="00E420B3">
            <w:pPr>
              <w:spacing w:line="360" w:lineRule="auto"/>
            </w:pPr>
            <w:r w:rsidRPr="00231EA6">
              <w:t>oak_prop</w:t>
            </w:r>
          </w:p>
        </w:tc>
        <w:tc>
          <w:tcPr>
            <w:tcW w:w="7020" w:type="dxa"/>
          </w:tcPr>
          <w:p w14:paraId="5C559A30" w14:textId="095FA2F9" w:rsidR="00E420B3" w:rsidRPr="00161476" w:rsidRDefault="00161476" w:rsidP="00E420B3">
            <w:pPr>
              <w:spacing w:line="360" w:lineRule="auto"/>
            </w:pPr>
            <w:r>
              <w:t>Proportion of basal area composed of oak (</w:t>
            </w:r>
            <w:r>
              <w:rPr>
                <w:i/>
                <w:iCs/>
              </w:rPr>
              <w:t>Quercus</w:t>
            </w:r>
            <w:r>
              <w:t xml:space="preserve"> spp.)</w:t>
            </w:r>
          </w:p>
        </w:tc>
      </w:tr>
      <w:tr w:rsidR="00E420B3" w14:paraId="040A71E9" w14:textId="77777777" w:rsidTr="00161476">
        <w:tc>
          <w:tcPr>
            <w:tcW w:w="2070" w:type="dxa"/>
          </w:tcPr>
          <w:p w14:paraId="075042C7" w14:textId="2EF346B7" w:rsidR="00E420B3" w:rsidRDefault="00E420B3" w:rsidP="00E420B3">
            <w:pPr>
              <w:spacing w:line="360" w:lineRule="auto"/>
            </w:pPr>
            <w:r w:rsidRPr="00231EA6">
              <w:t>can_clos_prop</w:t>
            </w:r>
          </w:p>
        </w:tc>
        <w:tc>
          <w:tcPr>
            <w:tcW w:w="7020" w:type="dxa"/>
          </w:tcPr>
          <w:p w14:paraId="2D1E720F" w14:textId="284EAB71" w:rsidR="00E420B3" w:rsidRDefault="00161476" w:rsidP="00E420B3">
            <w:pPr>
              <w:spacing w:line="360" w:lineRule="auto"/>
            </w:pPr>
            <w:r>
              <w:t>Canopy closure (proportion)</w:t>
            </w:r>
          </w:p>
        </w:tc>
      </w:tr>
      <w:tr w:rsidR="00E420B3" w14:paraId="51C8ED01" w14:textId="77777777" w:rsidTr="00161476">
        <w:tc>
          <w:tcPr>
            <w:tcW w:w="2070" w:type="dxa"/>
          </w:tcPr>
          <w:p w14:paraId="1FC09D8F" w14:textId="45ECB512" w:rsidR="00E420B3" w:rsidRDefault="00E420B3" w:rsidP="00E420B3">
            <w:pPr>
              <w:spacing w:line="360" w:lineRule="auto"/>
            </w:pPr>
            <w:r w:rsidRPr="00231EA6">
              <w:t>grass_prop</w:t>
            </w:r>
          </w:p>
        </w:tc>
        <w:tc>
          <w:tcPr>
            <w:tcW w:w="7020" w:type="dxa"/>
          </w:tcPr>
          <w:p w14:paraId="3B694D58" w14:textId="54235D4B" w:rsidR="00E420B3" w:rsidRDefault="00161476" w:rsidP="00E420B3">
            <w:pPr>
              <w:spacing w:line="360" w:lineRule="auto"/>
            </w:pPr>
            <w:r>
              <w:t>Proportion of ground covered by grass or sedges</w:t>
            </w:r>
          </w:p>
        </w:tc>
      </w:tr>
      <w:tr w:rsidR="00E420B3" w14:paraId="3E29D6A3" w14:textId="77777777" w:rsidTr="00161476">
        <w:tc>
          <w:tcPr>
            <w:tcW w:w="2070" w:type="dxa"/>
          </w:tcPr>
          <w:p w14:paraId="24391682" w14:textId="24EB3E2B" w:rsidR="00E420B3" w:rsidRDefault="00E420B3" w:rsidP="00E420B3">
            <w:pPr>
              <w:spacing w:line="360" w:lineRule="auto"/>
            </w:pPr>
            <w:r w:rsidRPr="00231EA6">
              <w:t>green_prop</w:t>
            </w:r>
          </w:p>
        </w:tc>
        <w:tc>
          <w:tcPr>
            <w:tcW w:w="7020" w:type="dxa"/>
          </w:tcPr>
          <w:p w14:paraId="3D213638" w14:textId="7ACF1C65" w:rsidR="00E420B3" w:rsidRDefault="00161476" w:rsidP="00E420B3">
            <w:pPr>
              <w:spacing w:line="360" w:lineRule="auto"/>
            </w:pPr>
            <w:r>
              <w:t>Proportion of ground covered by herbaceous or small woody plants</w:t>
            </w:r>
          </w:p>
        </w:tc>
      </w:tr>
      <w:tr w:rsidR="00E420B3" w14:paraId="7BB11183" w14:textId="77777777" w:rsidTr="00161476">
        <w:tc>
          <w:tcPr>
            <w:tcW w:w="2070" w:type="dxa"/>
          </w:tcPr>
          <w:p w14:paraId="661C1250" w14:textId="6FBCCE29" w:rsidR="00E420B3" w:rsidRDefault="00E420B3" w:rsidP="00E420B3">
            <w:pPr>
              <w:spacing w:line="360" w:lineRule="auto"/>
            </w:pPr>
            <w:r w:rsidRPr="00231EA6">
              <w:t>litter_prop</w:t>
            </w:r>
          </w:p>
        </w:tc>
        <w:tc>
          <w:tcPr>
            <w:tcW w:w="7020" w:type="dxa"/>
          </w:tcPr>
          <w:p w14:paraId="5DF784DE" w14:textId="0E9B225F" w:rsidR="00E420B3" w:rsidRDefault="00161476" w:rsidP="00E420B3">
            <w:pPr>
              <w:spacing w:line="360" w:lineRule="auto"/>
            </w:pPr>
            <w:r>
              <w:t>Proportion of ground covered by leaf litter</w:t>
            </w:r>
          </w:p>
        </w:tc>
      </w:tr>
      <w:tr w:rsidR="00E420B3" w14:paraId="053E0D48" w14:textId="77777777" w:rsidTr="00161476">
        <w:tc>
          <w:tcPr>
            <w:tcW w:w="2070" w:type="dxa"/>
          </w:tcPr>
          <w:p w14:paraId="52F9B8C3" w14:textId="393DF33B" w:rsidR="00E420B3" w:rsidRDefault="00E420B3" w:rsidP="00E420B3">
            <w:pPr>
              <w:spacing w:line="360" w:lineRule="auto"/>
            </w:pPr>
            <w:r w:rsidRPr="00231EA6">
              <w:t>shrub_dens</w:t>
            </w:r>
          </w:p>
        </w:tc>
        <w:tc>
          <w:tcPr>
            <w:tcW w:w="7020" w:type="dxa"/>
          </w:tcPr>
          <w:p w14:paraId="5131F984" w14:textId="783C066C" w:rsidR="00E420B3" w:rsidRDefault="00161476" w:rsidP="00E420B3">
            <w:pPr>
              <w:spacing w:line="360" w:lineRule="auto"/>
            </w:pPr>
            <w:r w:rsidRPr="002001DB">
              <w:rPr>
                <w:rFonts w:eastAsia="Times New Roman"/>
                <w:color w:val="000000"/>
              </w:rPr>
              <w:t>Shrub density (stems/m</w:t>
            </w:r>
            <w:r w:rsidRPr="002001DB">
              <w:rPr>
                <w:rFonts w:eastAsia="Times New Roman"/>
                <w:color w:val="000000"/>
                <w:vertAlign w:val="superscript"/>
              </w:rPr>
              <w:t>2</w:t>
            </w:r>
            <w:r w:rsidRPr="002001DB">
              <w:rPr>
                <w:rFonts w:eastAsia="Times New Roman"/>
                <w:color w:val="000000"/>
              </w:rPr>
              <w:t>)</w:t>
            </w:r>
          </w:p>
        </w:tc>
      </w:tr>
      <w:tr w:rsidR="00E420B3" w14:paraId="2D93DE75" w14:textId="77777777" w:rsidTr="00161476">
        <w:tc>
          <w:tcPr>
            <w:tcW w:w="2070" w:type="dxa"/>
          </w:tcPr>
          <w:p w14:paraId="6045BF90" w14:textId="23AB79BA" w:rsidR="00E420B3" w:rsidRDefault="00E420B3" w:rsidP="00E420B3">
            <w:pPr>
              <w:spacing w:line="360" w:lineRule="auto"/>
            </w:pPr>
            <w:r w:rsidRPr="00231EA6">
              <w:t>dist_edge</w:t>
            </w:r>
          </w:p>
        </w:tc>
        <w:tc>
          <w:tcPr>
            <w:tcW w:w="7020" w:type="dxa"/>
          </w:tcPr>
          <w:p w14:paraId="6ED2F1D1" w14:textId="5B7DBADE" w:rsidR="00E420B3" w:rsidRDefault="00161476" w:rsidP="00E420B3">
            <w:pPr>
              <w:spacing w:line="360" w:lineRule="auto"/>
            </w:pPr>
            <w:r>
              <w:t>Distance of point to forest edge (m; 0 m for points outside forest)</w:t>
            </w:r>
          </w:p>
        </w:tc>
      </w:tr>
      <w:tr w:rsidR="00E420B3" w14:paraId="73736133" w14:textId="77777777" w:rsidTr="00161476">
        <w:tc>
          <w:tcPr>
            <w:tcW w:w="2070" w:type="dxa"/>
          </w:tcPr>
          <w:p w14:paraId="1CC9E7FA" w14:textId="04699995" w:rsidR="00E420B3" w:rsidRDefault="00E420B3" w:rsidP="00E420B3">
            <w:pPr>
              <w:spacing w:line="360" w:lineRule="auto"/>
            </w:pPr>
            <w:r w:rsidRPr="00231EA6">
              <w:t>nearest_patch_size</w:t>
            </w:r>
          </w:p>
        </w:tc>
        <w:tc>
          <w:tcPr>
            <w:tcW w:w="7020" w:type="dxa"/>
          </w:tcPr>
          <w:p w14:paraId="08D52183" w14:textId="0EAD09BF" w:rsidR="00E420B3" w:rsidRDefault="006F7301" w:rsidP="00E420B3">
            <w:pPr>
              <w:spacing w:line="360" w:lineRule="auto"/>
            </w:pPr>
            <w:r>
              <w:t xml:space="preserve">Size of the closest forest patch </w:t>
            </w:r>
            <w:r w:rsidRPr="002001DB">
              <w:rPr>
                <w:rFonts w:eastAsia="Times New Roman"/>
                <w:color w:val="000000"/>
              </w:rPr>
              <w:t>(m</w:t>
            </w:r>
            <w:r w:rsidRPr="002001DB">
              <w:rPr>
                <w:rFonts w:eastAsia="Times New Roman"/>
                <w:color w:val="000000"/>
                <w:vertAlign w:val="superscript"/>
              </w:rPr>
              <w:t>2</w:t>
            </w:r>
            <w:r w:rsidRPr="002001DB">
              <w:rPr>
                <w:rFonts w:eastAsia="Times New Roman"/>
                <w:color w:val="000000"/>
              </w:rPr>
              <w:t>)</w:t>
            </w:r>
          </w:p>
        </w:tc>
      </w:tr>
      <w:tr w:rsidR="00E420B3" w14:paraId="39C566E4" w14:textId="77777777" w:rsidTr="00161476">
        <w:tc>
          <w:tcPr>
            <w:tcW w:w="2070" w:type="dxa"/>
          </w:tcPr>
          <w:p w14:paraId="2C64CDBA" w14:textId="6235A7C4" w:rsidR="00E420B3" w:rsidRDefault="00E420B3" w:rsidP="00E420B3">
            <w:pPr>
              <w:spacing w:line="360" w:lineRule="auto"/>
            </w:pPr>
            <w:r w:rsidRPr="00231EA6">
              <w:t>mid_sd</w:t>
            </w:r>
          </w:p>
        </w:tc>
        <w:tc>
          <w:tcPr>
            <w:tcW w:w="7020" w:type="dxa"/>
          </w:tcPr>
          <w:p w14:paraId="32351723" w14:textId="25AE78E5" w:rsidR="00E420B3" w:rsidRDefault="006F7301" w:rsidP="00E420B3">
            <w:pPr>
              <w:spacing w:line="360" w:lineRule="auto"/>
            </w:pPr>
            <w:r>
              <w:t xml:space="preserve">Standard deviation of midstory foliage density* </w:t>
            </w:r>
          </w:p>
        </w:tc>
      </w:tr>
      <w:tr w:rsidR="00E420B3" w14:paraId="71F87B1A" w14:textId="77777777" w:rsidTr="00161476">
        <w:tc>
          <w:tcPr>
            <w:tcW w:w="2070" w:type="dxa"/>
          </w:tcPr>
          <w:p w14:paraId="6509161D" w14:textId="3F7204B6" w:rsidR="00E420B3" w:rsidRDefault="00E420B3" w:rsidP="00E420B3">
            <w:pPr>
              <w:spacing w:line="360" w:lineRule="auto"/>
            </w:pPr>
            <w:r w:rsidRPr="00231EA6">
              <w:t>mid_dens_2.5m</w:t>
            </w:r>
          </w:p>
        </w:tc>
        <w:tc>
          <w:tcPr>
            <w:tcW w:w="7020" w:type="dxa"/>
          </w:tcPr>
          <w:p w14:paraId="28A235D8" w14:textId="6B892069" w:rsidR="00E420B3" w:rsidRDefault="006F7301" w:rsidP="00E420B3">
            <w:pPr>
              <w:spacing w:line="360" w:lineRule="auto"/>
            </w:pPr>
            <w:r>
              <w:t xml:space="preserve">Foliage density at 2.5 m height (mean </w:t>
            </w:r>
            <w:r w:rsidR="006D6687">
              <w:t xml:space="preserve">proportion </w:t>
            </w:r>
            <w:r>
              <w:t>covered of three coverboards)</w:t>
            </w:r>
          </w:p>
        </w:tc>
      </w:tr>
      <w:tr w:rsidR="006F7301" w14:paraId="2E1796C1" w14:textId="77777777" w:rsidTr="00161476">
        <w:tc>
          <w:tcPr>
            <w:tcW w:w="2070" w:type="dxa"/>
          </w:tcPr>
          <w:p w14:paraId="64979A44" w14:textId="142B9349" w:rsidR="006F7301" w:rsidRDefault="006F7301" w:rsidP="006F7301">
            <w:pPr>
              <w:spacing w:line="360" w:lineRule="auto"/>
            </w:pPr>
            <w:r w:rsidRPr="00231EA6">
              <w:t>mid_dens_5m</w:t>
            </w:r>
          </w:p>
        </w:tc>
        <w:tc>
          <w:tcPr>
            <w:tcW w:w="7020" w:type="dxa"/>
          </w:tcPr>
          <w:p w14:paraId="27060C6E" w14:textId="7B18D7CC" w:rsidR="006F7301" w:rsidRDefault="006F7301" w:rsidP="006F7301">
            <w:pPr>
              <w:spacing w:line="360" w:lineRule="auto"/>
            </w:pPr>
            <w:r>
              <w:t xml:space="preserve">Foliage density at 5 m height (mean </w:t>
            </w:r>
            <w:r w:rsidR="006D6687">
              <w:t xml:space="preserve">proportion </w:t>
            </w:r>
            <w:r>
              <w:t>covered of three coverboards)</w:t>
            </w:r>
          </w:p>
        </w:tc>
      </w:tr>
    </w:tbl>
    <w:p w14:paraId="532FF398" w14:textId="5D5024BE" w:rsidR="007B7C70" w:rsidRDefault="007B7C70" w:rsidP="00DF31E1">
      <w:pPr>
        <w:spacing w:line="360" w:lineRule="auto"/>
      </w:pPr>
    </w:p>
    <w:p w14:paraId="69A58B71" w14:textId="77777777" w:rsidR="007B7C70" w:rsidRDefault="007B7C70" w:rsidP="00DF31E1">
      <w:pPr>
        <w:pStyle w:val="Heading2"/>
        <w:spacing w:line="360" w:lineRule="auto"/>
      </w:pPr>
      <w:r>
        <w:t>2.2. Models</w:t>
      </w:r>
    </w:p>
    <w:p w14:paraId="1C0A636A" w14:textId="68088DBB" w:rsidR="00570022" w:rsidRDefault="006D6687" w:rsidP="00570022">
      <w:pPr>
        <w:spacing w:line="360" w:lineRule="auto"/>
        <w:ind w:firstLine="720"/>
      </w:pPr>
      <w:r>
        <w:t>When fitting each</w:t>
      </w:r>
      <w:r w:rsidR="00367111">
        <w:t xml:space="preserve"> model</w:t>
      </w:r>
      <w:r>
        <w:t>, I</w:t>
      </w:r>
      <w:r w:rsidR="00F91451">
        <w:t xml:space="preserve"> used a random</w:t>
      </w:r>
      <w:r w:rsidR="007B7C70">
        <w:t xml:space="preserve"> 80% subsample of the original data set</w:t>
      </w:r>
      <w:r w:rsidR="00367111">
        <w:t xml:space="preserve"> as a training dataset</w:t>
      </w:r>
      <w:r w:rsidR="007B7C70">
        <w:t xml:space="preserve">, </w:t>
      </w:r>
      <w:r w:rsidR="00F91451">
        <w:t>and</w:t>
      </w:r>
      <w:r w:rsidR="007B7C70">
        <w:t xml:space="preserve"> </w:t>
      </w:r>
      <w:r w:rsidR="00F91451">
        <w:t>I reserved the</w:t>
      </w:r>
      <w:r w:rsidR="007B7C70">
        <w:t xml:space="preserve"> remaining 20%</w:t>
      </w:r>
      <w:r w:rsidR="00F91451">
        <w:t xml:space="preserve"> </w:t>
      </w:r>
      <w:r w:rsidR="007B7C70">
        <w:t xml:space="preserve">as a hold-out set. </w:t>
      </w:r>
      <w:r w:rsidR="00367111">
        <w:t xml:space="preserve">Due to class imbalances, I performed resampling with replacement on the </w:t>
      </w:r>
      <w:r w:rsidR="00D81C71">
        <w:t>positive cases (</w:t>
      </w:r>
      <w:r w:rsidR="00367111">
        <w:t>points with Acadian Flycatcher territories</w:t>
      </w:r>
      <w:r w:rsidR="00D81C71">
        <w:t>) within the training dataset such that the number of resampled positive cases in the training dataset was equal to the number of negative cases</w:t>
      </w:r>
      <w:r w:rsidR="00D81C71" w:rsidRPr="00D81C71">
        <w:t xml:space="preserve"> </w:t>
      </w:r>
      <w:r w:rsidR="00D81C71">
        <w:t>in the training dataset</w:t>
      </w:r>
      <w:r w:rsidR="00367111">
        <w:t xml:space="preserve">. </w:t>
      </w:r>
      <w:r w:rsidR="00F91451">
        <w:t xml:space="preserve">I tuned and </w:t>
      </w:r>
      <w:r w:rsidR="00F91451">
        <w:lastRenderedPageBreak/>
        <w:t>compared t</w:t>
      </w:r>
      <w:r w:rsidR="007B7C70">
        <w:t>hree classification model</w:t>
      </w:r>
      <w:r w:rsidR="00385671">
        <w:t>s. To tune hyperparameters of each model type, I used 5-fold cross-validation grid searches</w:t>
      </w:r>
      <w:r w:rsidR="00D81C71">
        <w:t xml:space="preserve"> with predetermined hyperparameter combinations</w:t>
      </w:r>
      <w:r w:rsidR="00570022">
        <w:t xml:space="preserve"> from </w:t>
      </w:r>
      <w:r w:rsidR="00570022">
        <w:fldChar w:fldCharType="begin" w:fldLock="1"/>
      </w:r>
      <w:r w:rsidR="00582D0B">
        <w:instrText>ADDIN CSL_CITATION {"citationItems":[{"id":"ITEM-1","itemData":{"URL":"https://mlca.mm218.dev/2021","accessed":{"date-parts":[["2021","11","12"]]},"author":[{"dropping-particle":"","family":"Mahoney","given":"Michael J","non-dropping-particle":"","parse-names":false,"suffix":""}],"id":"ITEM-1","issued":{"date-parts":[["2021"]]},"title":"Machine Learning Concepts and Applications","type":"webpage"},"uris":["http://www.mendeley.com/documents/?uuid=7212dee9-c8ef-4bd4-bbbf-909c5d42ca84"]}],"mendeley":{"formattedCitation":"(Mahoney, 2021)","manualFormatting":"Mahoney (2021)","plainTextFormattedCitation":"(Mahoney, 2021)","previouslyFormattedCitation":"(Mahoney, 2021)"},"properties":{"noteIndex":0},"schema":"https://github.com/citation-style-language/schema/raw/master/csl-citation.json"}</w:instrText>
      </w:r>
      <w:r w:rsidR="00570022">
        <w:fldChar w:fldCharType="separate"/>
      </w:r>
      <w:r w:rsidR="00570022" w:rsidRPr="00570022">
        <w:rPr>
          <w:noProof/>
        </w:rPr>
        <w:t>Mahoney</w:t>
      </w:r>
      <w:r w:rsidR="00570022">
        <w:rPr>
          <w:noProof/>
        </w:rPr>
        <w:t xml:space="preserve"> (</w:t>
      </w:r>
      <w:r w:rsidR="00570022" w:rsidRPr="00570022">
        <w:rPr>
          <w:noProof/>
        </w:rPr>
        <w:t>2021)</w:t>
      </w:r>
      <w:r w:rsidR="00570022">
        <w:fldChar w:fldCharType="end"/>
      </w:r>
      <w:r w:rsidR="00385671">
        <w:t>. A cross-entropy loss function was used to compare predictive power between models within a grid search</w:t>
      </w:r>
      <w:r w:rsidR="00D81C71">
        <w:t xml:space="preserve">; the model with the lowest loss </w:t>
      </w:r>
      <w:r w:rsidR="00805173">
        <w:t xml:space="preserve">value </w:t>
      </w:r>
      <w:r w:rsidR="00D81C71">
        <w:t>was selected</w:t>
      </w:r>
      <w:r w:rsidR="00385671">
        <w:t xml:space="preserve">. </w:t>
      </w:r>
    </w:p>
    <w:p w14:paraId="534786E3" w14:textId="55EC93A4" w:rsidR="00805173" w:rsidRDefault="007B7C70" w:rsidP="00570022">
      <w:pPr>
        <w:spacing w:line="360" w:lineRule="auto"/>
        <w:ind w:firstLine="720"/>
      </w:pPr>
      <w:r>
        <w:t xml:space="preserve">The first </w:t>
      </w:r>
      <w:r w:rsidR="00385671">
        <w:t>model was a classification decision tree, fit using the ‘rpart’ package in R</w:t>
      </w:r>
      <w:r w:rsidR="00570022">
        <w:t xml:space="preserve"> Version 4.1.1 </w:t>
      </w:r>
      <w:r w:rsidR="00385671">
        <w:t xml:space="preserve"> </w:t>
      </w:r>
      <w:r w:rsidR="00367111">
        <w:fldChar w:fldCharType="begin" w:fldLock="1"/>
      </w:r>
      <w:r w:rsidR="00D81C71">
        <w:instrText>ADDIN CSL_CITATION {"citationItems":[{"id":"ITEM-1","itemData":{"author":[{"dropping-particle":"","family":"Therneau","given":"Terry","non-dropping-particle":"","parse-names":false,"suffix":""},{"dropping-particle":"","family":"Atkinson","given":"Beth","non-dropping-particle":"","parse-names":false,"suffix":""}],"id":"ITEM-1","issued":{"date-parts":[["2019"]]},"note":"R package version 4.1-15","title":"rpart: Recursive Partitioning and Regression Trees","type":"article"},"uris":["http://www.mendeley.com/documents/?uuid=c8110677-364f-4943-84e1-3145bae3c8eb"]},{"id":"ITEM-2","itemData":{"author":[{"dropping-particle":"","family":"R Core Team","given":"","non-dropping-particle":"","parse-names":false,"suffix":""}],"id":"ITEM-2","issued":{"date-parts":[["2021"]]},"publisher-place":"Vienna, Austria","title":"R: A Language and Environment for Statistical Computing","type":"article"},"uris":["http://www.mendeley.com/documents/?uuid=6cca855b-91c9-4818-8307-bacf5a3da019"]}],"mendeley":{"formattedCitation":"(R Core Team, 2021; Therneau &amp; Atkinson, 2019)","plainTextFormattedCitation":"(R Core Team, 2021; Therneau &amp; Atkinson, 2019)","previouslyFormattedCitation":"(R Core Team, 2021; Therneau &amp; Atkinson, 2019)"},"properties":{"noteIndex":0},"schema":"https://github.com/citation-style-language/schema/raw/master/csl-citation.json"}</w:instrText>
      </w:r>
      <w:r w:rsidR="00367111">
        <w:fldChar w:fldCharType="separate"/>
      </w:r>
      <w:r w:rsidR="00367111" w:rsidRPr="00367111">
        <w:rPr>
          <w:noProof/>
        </w:rPr>
        <w:t>(R Core Team, 2021; Therneau &amp; Atkinson, 2019)</w:t>
      </w:r>
      <w:r w:rsidR="00367111">
        <w:fldChar w:fldCharType="end"/>
      </w:r>
      <w:r w:rsidR="00385671">
        <w:t>.</w:t>
      </w:r>
      <w:r w:rsidR="00367111">
        <w:t xml:space="preserve"> The minimum number of observations </w:t>
      </w:r>
      <w:r w:rsidR="00805173">
        <w:t>per leaf node</w:t>
      </w:r>
      <w:r w:rsidR="00367111">
        <w:t xml:space="preserve"> was the only hyperparameter I tuned</w:t>
      </w:r>
      <w:r w:rsidR="00570022">
        <w:t xml:space="preserve"> for the decision tree</w:t>
      </w:r>
      <w:r w:rsidR="00367111">
        <w:t xml:space="preserve">; a minimum </w:t>
      </w:r>
      <w:r w:rsidR="00D81C71">
        <w:t>of 31 observations per leaf</w:t>
      </w:r>
      <w:r w:rsidR="00805173">
        <w:t xml:space="preserve"> node</w:t>
      </w:r>
      <w:r w:rsidR="00570022">
        <w:t xml:space="preserve"> minimized cross-entropy loss</w:t>
      </w:r>
      <w:r w:rsidR="00D81C71">
        <w:t xml:space="preserve">. </w:t>
      </w:r>
      <w:r>
        <w:t xml:space="preserve">The second model evaluated was a random forest, fit using the ranger R package </w:t>
      </w:r>
      <w:r w:rsidR="00D81C71">
        <w:fldChar w:fldCharType="begin" w:fldLock="1"/>
      </w:r>
      <w:r w:rsidR="00570022">
        <w:instrText>ADDIN CSL_CITATION {"citationItems":[{"id":"ITEM-1","itemData":{"DOI":"10.18637/jss.v077.i01","author":[{"dropping-particle":"","family":"Wright","given":"Marvin N","non-dropping-particle":"","parse-names":false,"suffix":""},{"dropping-particle":"","family":"Ziegler","given":"Andreas","non-dropping-particle":"","parse-names":false,"suffix":""}],"container-title":"Journal of Statistical Software","id":"ITEM-1","issue":"1","issued":{"date-parts":[["2017"]]},"page":"1-17","title":"{ranger}: A Fast Implementation of Random Forests for High Dimensional Data in {C++} and {R}","type":"article-journal","volume":"77"},"uris":["http://www.mendeley.com/documents/?uuid=10af8ce2-b155-4043-b079-679b82061fa2"]}],"mendeley":{"formattedCitation":"(Wright &amp; Ziegler, 2017)","plainTextFormattedCitation":"(Wright &amp; Ziegler, 2017)","previouslyFormattedCitation":"(Wright &amp; Ziegler, 2017)"},"properties":{"noteIndex":0},"schema":"https://github.com/citation-style-language/schema/raw/master/csl-citation.json"}</w:instrText>
      </w:r>
      <w:r w:rsidR="00D81C71">
        <w:fldChar w:fldCharType="separate"/>
      </w:r>
      <w:r w:rsidR="00D81C71" w:rsidRPr="00D81C71">
        <w:rPr>
          <w:noProof/>
        </w:rPr>
        <w:t>(Wright &amp; Ziegler, 2017)</w:t>
      </w:r>
      <w:r w:rsidR="00D81C71">
        <w:fldChar w:fldCharType="end"/>
      </w:r>
      <w:r w:rsidR="00D81C71">
        <w:t>.</w:t>
      </w:r>
      <w:r w:rsidR="00805173" w:rsidRPr="00805173">
        <w:t xml:space="preserve"> </w:t>
      </w:r>
      <w:r w:rsidR="00805173">
        <w:t xml:space="preserve">The set of hyperparameters </w:t>
      </w:r>
      <w:r w:rsidR="00570022">
        <w:t>that minimized cross-entropy loss</w:t>
      </w:r>
      <w:r w:rsidR="00805173">
        <w:t xml:space="preserve"> included </w:t>
      </w:r>
      <w:r w:rsidR="00805173" w:rsidRPr="00805173">
        <w:t>800</w:t>
      </w:r>
      <w:r w:rsidR="00805173">
        <w:t xml:space="preserve"> trees, 5 variables considered per split, a minimum of </w:t>
      </w:r>
      <w:r w:rsidR="0091150A">
        <w:t>3</w:t>
      </w:r>
      <w:r w:rsidR="00805173">
        <w:t xml:space="preserve"> observations per leaf node, sampl</w:t>
      </w:r>
      <w:r w:rsidR="00570022">
        <w:t>ing</w:t>
      </w:r>
      <w:r w:rsidR="00805173">
        <w:t xml:space="preserve"> with replacement </w:t>
      </w:r>
      <w:r w:rsidR="00570022">
        <w:t>when fitting trees</w:t>
      </w:r>
      <w:r w:rsidR="00805173">
        <w:t xml:space="preserve">, </w:t>
      </w:r>
      <w:r w:rsidR="00570022">
        <w:t>and a proportion of 0.63 of the original data resampled for each tree.</w:t>
      </w:r>
      <w:r w:rsidR="00302568">
        <w:t xml:space="preserve"> The third model evaluate</w:t>
      </w:r>
      <w:r w:rsidR="00582D0B">
        <w:t xml:space="preserve">d </w:t>
      </w:r>
      <w:r w:rsidR="00302568">
        <w:t xml:space="preserve">was a stochastic gradient boosting machine fit with the lightgbm package </w:t>
      </w:r>
      <w:r w:rsidR="00582D0B">
        <w:fldChar w:fldCharType="begin" w:fldLock="1"/>
      </w:r>
      <w:r w:rsidR="00582D0B">
        <w:instrText>ADDIN CSL_CITATION {"citationItems":[{"id":"ITEM-1","itemData":{"author":[{"dropping-particle":"","family":"Shi","given":"Yu","non-dropping-particle":"","parse-names":false,"suffix":""},{"dropping-particle":"","family":"Ke","given":"Guolin","non-dropping-particle":"","parse-names":false,"suffix":""},{"dropping-particle":"","family":"Soukhavong","given":"Damien","non-dropping-particle":"","parse-names":false,"suffix":""},{"dropping-particle":"","family":"Lamb","given":"James","non-dropping-particle":"","parse-names":false,"suffix":""},{"dropping-particle":"","family":"Meng","given":"Qi","non-dropping-particle":"","parse-names":false,"suffix":""},{"dropping-particle":"","family":"Finley","given":"Thomas","non-dropping-particle":"","parse-names":false,"suffix":""},{"dropping-particle":"","family":"Wang","given":"Taifeng","non-dropping-particle":"","parse-names":false,"suffix":""},{"dropping-particle":"","family":"Chen","given":"Wei","non-dropping-particle":"","parse-names":false,"suffix":""},{"dropping-particle":"","family":"Ma","given":"Weidong","non-dropping-particle":"","parse-names":false,"suffix":""},{"dropping-particle":"","family":"Ye","given":"Qiwei","non-dropping-particle":"","parse-names":false,"suffix":""},{"dropping-particle":"","family":"Liu","given":"Tie-Yan","non-dropping-particle":"","parse-names":false,"suffix":""},{"dropping-particle":"","family":"Titov","given":"Nikita","non-dropping-particle":"","parse-names":false,"suffix":""}],"id":"ITEM-1","issued":{"date-parts":[["2021"]]},"note":"R package version 3.3.0","title":"lightgbm: Light Gradient Boosting Machine","type":"article"},"uris":["http://www.mendeley.com/documents/?uuid=272b9344-876c-4ed8-b945-bcc5a908f9d8"]}],"mendeley":{"formattedCitation":"(Shi et al., 2021)","plainTextFormattedCitation":"(Shi et al., 2021)"},"properties":{"noteIndex":0},"schema":"https://github.com/citation-style-language/schema/raw/master/csl-citation.json"}</w:instrText>
      </w:r>
      <w:r w:rsidR="00582D0B">
        <w:fldChar w:fldCharType="separate"/>
      </w:r>
      <w:r w:rsidR="00582D0B" w:rsidRPr="00582D0B">
        <w:rPr>
          <w:noProof/>
        </w:rPr>
        <w:t>(Shi et al., 2021)</w:t>
      </w:r>
      <w:r w:rsidR="00582D0B">
        <w:fldChar w:fldCharType="end"/>
      </w:r>
      <w:r w:rsidR="00582D0B">
        <w:t xml:space="preserve">. The grid search for this model was iterative and had three stages. At the first stage, only learning rate and the number of trees were tuned, leaving other hyperparameters with their default values. At the second stage, the best values from the prior stage were used, </w:t>
      </w:r>
      <w:r w:rsidR="00536803">
        <w:t xml:space="preserve">and both maximum tree depth and minimum data in bin were tuned. For the third stage, </w:t>
      </w:r>
      <w:r w:rsidR="0067405F">
        <w:t xml:space="preserve">best values were </w:t>
      </w:r>
      <w:r w:rsidR="00536803">
        <w:t xml:space="preserve">only stochastic hyperparameters were tuned, comprising </w:t>
      </w:r>
      <w:r w:rsidR="00536803" w:rsidRPr="00536803">
        <w:t>percent of observations sampled for each tree</w:t>
      </w:r>
      <w:r w:rsidR="00AA2F40">
        <w:t xml:space="preserve">, </w:t>
      </w:r>
      <w:r w:rsidR="0067405F">
        <w:t xml:space="preserve">bootstrapping resampling frequency, and the percentage of variables available to each tree. </w:t>
      </w:r>
    </w:p>
    <w:p w14:paraId="1AFB6014" w14:textId="77777777" w:rsidR="00805173" w:rsidRDefault="00805173" w:rsidP="00DF31E1">
      <w:pPr>
        <w:spacing w:line="360" w:lineRule="auto"/>
      </w:pPr>
    </w:p>
    <w:p w14:paraId="2D9DA59F" w14:textId="77777777" w:rsidR="00805173" w:rsidRDefault="00805173" w:rsidP="00DF31E1">
      <w:pPr>
        <w:spacing w:line="360" w:lineRule="auto"/>
      </w:pPr>
    </w:p>
    <w:p w14:paraId="780A5E7D" w14:textId="18689E55" w:rsidR="00D81C71" w:rsidRDefault="00D81C71" w:rsidP="00DF31E1">
      <w:pPr>
        <w:spacing w:line="360" w:lineRule="auto"/>
      </w:pPr>
      <w:r>
        <w:t>Post-tuning, area under an ROC curve (AUC), overall accuracy, sensitivity, and specificity were used to compare the different model types</w:t>
      </w:r>
      <w:r w:rsidR="003152B1">
        <w:t>. AUC was calculated using R package ‘pROC’ (), and other metrics were generated from confusion matrices produced by ‘caret’ ()</w:t>
      </w:r>
      <w:r>
        <w:t>.</w:t>
      </w:r>
    </w:p>
    <w:p w14:paraId="31428076" w14:textId="77777777" w:rsidR="00D81C71" w:rsidRDefault="00D81C71" w:rsidP="00DF31E1">
      <w:pPr>
        <w:spacing w:line="360" w:lineRule="auto"/>
      </w:pPr>
    </w:p>
    <w:p w14:paraId="4DB8F655" w14:textId="481E218D" w:rsidR="007B7C70" w:rsidRDefault="007B7C70" w:rsidP="00DF31E1">
      <w:pPr>
        <w:spacing w:line="360" w:lineRule="auto"/>
      </w:pPr>
      <w:r>
        <w:t xml:space="preserve">The third and final model evaluated was a stochastic gradient boosting machine, fit using the lightgbm package (Ke et al. 2021). Model tuning was done using iterative grid searches, evaluating progressively narrower ranges of multiple hyperparameters with each iteration. The set of hyperparameters which maximized AUC were selected, with the final model being fit </w:t>
      </w:r>
      <w:r>
        <w:lastRenderedPageBreak/>
        <w:t>using 3,000 trees allowed to grow to arbitrary depths, with a learning rate of 0.1 and a minimum of 13 observations per leaf node. Each tree was fit to a bootstrap sample that was 90% the size of the original training data, with a new sample taken every 5 trees, and each tree was fit using a randomly selected 30% of all features. All models were fit using methods to predict class probabilities, in order to produce ROC curves and AUC estimates. Classifications were then made using the thresholds which optimized both sensitivity and specificity, as identified using the training data. Models were assessed using their overall accuracy, sensitivity, specificity, and AUC, calculated against the 20% holdout set. ROC curves and AUC were calculated using the pROC package (Robin et al. 2011). Data wrangling used the dplyr, tidyr, and recipes packages (Wickham et al. 2021; Wickham 2021; Kuhn and Wickham 2021). Manuscript preparation used the ggplot2 and kableExtra packages (Wickham 2016; Zhu 2021). All analyses used the R statistical modeling software (R Core Team 2021). 3. Results Model accuracies are reported in Table 1. Logistic regression produced the model with the highest AUC, overall accuracy, and sensitivity, while the stochastic GBM fit through LightGBM provided the highest specificity. The random forest model performed the worst on all accuracy measured. ROC curves for each model are presented in Figure 1.</w:t>
      </w:r>
    </w:p>
    <w:p w14:paraId="6EDB079D" w14:textId="22022756" w:rsidR="00F91451" w:rsidRDefault="00F91451" w:rsidP="00F91451">
      <w:pPr>
        <w:pStyle w:val="Heading1"/>
      </w:pPr>
      <w:r>
        <w:t>Results</w:t>
      </w:r>
    </w:p>
    <w:p w14:paraId="47ABE216" w14:textId="745A48C9" w:rsidR="00F91451" w:rsidRDefault="00F91451" w:rsidP="00F91451">
      <w:r>
        <w:t>The proportion of site</w:t>
      </w:r>
      <w:r w:rsidR="00086DBC">
        <w:t>s</w:t>
      </w:r>
      <w:r>
        <w:t xml:space="preserve"> occupied </w:t>
      </w:r>
      <w:r w:rsidR="00042CF5">
        <w:t>by singing Acadian Flycatchers</w:t>
      </w:r>
      <w:r w:rsidR="00086DBC">
        <w:t xml:space="preserve"> was </w:t>
      </w:r>
      <w:r w:rsidR="00042CF5">
        <w:t>0.263.</w:t>
      </w:r>
    </w:p>
    <w:p w14:paraId="46A7426D" w14:textId="19AC2FBC" w:rsidR="004740B3" w:rsidRDefault="004740B3" w:rsidP="00F91451"/>
    <w:p w14:paraId="624384A0" w14:textId="6248B6C4" w:rsidR="004740B3" w:rsidRDefault="004740B3" w:rsidP="004740B3">
      <w:pPr>
        <w:pStyle w:val="Heading1"/>
      </w:pPr>
      <w:r>
        <w:t>References</w:t>
      </w:r>
    </w:p>
    <w:p w14:paraId="4677586C" w14:textId="65095846" w:rsidR="00582D0B" w:rsidRPr="00582D0B" w:rsidRDefault="004740B3" w:rsidP="00582D0B">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82D0B" w:rsidRPr="00582D0B">
        <w:rPr>
          <w:rFonts w:cs="Times New Roman"/>
          <w:noProof/>
          <w:szCs w:val="24"/>
        </w:rPr>
        <w:t xml:space="preserve">Bakermans, M. H., &amp; Rodewald, A. D. (2006). Scale-dependent habitat use of Acadian Flycatcher (Empidonax virescens) in central Ohio. </w:t>
      </w:r>
      <w:r w:rsidR="00582D0B" w:rsidRPr="00582D0B">
        <w:rPr>
          <w:rFonts w:cs="Times New Roman"/>
          <w:i/>
          <w:iCs/>
          <w:noProof/>
          <w:szCs w:val="24"/>
        </w:rPr>
        <w:t>Auk</w:t>
      </w:r>
      <w:r w:rsidR="00582D0B" w:rsidRPr="00582D0B">
        <w:rPr>
          <w:rFonts w:cs="Times New Roman"/>
          <w:noProof/>
          <w:szCs w:val="24"/>
        </w:rPr>
        <w:t xml:space="preserve">, </w:t>
      </w:r>
      <w:r w:rsidR="00582D0B" w:rsidRPr="00582D0B">
        <w:rPr>
          <w:rFonts w:cs="Times New Roman"/>
          <w:i/>
          <w:iCs/>
          <w:noProof/>
          <w:szCs w:val="24"/>
        </w:rPr>
        <w:t>123</w:t>
      </w:r>
      <w:r w:rsidR="00582D0B" w:rsidRPr="00582D0B">
        <w:rPr>
          <w:rFonts w:cs="Times New Roman"/>
          <w:noProof/>
          <w:szCs w:val="24"/>
        </w:rPr>
        <w:t>(2). https://doi.org/10.1642/0004-8038(2006)123[368:SHUOAF]2.0.CO;2</w:t>
      </w:r>
    </w:p>
    <w:p w14:paraId="6B880B30"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Layer, U. N. A. S. S. C. D. (2019). </w:t>
      </w:r>
      <w:r w:rsidRPr="00582D0B">
        <w:rPr>
          <w:rFonts w:cs="Times New Roman"/>
          <w:i/>
          <w:iCs/>
          <w:noProof/>
          <w:szCs w:val="24"/>
        </w:rPr>
        <w:t>Published crop-specific data layer [Online]</w:t>
      </w:r>
      <w:r w:rsidRPr="00582D0B">
        <w:rPr>
          <w:rFonts w:cs="Times New Roman"/>
          <w:noProof/>
          <w:szCs w:val="24"/>
        </w:rPr>
        <w:t>. https://nassgeodata.gmu.edu/CropScape/ (accessed 02.24.20)</w:t>
      </w:r>
    </w:p>
    <w:p w14:paraId="5D22161D"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MacArthur, R. H., &amp; MacArthur, J. W. (1961). On Bird Species Diversity. </w:t>
      </w:r>
      <w:r w:rsidRPr="00582D0B">
        <w:rPr>
          <w:rFonts w:cs="Times New Roman"/>
          <w:i/>
          <w:iCs/>
          <w:noProof/>
          <w:szCs w:val="24"/>
        </w:rPr>
        <w:t>Ecology</w:t>
      </w:r>
      <w:r w:rsidRPr="00582D0B">
        <w:rPr>
          <w:rFonts w:cs="Times New Roman"/>
          <w:noProof/>
          <w:szCs w:val="24"/>
        </w:rPr>
        <w:t xml:space="preserve">, </w:t>
      </w:r>
      <w:r w:rsidRPr="00582D0B">
        <w:rPr>
          <w:rFonts w:cs="Times New Roman"/>
          <w:i/>
          <w:iCs/>
          <w:noProof/>
          <w:szCs w:val="24"/>
        </w:rPr>
        <w:t>42</w:t>
      </w:r>
      <w:r w:rsidRPr="00582D0B">
        <w:rPr>
          <w:rFonts w:cs="Times New Roman"/>
          <w:noProof/>
          <w:szCs w:val="24"/>
        </w:rPr>
        <w:t>(3). https://doi.org/10.2307/1932254</w:t>
      </w:r>
    </w:p>
    <w:p w14:paraId="7FB7431A"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Mahoney, M. J. (2021). </w:t>
      </w:r>
      <w:r w:rsidRPr="00582D0B">
        <w:rPr>
          <w:rFonts w:cs="Times New Roman"/>
          <w:i/>
          <w:iCs/>
          <w:noProof/>
          <w:szCs w:val="24"/>
        </w:rPr>
        <w:t>Machine Learning Concepts and Applications</w:t>
      </w:r>
      <w:r w:rsidRPr="00582D0B">
        <w:rPr>
          <w:rFonts w:cs="Times New Roman"/>
          <w:noProof/>
          <w:szCs w:val="24"/>
        </w:rPr>
        <w:t>. https://mlca.mm218.dev/2021</w:t>
      </w:r>
    </w:p>
    <w:p w14:paraId="34964437"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McDermott, M. E., Wood, P. B., Miller, G. W., &amp; Simpson, B. T. (2011). Predicting breeding bird occurrence by stand- and microhabitat-scale features in even-aged stands in the Central Appalachians. </w:t>
      </w:r>
      <w:r w:rsidRPr="00582D0B">
        <w:rPr>
          <w:rFonts w:cs="Times New Roman"/>
          <w:i/>
          <w:iCs/>
          <w:noProof/>
          <w:szCs w:val="24"/>
        </w:rPr>
        <w:t>Forest Ecology and Management</w:t>
      </w:r>
      <w:r w:rsidRPr="00582D0B">
        <w:rPr>
          <w:rFonts w:cs="Times New Roman"/>
          <w:noProof/>
          <w:szCs w:val="24"/>
        </w:rPr>
        <w:t xml:space="preserve">, </w:t>
      </w:r>
      <w:r w:rsidRPr="00582D0B">
        <w:rPr>
          <w:rFonts w:cs="Times New Roman"/>
          <w:i/>
          <w:iCs/>
          <w:noProof/>
          <w:szCs w:val="24"/>
        </w:rPr>
        <w:t>261</w:t>
      </w:r>
      <w:r w:rsidRPr="00582D0B">
        <w:rPr>
          <w:rFonts w:cs="Times New Roman"/>
          <w:noProof/>
          <w:szCs w:val="24"/>
        </w:rPr>
        <w:t>(3). https://doi.org/10.1016/j.foreco.2010.10.020</w:t>
      </w:r>
    </w:p>
    <w:p w14:paraId="03C3D0EB"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lastRenderedPageBreak/>
        <w:t xml:space="preserve">Mitchell, M. S., Lancia, R. A., &amp; Gerwin, J. A. (2001). Using landscape-level data to predict the distribution of birds on a managed forest: Effects of scale. </w:t>
      </w:r>
      <w:r w:rsidRPr="00582D0B">
        <w:rPr>
          <w:rFonts w:cs="Times New Roman"/>
          <w:i/>
          <w:iCs/>
          <w:noProof/>
          <w:szCs w:val="24"/>
        </w:rPr>
        <w:t>Ecological Applications</w:t>
      </w:r>
      <w:r w:rsidRPr="00582D0B">
        <w:rPr>
          <w:rFonts w:cs="Times New Roman"/>
          <w:noProof/>
          <w:szCs w:val="24"/>
        </w:rPr>
        <w:t xml:space="preserve">, </w:t>
      </w:r>
      <w:r w:rsidRPr="00582D0B">
        <w:rPr>
          <w:rFonts w:cs="Times New Roman"/>
          <w:i/>
          <w:iCs/>
          <w:noProof/>
          <w:szCs w:val="24"/>
        </w:rPr>
        <w:t>11</w:t>
      </w:r>
      <w:r w:rsidRPr="00582D0B">
        <w:rPr>
          <w:rFonts w:cs="Times New Roman"/>
          <w:noProof/>
          <w:szCs w:val="24"/>
        </w:rPr>
        <w:t>(6). https://doi.org/10.1890/1051-0761(2001)011[1692:ULLDTP]2.0.CO;2</w:t>
      </w:r>
    </w:p>
    <w:p w14:paraId="0A32802C"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R Core Team. (2021). </w:t>
      </w:r>
      <w:r w:rsidRPr="00582D0B">
        <w:rPr>
          <w:rFonts w:cs="Times New Roman"/>
          <w:i/>
          <w:iCs/>
          <w:noProof/>
          <w:szCs w:val="24"/>
        </w:rPr>
        <w:t>R: A Language and Environment for Statistical Computing</w:t>
      </w:r>
      <w:r w:rsidRPr="00582D0B">
        <w:rPr>
          <w:rFonts w:cs="Times New Roman"/>
          <w:noProof/>
          <w:szCs w:val="24"/>
        </w:rPr>
        <w:t>. https://www.r-project.org/</w:t>
      </w:r>
    </w:p>
    <w:p w14:paraId="4E6BBF52"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Reidy, J. L., Thompson, F. R., &amp; Kendrick, S. W. (2014). Breeding bird response to habitat and landscape factors across a gradient of savanna, woodland, and forest in the Missouri Ozarks. </w:t>
      </w:r>
      <w:r w:rsidRPr="00582D0B">
        <w:rPr>
          <w:rFonts w:cs="Times New Roman"/>
          <w:i/>
          <w:iCs/>
          <w:noProof/>
          <w:szCs w:val="24"/>
        </w:rPr>
        <w:t>Forest Ecology and Management</w:t>
      </w:r>
      <w:r w:rsidRPr="00582D0B">
        <w:rPr>
          <w:rFonts w:cs="Times New Roman"/>
          <w:noProof/>
          <w:szCs w:val="24"/>
        </w:rPr>
        <w:t xml:space="preserve">, </w:t>
      </w:r>
      <w:r w:rsidRPr="00582D0B">
        <w:rPr>
          <w:rFonts w:cs="Times New Roman"/>
          <w:i/>
          <w:iCs/>
          <w:noProof/>
          <w:szCs w:val="24"/>
        </w:rPr>
        <w:t>313</w:t>
      </w:r>
      <w:r w:rsidRPr="00582D0B">
        <w:rPr>
          <w:rFonts w:cs="Times New Roman"/>
          <w:noProof/>
          <w:szCs w:val="24"/>
        </w:rPr>
        <w:t>. https://doi.org/10.1016/j.foreco.2013.10.042</w:t>
      </w:r>
    </w:p>
    <w:p w14:paraId="1697947E"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Rodewald, A. D., &amp; Abrams, M. D. (2002). Floristics and avian community structure: Implications for regional changes in eastern forest composition. </w:t>
      </w:r>
      <w:r w:rsidRPr="00582D0B">
        <w:rPr>
          <w:rFonts w:cs="Times New Roman"/>
          <w:i/>
          <w:iCs/>
          <w:noProof/>
          <w:szCs w:val="24"/>
        </w:rPr>
        <w:t>Forest Science</w:t>
      </w:r>
      <w:r w:rsidRPr="00582D0B">
        <w:rPr>
          <w:rFonts w:cs="Times New Roman"/>
          <w:noProof/>
          <w:szCs w:val="24"/>
        </w:rPr>
        <w:t xml:space="preserve">, </w:t>
      </w:r>
      <w:r w:rsidRPr="00582D0B">
        <w:rPr>
          <w:rFonts w:cs="Times New Roman"/>
          <w:i/>
          <w:iCs/>
          <w:noProof/>
          <w:szCs w:val="24"/>
        </w:rPr>
        <w:t>48</w:t>
      </w:r>
      <w:r w:rsidRPr="00582D0B">
        <w:rPr>
          <w:rFonts w:cs="Times New Roman"/>
          <w:noProof/>
          <w:szCs w:val="24"/>
        </w:rPr>
        <w:t>(2). https://doi.org/10.1093/forestscience/48.2.267</w:t>
      </w:r>
    </w:p>
    <w:p w14:paraId="5028683C"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Rosenberg, K. V., Dokter, A. M., Blancher, P. J., Sauer, J. R., Smith, A. C., Smith, P. A., Stanton, J. C., Panjabi, A., Helft, L., Parr, M., &amp; Marra, P. P. (2019). Decline of the North American avifauna. </w:t>
      </w:r>
      <w:r w:rsidRPr="00582D0B">
        <w:rPr>
          <w:rFonts w:cs="Times New Roman"/>
          <w:i/>
          <w:iCs/>
          <w:noProof/>
          <w:szCs w:val="24"/>
        </w:rPr>
        <w:t>Science</w:t>
      </w:r>
      <w:r w:rsidRPr="00582D0B">
        <w:rPr>
          <w:rFonts w:cs="Times New Roman"/>
          <w:noProof/>
          <w:szCs w:val="24"/>
        </w:rPr>
        <w:t xml:space="preserve">, </w:t>
      </w:r>
      <w:r w:rsidRPr="00582D0B">
        <w:rPr>
          <w:rFonts w:cs="Times New Roman"/>
          <w:i/>
          <w:iCs/>
          <w:noProof/>
          <w:szCs w:val="24"/>
        </w:rPr>
        <w:t>366</w:t>
      </w:r>
      <w:r w:rsidRPr="00582D0B">
        <w:rPr>
          <w:rFonts w:cs="Times New Roman"/>
          <w:noProof/>
          <w:szCs w:val="24"/>
        </w:rPr>
        <w:t>(6461). https://doi.org/10.1126/science.aaw1313</w:t>
      </w:r>
    </w:p>
    <w:p w14:paraId="3933A40F"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Shi, Y., Ke, G., Soukhavong, D., Lamb, J., Meng, Q., Finley, T., Wang, T., Chen, W., Ma, W., Ye, Q., Liu, T.-Y., &amp; Titov, N. (2021). </w:t>
      </w:r>
      <w:r w:rsidRPr="00582D0B">
        <w:rPr>
          <w:rFonts w:cs="Times New Roman"/>
          <w:i/>
          <w:iCs/>
          <w:noProof/>
          <w:szCs w:val="24"/>
        </w:rPr>
        <w:t>lightgbm: Light Gradient Boosting Machine</w:t>
      </w:r>
      <w:r w:rsidRPr="00582D0B">
        <w:rPr>
          <w:rFonts w:cs="Times New Roman"/>
          <w:noProof/>
          <w:szCs w:val="24"/>
        </w:rPr>
        <w:t>. https://cran.r-project.org/package=lightgbm</w:t>
      </w:r>
    </w:p>
    <w:p w14:paraId="0D299A43"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Therneau, T., &amp; Atkinson, B. (2019). </w:t>
      </w:r>
      <w:r w:rsidRPr="00582D0B">
        <w:rPr>
          <w:rFonts w:cs="Times New Roman"/>
          <w:i/>
          <w:iCs/>
          <w:noProof/>
          <w:szCs w:val="24"/>
        </w:rPr>
        <w:t>rpart: Recursive Partitioning and Regression Trees</w:t>
      </w:r>
      <w:r w:rsidRPr="00582D0B">
        <w:rPr>
          <w:rFonts w:cs="Times New Roman"/>
          <w:noProof/>
          <w:szCs w:val="24"/>
        </w:rPr>
        <w:t>. https://cran.r-project.org/package=rpart</w:t>
      </w:r>
    </w:p>
    <w:p w14:paraId="100FA268" w14:textId="77777777" w:rsidR="00582D0B" w:rsidRPr="00582D0B" w:rsidRDefault="00582D0B" w:rsidP="00582D0B">
      <w:pPr>
        <w:widowControl w:val="0"/>
        <w:autoSpaceDE w:val="0"/>
        <w:autoSpaceDN w:val="0"/>
        <w:adjustRightInd w:val="0"/>
        <w:spacing w:line="240" w:lineRule="auto"/>
        <w:ind w:left="480" w:hanging="480"/>
        <w:rPr>
          <w:rFonts w:cs="Times New Roman"/>
          <w:noProof/>
          <w:szCs w:val="24"/>
        </w:rPr>
      </w:pPr>
      <w:r w:rsidRPr="00582D0B">
        <w:rPr>
          <w:rFonts w:cs="Times New Roman"/>
          <w:noProof/>
          <w:szCs w:val="24"/>
        </w:rPr>
        <w:t xml:space="preserve">West, B. M. (2020). </w:t>
      </w:r>
      <w:r w:rsidRPr="00582D0B">
        <w:rPr>
          <w:rFonts w:cs="Times New Roman"/>
          <w:i/>
          <w:iCs/>
          <w:noProof/>
          <w:szCs w:val="24"/>
        </w:rPr>
        <w:t>Bird-habitat relationships in southern Iowa forests</w:t>
      </w:r>
      <w:r w:rsidRPr="00582D0B">
        <w:rPr>
          <w:rFonts w:cs="Times New Roman"/>
          <w:noProof/>
          <w:szCs w:val="24"/>
        </w:rPr>
        <w:t>. Iowa State University, Ames, IA.</w:t>
      </w:r>
    </w:p>
    <w:p w14:paraId="42D62DBF" w14:textId="77777777" w:rsidR="00582D0B" w:rsidRPr="00582D0B" w:rsidRDefault="00582D0B" w:rsidP="00582D0B">
      <w:pPr>
        <w:widowControl w:val="0"/>
        <w:autoSpaceDE w:val="0"/>
        <w:autoSpaceDN w:val="0"/>
        <w:adjustRightInd w:val="0"/>
        <w:spacing w:line="240" w:lineRule="auto"/>
        <w:ind w:left="480" w:hanging="480"/>
        <w:rPr>
          <w:rFonts w:cs="Times New Roman"/>
          <w:noProof/>
        </w:rPr>
      </w:pPr>
      <w:r w:rsidRPr="00582D0B">
        <w:rPr>
          <w:rFonts w:cs="Times New Roman"/>
          <w:noProof/>
          <w:szCs w:val="24"/>
        </w:rPr>
        <w:t xml:space="preserve">Wright, M. N., &amp; Ziegler, A. (2017). {ranger}: A Fast Implementation of Random Forests for High Dimensional Data in {C++} and {R}. </w:t>
      </w:r>
      <w:r w:rsidRPr="00582D0B">
        <w:rPr>
          <w:rFonts w:cs="Times New Roman"/>
          <w:i/>
          <w:iCs/>
          <w:noProof/>
          <w:szCs w:val="24"/>
        </w:rPr>
        <w:t>Journal of Statistical Software</w:t>
      </w:r>
      <w:r w:rsidRPr="00582D0B">
        <w:rPr>
          <w:rFonts w:cs="Times New Roman"/>
          <w:noProof/>
          <w:szCs w:val="24"/>
        </w:rPr>
        <w:t xml:space="preserve">, </w:t>
      </w:r>
      <w:r w:rsidRPr="00582D0B">
        <w:rPr>
          <w:rFonts w:cs="Times New Roman"/>
          <w:i/>
          <w:iCs/>
          <w:noProof/>
          <w:szCs w:val="24"/>
        </w:rPr>
        <w:t>77</w:t>
      </w:r>
      <w:r w:rsidRPr="00582D0B">
        <w:rPr>
          <w:rFonts w:cs="Times New Roman"/>
          <w:noProof/>
          <w:szCs w:val="24"/>
        </w:rPr>
        <w:t>(1), 1–17. https://doi.org/10.18637/jss.v077.i01</w:t>
      </w:r>
    </w:p>
    <w:p w14:paraId="1A985699" w14:textId="53BA2608" w:rsidR="004740B3" w:rsidRPr="004740B3" w:rsidRDefault="004740B3" w:rsidP="004740B3">
      <w:r>
        <w:fldChar w:fldCharType="end"/>
      </w:r>
    </w:p>
    <w:p w14:paraId="7DAFF47E" w14:textId="77777777" w:rsidR="004740B3" w:rsidRPr="00F91451" w:rsidRDefault="004740B3" w:rsidP="00F91451"/>
    <w:sectPr w:rsidR="004740B3" w:rsidRPr="00F9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5E43"/>
    <w:rsid w:val="00042CF5"/>
    <w:rsid w:val="00074166"/>
    <w:rsid w:val="00086DBC"/>
    <w:rsid w:val="000D1381"/>
    <w:rsid w:val="00161476"/>
    <w:rsid w:val="001755F8"/>
    <w:rsid w:val="00302568"/>
    <w:rsid w:val="003152B1"/>
    <w:rsid w:val="00315CFE"/>
    <w:rsid w:val="00367111"/>
    <w:rsid w:val="00385671"/>
    <w:rsid w:val="00442362"/>
    <w:rsid w:val="004740B3"/>
    <w:rsid w:val="00536803"/>
    <w:rsid w:val="00570022"/>
    <w:rsid w:val="00574DBE"/>
    <w:rsid w:val="00582D0B"/>
    <w:rsid w:val="005A1328"/>
    <w:rsid w:val="0067405F"/>
    <w:rsid w:val="006D6687"/>
    <w:rsid w:val="006E1A98"/>
    <w:rsid w:val="006F7301"/>
    <w:rsid w:val="00753298"/>
    <w:rsid w:val="007B7C70"/>
    <w:rsid w:val="007C4C77"/>
    <w:rsid w:val="00805173"/>
    <w:rsid w:val="0091150A"/>
    <w:rsid w:val="009873F4"/>
    <w:rsid w:val="00A05E43"/>
    <w:rsid w:val="00AA2F40"/>
    <w:rsid w:val="00B87A22"/>
    <w:rsid w:val="00D81C71"/>
    <w:rsid w:val="00DE7F00"/>
    <w:rsid w:val="00DF31E1"/>
    <w:rsid w:val="00E420B3"/>
    <w:rsid w:val="00E95C01"/>
    <w:rsid w:val="00EF7553"/>
    <w:rsid w:val="00F87723"/>
    <w:rsid w:val="00F9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52A8"/>
  <w15:docId w15:val="{8BF694B5-3D51-483D-98D3-32F125F6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66"/>
    <w:rPr>
      <w:rFonts w:ascii="Times New Roman" w:hAnsi="Times New Roman"/>
      <w:sz w:val="24"/>
    </w:rPr>
  </w:style>
  <w:style w:type="paragraph" w:styleId="Heading1">
    <w:name w:val="heading 1"/>
    <w:basedOn w:val="Normal"/>
    <w:next w:val="Normal"/>
    <w:link w:val="Heading1Char"/>
    <w:uiPriority w:val="9"/>
    <w:qFormat/>
    <w:rsid w:val="0007416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74166"/>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B87A22"/>
    <w:pPr>
      <w:keepNext/>
      <w:keepLines/>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semiHidden/>
    <w:unhideWhenUsed/>
    <w:qFormat/>
    <w:rsid w:val="00E420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166"/>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074166"/>
    <w:rPr>
      <w:rFonts w:ascii="Times New Roman" w:eastAsiaTheme="majorEastAsia" w:hAnsi="Times New Roman" w:cstheme="majorBidi"/>
      <w:b/>
      <w:spacing w:val="-10"/>
      <w:kern w:val="28"/>
      <w:sz w:val="24"/>
      <w:szCs w:val="56"/>
    </w:rPr>
  </w:style>
  <w:style w:type="paragraph" w:styleId="NoSpacing">
    <w:name w:val="No Spacing"/>
    <w:uiPriority w:val="1"/>
    <w:qFormat/>
    <w:rsid w:val="000741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7416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74166"/>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B87A22"/>
    <w:rPr>
      <w:rFonts w:ascii="Times New Roman" w:eastAsiaTheme="majorEastAsia" w:hAnsi="Times New Roman" w:cstheme="majorBidi"/>
      <w:sz w:val="24"/>
      <w:szCs w:val="24"/>
      <w:u w:val="single"/>
    </w:rPr>
  </w:style>
  <w:style w:type="table" w:styleId="TableGrid">
    <w:name w:val="Table Grid"/>
    <w:basedOn w:val="TableNormal"/>
    <w:uiPriority w:val="39"/>
    <w:rsid w:val="00E4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420B3"/>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0230C-C155-453B-9249-1B858FE6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6439</TotalTime>
  <Pages>5</Pages>
  <Words>5467</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dc:creator>
  <cp:keywords/>
  <dc:description/>
  <cp:lastModifiedBy>Benjamin West</cp:lastModifiedBy>
  <cp:revision>2</cp:revision>
  <dcterms:created xsi:type="dcterms:W3CDTF">2021-11-11T23:25:00Z</dcterms:created>
  <dcterms:modified xsi:type="dcterms:W3CDTF">2021-11-17T20:02:00Z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531ce85c-9f8c-3220-b0f1-1d4d49470905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