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34886" w14:textId="1732EB20" w:rsidR="007B7C70" w:rsidRDefault="007B7C70" w:rsidP="00943553">
      <w:pPr>
        <w:spacing w:line="480" w:lineRule="auto"/>
        <w:jc w:val="center"/>
        <w:rPr>
          <w:b/>
          <w:bCs/>
        </w:rPr>
      </w:pPr>
      <w:r w:rsidRPr="007B7C70">
        <w:rPr>
          <w:b/>
          <w:bCs/>
        </w:rPr>
        <w:t xml:space="preserve">Predicting Acadian </w:t>
      </w:r>
      <w:r w:rsidR="003D47CE">
        <w:rPr>
          <w:b/>
          <w:bCs/>
        </w:rPr>
        <w:t>Flyc</w:t>
      </w:r>
      <w:r w:rsidRPr="007B7C70">
        <w:rPr>
          <w:b/>
          <w:bCs/>
        </w:rPr>
        <w:t>atcher</w:t>
      </w:r>
      <w:r w:rsidR="00DE7F00">
        <w:rPr>
          <w:b/>
          <w:bCs/>
        </w:rPr>
        <w:t xml:space="preserve"> (</w:t>
      </w:r>
      <w:r w:rsidR="00DE7F00">
        <w:rPr>
          <w:b/>
          <w:bCs/>
          <w:i/>
          <w:iCs/>
        </w:rPr>
        <w:t xml:space="preserve">Empidonax </w:t>
      </w:r>
      <w:proofErr w:type="spellStart"/>
      <w:r w:rsidR="00DE7F00">
        <w:rPr>
          <w:b/>
          <w:bCs/>
          <w:i/>
          <w:iCs/>
        </w:rPr>
        <w:t>virescens</w:t>
      </w:r>
      <w:proofErr w:type="spellEnd"/>
      <w:r w:rsidR="00DE7F00">
        <w:rPr>
          <w:b/>
          <w:bCs/>
        </w:rPr>
        <w:t>)</w:t>
      </w:r>
      <w:r w:rsidRPr="007B7C70">
        <w:rPr>
          <w:b/>
          <w:bCs/>
        </w:rPr>
        <w:t xml:space="preserve"> </w:t>
      </w:r>
      <w:r w:rsidR="003D47CE">
        <w:rPr>
          <w:b/>
          <w:bCs/>
        </w:rPr>
        <w:t>territory locations</w:t>
      </w:r>
      <w:r w:rsidRPr="007B7C70">
        <w:rPr>
          <w:b/>
          <w:bCs/>
        </w:rPr>
        <w:t xml:space="preserve"> in Iowan forests</w:t>
      </w:r>
    </w:p>
    <w:p w14:paraId="52EC27BC" w14:textId="7E85000F" w:rsidR="00AD0BDB" w:rsidRPr="00AD0BDB" w:rsidRDefault="00AD0BDB" w:rsidP="00943553">
      <w:pPr>
        <w:spacing w:line="480" w:lineRule="auto"/>
        <w:jc w:val="center"/>
      </w:pPr>
      <w:r w:rsidRPr="00AD0BDB">
        <w:t>Benjamin M West</w:t>
      </w:r>
    </w:p>
    <w:p w14:paraId="69E5EB57" w14:textId="34825853" w:rsidR="003D47CE" w:rsidRPr="003D47CE" w:rsidRDefault="00AD0BDB" w:rsidP="003D47CE">
      <w:pPr>
        <w:pStyle w:val="Heading1"/>
        <w:spacing w:line="480" w:lineRule="auto"/>
      </w:pPr>
      <w:r>
        <w:t>Abstract</w:t>
      </w:r>
    </w:p>
    <w:p w14:paraId="25B0C053" w14:textId="2776FCAE" w:rsidR="003D47CE" w:rsidRPr="003D47CE" w:rsidRDefault="003D47CE" w:rsidP="00432516">
      <w:pPr>
        <w:spacing w:line="480" w:lineRule="auto"/>
        <w:ind w:firstLine="720"/>
        <w:rPr>
          <w:noProof/>
        </w:rPr>
      </w:pPr>
      <w:r>
        <w:t>The Acadian flycatcher (</w:t>
      </w:r>
      <w:r w:rsidRPr="003D47CE">
        <w:rPr>
          <w:i/>
          <w:iCs/>
        </w:rPr>
        <w:t xml:space="preserve">Empidonax </w:t>
      </w:r>
      <w:proofErr w:type="spellStart"/>
      <w:r w:rsidRPr="003D47CE">
        <w:rPr>
          <w:i/>
          <w:iCs/>
        </w:rPr>
        <w:t>virescens</w:t>
      </w:r>
      <w:proofErr w:type="spellEnd"/>
      <w:r>
        <w:t xml:space="preserve">) is </w:t>
      </w:r>
      <w:r w:rsidR="00152B45">
        <w:t>a forest-dwelling bird that is a</w:t>
      </w:r>
      <w:r>
        <w:t xml:space="preserve"> </w:t>
      </w:r>
      <w:r>
        <w:rPr>
          <w:noProof/>
        </w:rPr>
        <w:t>Species of Greatest Conservation Need</w:t>
      </w:r>
      <w:r w:rsidR="00152B45">
        <w:rPr>
          <w:noProof/>
        </w:rPr>
        <w:t xml:space="preserve"> in Iowa, USA. This designation means that the ability to predict territory locations for this species could be useful for spatially targeting management and conservation activities. </w:t>
      </w:r>
      <w:r w:rsidR="007227CC">
        <w:rPr>
          <w:noProof/>
        </w:rPr>
        <w:t>The goal of this project was to compare the abilities of three types of model to predict the presence of Acadian flycatcher territories</w:t>
      </w:r>
      <w:r w:rsidR="00432516">
        <w:rPr>
          <w:noProof/>
        </w:rPr>
        <w:t>; each model employed</w:t>
      </w:r>
      <w:r w:rsidR="00D71BC1">
        <w:rPr>
          <w:noProof/>
        </w:rPr>
        <w:t xml:space="preserve"> 17</w:t>
      </w:r>
      <w:r w:rsidR="007227CC">
        <w:rPr>
          <w:noProof/>
        </w:rPr>
        <w:t xml:space="preserve"> habitat metrics as predictors. </w:t>
      </w:r>
      <w:r w:rsidR="00152B45">
        <w:rPr>
          <w:noProof/>
        </w:rPr>
        <w:t xml:space="preserve">Using bird point count data and habitat metrics at 493 collected in forested areas in south-central Iowa in 2019, I created and tuned </w:t>
      </w:r>
      <w:r w:rsidR="007227CC">
        <w:rPr>
          <w:noProof/>
        </w:rPr>
        <w:t xml:space="preserve">a classification decision tree, a </w:t>
      </w:r>
      <w:r w:rsidR="006E179B">
        <w:rPr>
          <w:noProof/>
        </w:rPr>
        <w:t xml:space="preserve">random forest, </w:t>
      </w:r>
      <w:r w:rsidR="007227CC">
        <w:rPr>
          <w:noProof/>
        </w:rPr>
        <w:t xml:space="preserve">and a </w:t>
      </w:r>
      <w:r w:rsidR="006E179B">
        <w:rPr>
          <w:noProof/>
        </w:rPr>
        <w:t xml:space="preserve">stochastic gradient boosting machine (LightGBM) </w:t>
      </w:r>
      <w:r w:rsidR="007227CC">
        <w:rPr>
          <w:noProof/>
        </w:rPr>
        <w:t xml:space="preserve">for comparison. Models were compared using </w:t>
      </w:r>
      <w:r w:rsidR="006E179B">
        <w:rPr>
          <w:noProof/>
        </w:rPr>
        <w:t xml:space="preserve">a hold-out set and were assessed with </w:t>
      </w:r>
      <w:r w:rsidR="007227CC">
        <w:rPr>
          <w:noProof/>
        </w:rPr>
        <w:t xml:space="preserve">overall accuracy, </w:t>
      </w:r>
      <w:r w:rsidR="006E179B">
        <w:rPr>
          <w:noProof/>
        </w:rPr>
        <w:t>sensitivity, specificity, and AUC</w:t>
      </w:r>
      <w:r w:rsidR="007227CC">
        <w:rPr>
          <w:noProof/>
        </w:rPr>
        <w:t xml:space="preserve">. </w:t>
      </w:r>
      <w:r w:rsidR="006E179B">
        <w:rPr>
          <w:noProof/>
        </w:rPr>
        <w:t xml:space="preserve">All model </w:t>
      </w:r>
      <w:r w:rsidR="00432516">
        <w:rPr>
          <w:noProof/>
        </w:rPr>
        <w:t>types had similar, fairly high accuracy; t</w:t>
      </w:r>
      <w:r w:rsidR="007227CC">
        <w:rPr>
          <w:noProof/>
        </w:rPr>
        <w:t>he decision tree and random forest models tied for highest accuracy</w:t>
      </w:r>
      <w:r w:rsidR="006E179B">
        <w:rPr>
          <w:noProof/>
        </w:rPr>
        <w:t xml:space="preserve"> (0.788)</w:t>
      </w:r>
      <w:r w:rsidR="00432516">
        <w:rPr>
          <w:noProof/>
        </w:rPr>
        <w:t>, and the LightGBM had the lowest accuracy (0.768)</w:t>
      </w:r>
      <w:r w:rsidR="006E179B">
        <w:rPr>
          <w:noProof/>
        </w:rPr>
        <w:t>. T</w:t>
      </w:r>
      <w:r w:rsidR="007227CC">
        <w:rPr>
          <w:noProof/>
        </w:rPr>
        <w:t xml:space="preserve">he decision tree model had the highest </w:t>
      </w:r>
      <w:r w:rsidR="006E179B">
        <w:rPr>
          <w:noProof/>
        </w:rPr>
        <w:t>sensitivity (</w:t>
      </w:r>
      <w:r w:rsidR="006E179B" w:rsidRPr="006E179B">
        <w:rPr>
          <w:noProof/>
        </w:rPr>
        <w:t>0.846</w:t>
      </w:r>
      <w:r w:rsidR="006E179B">
        <w:rPr>
          <w:noProof/>
        </w:rPr>
        <w:t>)</w:t>
      </w:r>
      <w:r w:rsidR="007227CC">
        <w:rPr>
          <w:noProof/>
        </w:rPr>
        <w:t xml:space="preserve">, and the </w:t>
      </w:r>
      <w:r w:rsidR="006E179B">
        <w:rPr>
          <w:noProof/>
        </w:rPr>
        <w:t>random forest model had highest specificity (</w:t>
      </w:r>
      <w:r w:rsidR="006E179B" w:rsidRPr="00CA038C">
        <w:rPr>
          <w:sz w:val="22"/>
        </w:rPr>
        <w:t>0.8</w:t>
      </w:r>
      <w:r w:rsidR="00432516">
        <w:rPr>
          <w:sz w:val="22"/>
        </w:rPr>
        <w:t>36</w:t>
      </w:r>
      <w:r w:rsidR="006E179B">
        <w:rPr>
          <w:noProof/>
        </w:rPr>
        <w:t>) and largest AUC (</w:t>
      </w:r>
      <w:r w:rsidR="00432516">
        <w:rPr>
          <w:noProof/>
        </w:rPr>
        <w:t>0.899</w:t>
      </w:r>
      <w:r w:rsidR="006E179B">
        <w:rPr>
          <w:noProof/>
        </w:rPr>
        <w:t xml:space="preserve">). The combination of high accuracy, high sensitivity, and </w:t>
      </w:r>
      <w:r w:rsidR="00D71BC1">
        <w:rPr>
          <w:noProof/>
        </w:rPr>
        <w:t>greater</w:t>
      </w:r>
      <w:r w:rsidR="00432516">
        <w:rPr>
          <w:noProof/>
        </w:rPr>
        <w:t xml:space="preserve"> interpretablity of the decision tree model made it the most preferable model in the set, but larger bird point count datasets may still benefit from more complex machine learning methods.</w:t>
      </w:r>
    </w:p>
    <w:p w14:paraId="63E019DE" w14:textId="20F16128" w:rsidR="007B7C70" w:rsidRDefault="00DF31E1" w:rsidP="00943553">
      <w:pPr>
        <w:pStyle w:val="Heading1"/>
        <w:spacing w:line="480" w:lineRule="auto"/>
      </w:pPr>
      <w:r>
        <w:t xml:space="preserve">1. </w:t>
      </w:r>
      <w:r w:rsidR="007B7C70">
        <w:t>Introduction</w:t>
      </w:r>
    </w:p>
    <w:p w14:paraId="1C3A4151" w14:textId="4CCC7688" w:rsidR="007B7C70" w:rsidRDefault="005A1328" w:rsidP="00943553">
      <w:pPr>
        <w:spacing w:line="480" w:lineRule="auto"/>
        <w:ind w:firstLine="720"/>
      </w:pPr>
      <w:r>
        <w:rPr>
          <w:noProof/>
        </w:rPr>
        <w:t xml:space="preserve">Breeding site selection for forest birds is </w:t>
      </w:r>
      <w:r w:rsidR="00753298">
        <w:rPr>
          <w:noProof/>
        </w:rPr>
        <w:t xml:space="preserve">driven </w:t>
      </w:r>
      <w:r>
        <w:rPr>
          <w:noProof/>
        </w:rPr>
        <w:t>by habit</w:t>
      </w:r>
      <w:r w:rsidR="00F87723">
        <w:rPr>
          <w:noProof/>
        </w:rPr>
        <w:t xml:space="preserve">at, leading to associations of different birds with different habitat characteristics </w:t>
      </w:r>
      <w:r w:rsidR="00F87723">
        <w:rPr>
          <w:noProof/>
        </w:rPr>
        <w:fldChar w:fldCharType="begin" w:fldLock="1"/>
      </w:r>
      <w:r w:rsidR="00943553">
        <w:rPr>
          <w:noProof/>
        </w:rPr>
        <w:instrText>ADDIN CSL_CITATION {"citationItems":[{"id":"ITEM-1","itemData":{"author":[{"dropping-particle":"","family":"MacArthur","given":"Robert H","non-dropping-particle":"","parse-names":false,"suffix":""},{"dropping-particle":"","family":"MacArthur","given":"John W","non-dropping-particle":"","parse-names":false,"suffix":""}],"container-title":"Ecology","id":"ITEM-1","issue":"3","issued":{"date-parts":[["1961"]]},"page":"594-598","publisher":"Wiley Online Library","title":"On bird species diversity","type":"article-journal","volume":"42"},"uris":["http://www.mendeley.com/documents/?uuid=755f2dcd-9259-46d2-b851-e8ee4486d870"]}],"mendeley":{"formattedCitation":"(MacArthur &amp; MacArthur, 1961)","plainTextFormattedCitation":"(MacArthur &amp; MacArthur, 1961)","previouslyFormattedCitation":"(MacArthur &amp; MacArthur, 1961)"},"properties":{"noteIndex":0},"schema":"https://github.com/citation-style-language/schema/raw/master/csl-citation.json"}</w:instrText>
      </w:r>
      <w:r w:rsidR="00F87723">
        <w:rPr>
          <w:noProof/>
        </w:rPr>
        <w:fldChar w:fldCharType="separate"/>
      </w:r>
      <w:r w:rsidR="00F87723" w:rsidRPr="00F87723">
        <w:rPr>
          <w:noProof/>
        </w:rPr>
        <w:t>(MacArthur &amp; MacArthur, 1961)</w:t>
      </w:r>
      <w:r w:rsidR="00F87723">
        <w:rPr>
          <w:noProof/>
        </w:rPr>
        <w:fldChar w:fldCharType="end"/>
      </w:r>
      <w:r w:rsidR="00F87723">
        <w:rPr>
          <w:noProof/>
        </w:rPr>
        <w:t xml:space="preserve">. </w:t>
      </w:r>
      <w:r w:rsidR="00E95C01">
        <w:rPr>
          <w:noProof/>
        </w:rPr>
        <w:t xml:space="preserve">Forest </w:t>
      </w:r>
      <w:r w:rsidR="00E95C01">
        <w:rPr>
          <w:noProof/>
        </w:rPr>
        <w:lastRenderedPageBreak/>
        <w:t>bird-h</w:t>
      </w:r>
      <w:r w:rsidR="00F87723">
        <w:rPr>
          <w:noProof/>
        </w:rPr>
        <w:t xml:space="preserve">abitat associations encompass a range of spatial scale, from landscape scale forest cover to vegetation structure and florisitics at a site </w:t>
      </w:r>
      <w:r w:rsidR="00F87723">
        <w:rPr>
          <w:noProof/>
        </w:rPr>
        <w:fldChar w:fldCharType="begin" w:fldLock="1"/>
      </w:r>
      <w:r w:rsidR="00943553">
        <w:rPr>
          <w:noProof/>
        </w:rPr>
        <w:instrText>ADDIN CSL_CITATION {"citationItems":[{"id":"ITEM-1","itemData":{"author":[{"dropping-particle":"","family":"Reidy","given":"Jennifer L","non-dropping-particle":"","parse-names":false,"suffix":""},{"dropping-particle":"","family":"Thompson III","given":"Frank R","non-dropping-particle":"","parse-names":false,"suffix":""},{"dropping-particle":"","family":"Kendrick","given":"Sarah W","non-dropping-particle":"","parse-names":false,"suffix":""}],"container-title":"Forest Ecology and Management","id":"ITEM-1","issued":{"date-parts":[["2014"]]},"page":"34-46","publisher":"Elsevier","title":"Breeding bird response to habitat and landscape factors across a gradient of savanna, woodland, and forest in the Missouri Ozarks","type":"article-journal","volume":"313"},"uris":["http://www.mendeley.com/documents/?uuid=8020fbe3-3ff2-4608-89ff-e5c13872eb6c"]},{"id":"ITEM-2","itemData":{"author":[{"dropping-particle":"","family":"Rodewald","given":"Amanda D","non-dropping-particle":"","parse-names":false,"suffix":""},{"dropping-particle":"","family":"Abrams","given":"Marc D","non-dropping-particle":"","parse-names":false,"suffix":""}],"container-title":"Forest Science","id":"ITEM-2","issue":"2","issued":{"date-parts":[["2002"]]},"page":"267-272","publisher":"Oxford University Press","title":"Floristics and avian community structure: implications for regional changes in eastern forest composition","type":"article-journal","volume":"48"},"uris":["http://www.mendeley.com/documents/?uuid=d7072e03-9bc5-423d-8edd-ccf86da42fee"]},{"id":"ITEM-3","itemData":{"author":[{"dropping-particle":"","family":"Bakermans","given":"Marja H","non-dropping-particle":"","parse-names":false,"suffix":""},{"dropping-particle":"","family":"Rodewald","given":"Amanda D","non-dropping-particle":"","parse-names":false,"suffix":""}],"container-title":"The Auk","id":"ITEM-3","issue":"2","issued":{"date-parts":[["2006"]]},"page":"368-382","publisher":"Oxford University Press","title":"Scale-Dependent Habitat use of Acadian Flycatcher (Empidonax virescens) in Central Ohio","type":"article-journal","volume":"123"},"uris":["http://www.mendeley.com/documents/?uuid=eaeffc9b-fba7-4a1a-aad6-14f6e7eec68c"]}],"mendeley":{"formattedCitation":"(Bakermans &amp; Rodewald, 2006; Reidy et al., 2014; Rodewald &amp; Abrams, 2002)","plainTextFormattedCitation":"(Bakermans &amp; Rodewald, 2006; Reidy et al., 2014; Rodewald &amp; Abrams, 2002)","previouslyFormattedCitation":"(Bakermans &amp; Rodewald, 2006; Reidy et al., 2014; Rodewald &amp; Abrams, 2002)"},"properties":{"noteIndex":0},"schema":"https://github.com/citation-style-language/schema/raw/master/csl-citation.json"}</w:instrText>
      </w:r>
      <w:r w:rsidR="00F87723">
        <w:rPr>
          <w:noProof/>
        </w:rPr>
        <w:fldChar w:fldCharType="separate"/>
      </w:r>
      <w:r w:rsidR="00F87723" w:rsidRPr="00F87723">
        <w:rPr>
          <w:noProof/>
        </w:rPr>
        <w:t>(Bakermans &amp; Rodewald, 2006; Reidy et al., 2014; Rodewald &amp; Abrams, 2002)</w:t>
      </w:r>
      <w:r w:rsidR="00F87723">
        <w:rPr>
          <w:noProof/>
        </w:rPr>
        <w:fldChar w:fldCharType="end"/>
      </w:r>
      <w:r>
        <w:rPr>
          <w:noProof/>
        </w:rPr>
        <w:t xml:space="preserve">. </w:t>
      </w:r>
      <w:r w:rsidR="00086DBC">
        <w:rPr>
          <w:noProof/>
        </w:rPr>
        <w:t xml:space="preserve">Using habitat metrics at a variety of spatial scales, it is possible to predict the presence of different forest bird species at a site </w:t>
      </w:r>
      <w:r w:rsidR="00086DBC">
        <w:rPr>
          <w:noProof/>
        </w:rPr>
        <w:fldChar w:fldCharType="begin" w:fldLock="1"/>
      </w:r>
      <w:r w:rsidR="00943553">
        <w:rPr>
          <w:noProof/>
        </w:rPr>
        <w:instrText>ADDIN CSL_CITATION {"citationItems":[{"id":"ITEM-1","itemData":{"DOI":"10.1016/j.foreco.2010.10.020","ISSN":"03781127","abstract":"Spatial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Management","id":"ITEM-1","issue":"3","issued":{"date-parts":[["2011"]]},"title":"Predicting breeding bird occurrence by stand- and microhabitat-scale features in even-aged stands in the Central Appalachians","type":"article-journal","volume":"261"},"uris":["http://www.mendeley.com/documents/?uuid=ec69b2bd-3b7d-3583-a6c6-70aca98823db","http://www.mendeley.com/documents/?uuid=9aec572b-4081-43cd-b0fe-7ad158b63d82"]},{"id":"ITEM-2","itemData":{"DOI":"10.1890/1051-0761(2001)011[1692:ULLDTP]2.0.CO;2","ISSN":"10510761","abstract":"Selection of scale is critical when investigating ecological processes on landscapes because different patterns emerge in spatial data at different scales. Landscape studies commonly identify a single scale, or spatial extent of data, for assessing broad-scale habitat characteristics, without regard for the sensitivity of spatial data to the scale at which they are measured. An incorrect selection of scale can lead to misleading or erroneous inferences about how animals are associated with coarse-grained habitat characteristics. We developed and compared three statistical models for predicting presence of selected bird species inhabiting a managed forest in South Carolina: a model based only on microhabitat characteristics, a model based only on landscape characteristics (summary statistics of forest age and type calculated at different spatial scales) derived from GIS data, and a model that combined microhabitat and landscape characteristics. In general, landscape models (Somer's D = 0.61 ± 0.16; mean ± 1 SD) worked as well as microhabitat models (D = 0.61 ± 0.14), and combining the two types provided only a slight improvement in the explanatory ability of the models (D = 0.62 ± 0.18). Models for Neotropical and short-distance migrants had the highest fit to field data, whereas models for resident species had relatively poor fit. We refined our landscape models according to known or hypothesized information from the literature to improve their generality, and we tested their ability to predict presence of the same species on a second, independent data set collected on a different managed forest nearby in South Carolina. In general, landscape models were able to predict the distribution of selected birds on the second forest well (D = 0.46 ± 0.32), although overall model fit was somewhat lower than for the first forest (D = 0.61 ± 0.16). Model fit was greatest for Neotropical and short-distance migrants, and poorest for residents. Model fit did not vary according to successional status, but did vary with habitat specialization; model fit was highest for habitat specialists and lowest for generalists. Our results suggest that, in general, coarse landscape characteristics are most important to migratory bird species that are limited in the number of habitats they can use for breeding. For species with adequate fit of landscape models, we assessed relationships between landscape scales associated with habitat variables within each model and ecological char…","author":[{"dropping-particle":"","family":"Mitchell","given":"Michael S.","non-dropping-particle":"","parse-names":false,"suffix":""},{"dropping-particle":"","family":"Lancia","given":"Richard A.","non-dropping-particle":"","parse-names":false,"suffix":""},{"dropping-particle":"","family":"Gerwin","given":"John A.","non-dropping-particle":"","parse-names":false,"suffix":""}],"container-title":"Ecological Applications","id":"ITEM-2","issue":"6","issued":{"date-parts":[["2001"]]},"title":"Using landscape-level data to predict the distribution of birds on a managed forest: Effects of scale","type":"article-journal","volume":"11"},"uris":["http://www.mendeley.com/documents/?uuid=5d68736f-347c-3882-b92a-775abcf7c86e","http://www.mendeley.com/documents/?uuid=6f50cd44-a5b8-4fec-98f8-e5dda4fcfd5c"]}],"mendeley":{"formattedCitation":"(McDermott et al., 2011; Mitchell et al., 2001)","plainTextFormattedCitation":"(McDermott et al., 2011; Mitchell et al., 2001)","previouslyFormattedCitation":"(McDermott et al., 2011; Mitchell et al., 2001)"},"properties":{"noteIndex":0},"schema":"https://github.com/citation-style-language/schema/raw/master/csl-citation.json"}</w:instrText>
      </w:r>
      <w:r w:rsidR="00086DBC">
        <w:rPr>
          <w:noProof/>
        </w:rPr>
        <w:fldChar w:fldCharType="separate"/>
      </w:r>
      <w:r w:rsidR="00086DBC" w:rsidRPr="000D1381">
        <w:rPr>
          <w:noProof/>
        </w:rPr>
        <w:t>(McDermott et al., 2011; Mitchell et al., 2001)</w:t>
      </w:r>
      <w:r w:rsidR="00086DBC">
        <w:rPr>
          <w:noProof/>
        </w:rPr>
        <w:fldChar w:fldCharType="end"/>
      </w:r>
      <w:r w:rsidR="00086DBC">
        <w:rPr>
          <w:noProof/>
        </w:rPr>
        <w:t xml:space="preserve">. </w:t>
      </w:r>
      <w:r w:rsidR="00E95C01">
        <w:t>I</w:t>
      </w:r>
      <w:r w:rsidR="00E95C01" w:rsidRPr="00167FD1">
        <w:t>n North American</w:t>
      </w:r>
      <w:r w:rsidR="00E95C01">
        <w:t xml:space="preserve">, </w:t>
      </w:r>
      <w:r w:rsidR="00E95C01" w:rsidRPr="00167FD1">
        <w:t>forest bird</w:t>
      </w:r>
      <w:r w:rsidR="00E95C01">
        <w:t xml:space="preserve"> populations</w:t>
      </w:r>
      <w:r w:rsidR="00E95C01" w:rsidRPr="00167FD1">
        <w:t xml:space="preserve"> have declined by </w:t>
      </w:r>
      <w:r w:rsidR="00E95C01">
        <w:t>almost</w:t>
      </w:r>
      <w:r w:rsidR="00E95C01" w:rsidRPr="00167FD1">
        <w:t xml:space="preserve"> 20% in recent decades </w:t>
      </w:r>
      <w:r w:rsidR="00E95C01">
        <w:fldChar w:fldCharType="begin" w:fldLock="1"/>
      </w:r>
      <w:r w:rsidR="00943553">
        <w:instrText>ADDIN CSL_CITATION {"citationItems":[{"id":"ITEM-1","itemData":{"author":[{"dropping-particle":"V","family":"Rosenberg","given":"Kenneth","non-dropping-particle":"","parse-names":false,"suffix":""},{"dropping-particle":"","family":"Dokter","given":"Adriaan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others","given":"","non-dropping-particle":"","parse-names":false,"suffix":""}],"container-title":"Science","id":"ITEM-1","issue":"6461","issued":{"date-parts":[["2019"]]},"page":"120-124","publisher":"American Association for the Advancement of Science","title":"Decline of the North American avifauna","type":"article-journal","volume":"366"},"uris":["http://www.mendeley.com/documents/?uuid=09ff0ca1-a93f-4eb2-a37c-3632479b771a"]}],"mendeley":{"formattedCitation":"(Rosenberg et al., 2019)","plainTextFormattedCitation":"(Rosenberg et al., 2019)","previouslyFormattedCitation":"(Rosenberg et al., 2019)"},"properties":{"noteIndex":0},"schema":"https://github.com/citation-style-language/schema/raw/master/csl-citation.json"}</w:instrText>
      </w:r>
      <w:r w:rsidR="00E95C01">
        <w:fldChar w:fldCharType="separate"/>
      </w:r>
      <w:r w:rsidR="00E95C01" w:rsidRPr="000D1381">
        <w:rPr>
          <w:noProof/>
        </w:rPr>
        <w:t>(Rosenberg et al., 2019)</w:t>
      </w:r>
      <w:r w:rsidR="00E95C01">
        <w:fldChar w:fldCharType="end"/>
      </w:r>
      <w:r w:rsidR="00086DBC">
        <w:rPr>
          <w:noProof/>
        </w:rPr>
        <w:t xml:space="preserve">. These declines make identification and protection of </w:t>
      </w:r>
      <w:r w:rsidR="00E95C01">
        <w:rPr>
          <w:noProof/>
        </w:rPr>
        <w:t xml:space="preserve">breeding </w:t>
      </w:r>
      <w:r w:rsidR="00086DBC">
        <w:rPr>
          <w:noProof/>
        </w:rPr>
        <w:t>territories</w:t>
      </w:r>
      <w:r w:rsidR="00E95C01">
        <w:rPr>
          <w:noProof/>
        </w:rPr>
        <w:t xml:space="preserve"> of declining forest bird species an important population management priority.</w:t>
      </w:r>
      <w:r w:rsidR="00E95C01" w:rsidRPr="00E95C01">
        <w:rPr>
          <w:noProof/>
        </w:rPr>
        <w:t xml:space="preserve"> </w:t>
      </w:r>
      <w:r w:rsidR="00E95C01">
        <w:rPr>
          <w:noProof/>
        </w:rPr>
        <w:t xml:space="preserve">This project focuses on Acadian </w:t>
      </w:r>
      <w:r w:rsidR="003D47CE">
        <w:rPr>
          <w:noProof/>
        </w:rPr>
        <w:t>flyc</w:t>
      </w:r>
      <w:r w:rsidR="00E95C01">
        <w:rPr>
          <w:noProof/>
        </w:rPr>
        <w:t>atcher</w:t>
      </w:r>
      <w:r w:rsidR="00086DBC">
        <w:rPr>
          <w:noProof/>
        </w:rPr>
        <w:t>s (</w:t>
      </w:r>
      <w:r w:rsidR="00086DBC">
        <w:rPr>
          <w:i/>
          <w:iCs/>
          <w:noProof/>
        </w:rPr>
        <w:t>Empidonax virescens</w:t>
      </w:r>
      <w:r w:rsidR="00086DBC">
        <w:rPr>
          <w:noProof/>
        </w:rPr>
        <w:t>)</w:t>
      </w:r>
      <w:r w:rsidR="00E95C01">
        <w:rPr>
          <w:noProof/>
        </w:rPr>
        <w:t xml:space="preserve"> in </w:t>
      </w:r>
      <w:r w:rsidR="008C7AE2">
        <w:rPr>
          <w:noProof/>
        </w:rPr>
        <w:t xml:space="preserve">forests of </w:t>
      </w:r>
      <w:r w:rsidR="00E95C01">
        <w:rPr>
          <w:noProof/>
        </w:rPr>
        <w:t>south central Iowa, USA.</w:t>
      </w:r>
      <w:r w:rsidR="00315CFE">
        <w:rPr>
          <w:noProof/>
        </w:rPr>
        <w:t xml:space="preserve"> The Acadian </w:t>
      </w:r>
      <w:r w:rsidR="003D47CE">
        <w:rPr>
          <w:noProof/>
        </w:rPr>
        <w:t>flyc</w:t>
      </w:r>
      <w:r w:rsidR="00315CFE">
        <w:rPr>
          <w:noProof/>
        </w:rPr>
        <w:t>atcher is a</w:t>
      </w:r>
      <w:r w:rsidR="003D47CE">
        <w:rPr>
          <w:noProof/>
        </w:rPr>
        <w:t>n avian</w:t>
      </w:r>
      <w:r w:rsidR="00315CFE">
        <w:rPr>
          <w:noProof/>
        </w:rPr>
        <w:t xml:space="preserve"> Species of Greatest </w:t>
      </w:r>
      <w:r w:rsidR="0035709E">
        <w:rPr>
          <w:noProof/>
        </w:rPr>
        <w:t>Conservation Need in Iowa</w:t>
      </w:r>
      <w:r w:rsidR="0066280F">
        <w:rPr>
          <w:noProof/>
        </w:rPr>
        <w:t>,</w:t>
      </w:r>
      <w:r w:rsidR="008C7AE2">
        <w:rPr>
          <w:noProof/>
        </w:rPr>
        <w:t xml:space="preserve"> making it one of many priority species for monitoring and conservation in that state </w:t>
      </w:r>
      <w:r w:rsidR="008C7AE2">
        <w:rPr>
          <w:noProof/>
        </w:rPr>
        <w:fldChar w:fldCharType="begin" w:fldLock="1"/>
      </w:r>
      <w:r w:rsidR="008C7AE2">
        <w:rPr>
          <w:noProof/>
        </w:rPr>
        <w:instrText>ADDIN CSL_CITATION {"citationItems":[{"id":"ITEM-1","itemData":{"author":[{"dropping-particle":"","family":"Iowa Department of Natural Resources","given":"","non-dropping-particle":"","parse-names":false,"suffix":""}],"id":"ITEM-1","issued":{"date-parts":[["2015"]]},"publisher-place":"Des Moines, Iowa, USA","title":"Iowa’s Wildlife Action Plan: Securing a future for fish and wildlife.","type":"report"},"uris":["http://www.mendeley.com/documents/?uuid=ec4e8d11-2307-4b31-90e4-305b83ad0545"]}],"mendeley":{"formattedCitation":"(Iowa Department of Natural Resources, 2015)","plainTextFormattedCitation":"(Iowa Department of Natural Resources, 2015)"},"properties":{"noteIndex":0},"schema":"https://github.com/citation-style-language/schema/raw/master/csl-citation.json"}</w:instrText>
      </w:r>
      <w:r w:rsidR="008C7AE2">
        <w:rPr>
          <w:noProof/>
        </w:rPr>
        <w:fldChar w:fldCharType="separate"/>
      </w:r>
      <w:r w:rsidR="008C7AE2" w:rsidRPr="008C7AE2">
        <w:rPr>
          <w:noProof/>
        </w:rPr>
        <w:t>(Iowa Department of Natural Resources, 2015)</w:t>
      </w:r>
      <w:r w:rsidR="008C7AE2">
        <w:rPr>
          <w:noProof/>
        </w:rPr>
        <w:fldChar w:fldCharType="end"/>
      </w:r>
      <w:r w:rsidR="008C7AE2">
        <w:rPr>
          <w:noProof/>
        </w:rPr>
        <w:t>.</w:t>
      </w:r>
      <w:r w:rsidR="00E95C01">
        <w:rPr>
          <w:noProof/>
        </w:rPr>
        <w:t xml:space="preserve"> </w:t>
      </w:r>
      <w:r w:rsidR="00086DBC">
        <w:rPr>
          <w:noProof/>
        </w:rPr>
        <w:t>To support the goal of predicting sites</w:t>
      </w:r>
      <w:r w:rsidR="008C7AE2">
        <w:rPr>
          <w:noProof/>
        </w:rPr>
        <w:t xml:space="preserve"> in Iowa</w:t>
      </w:r>
      <w:r w:rsidR="00086DBC">
        <w:rPr>
          <w:noProof/>
        </w:rPr>
        <w:t xml:space="preserve"> with Acadian </w:t>
      </w:r>
      <w:r w:rsidR="003D47CE">
        <w:rPr>
          <w:noProof/>
        </w:rPr>
        <w:t>flyc</w:t>
      </w:r>
      <w:r w:rsidR="00086DBC">
        <w:rPr>
          <w:noProof/>
        </w:rPr>
        <w:t>atcher territories,</w:t>
      </w:r>
      <w:r w:rsidR="00E95C01">
        <w:rPr>
          <w:noProof/>
        </w:rPr>
        <w:t xml:space="preserve"> I </w:t>
      </w:r>
      <w:r w:rsidR="00086DBC">
        <w:rPr>
          <w:noProof/>
        </w:rPr>
        <w:t>assessed the ability of</w:t>
      </w:r>
      <w:r w:rsidR="00E95C01">
        <w:rPr>
          <w:noProof/>
        </w:rPr>
        <w:t xml:space="preserve"> three model types </w:t>
      </w:r>
      <w:r w:rsidR="00086DBC">
        <w:rPr>
          <w:noProof/>
        </w:rPr>
        <w:t>to predict</w:t>
      </w:r>
      <w:r w:rsidR="003152B1">
        <w:rPr>
          <w:noProof/>
        </w:rPr>
        <w:t xml:space="preserve"> </w:t>
      </w:r>
      <w:r w:rsidR="00086DBC">
        <w:rPr>
          <w:noProof/>
        </w:rPr>
        <w:t xml:space="preserve">Acadian </w:t>
      </w:r>
      <w:r w:rsidR="003D47CE">
        <w:rPr>
          <w:noProof/>
        </w:rPr>
        <w:t>flyc</w:t>
      </w:r>
      <w:r w:rsidR="00086DBC">
        <w:rPr>
          <w:noProof/>
        </w:rPr>
        <w:t>atcher</w:t>
      </w:r>
      <w:r w:rsidR="00042CF5">
        <w:rPr>
          <w:noProof/>
        </w:rPr>
        <w:t xml:space="preserve"> </w:t>
      </w:r>
      <w:r w:rsidR="003152B1">
        <w:rPr>
          <w:noProof/>
        </w:rPr>
        <w:t xml:space="preserve">territory </w:t>
      </w:r>
      <w:r w:rsidR="00042CF5">
        <w:rPr>
          <w:noProof/>
        </w:rPr>
        <w:t>presence from habitat data</w:t>
      </w:r>
      <w:r w:rsidR="00086DBC">
        <w:rPr>
          <w:noProof/>
        </w:rPr>
        <w:t>.</w:t>
      </w:r>
    </w:p>
    <w:p w14:paraId="4188D925" w14:textId="1113D5F3" w:rsidR="007B7C70" w:rsidRPr="007B7C70" w:rsidRDefault="007B7C70" w:rsidP="00C323AC">
      <w:pPr>
        <w:pStyle w:val="Heading1"/>
        <w:spacing w:line="480" w:lineRule="auto"/>
      </w:pPr>
      <w:r>
        <w:t>2. Methods</w:t>
      </w:r>
    </w:p>
    <w:p w14:paraId="5A39FCB5" w14:textId="3B54A44C" w:rsidR="007B7C70" w:rsidRDefault="007B7C70" w:rsidP="00943553">
      <w:pPr>
        <w:pStyle w:val="Heading2"/>
        <w:spacing w:line="480" w:lineRule="auto"/>
      </w:pPr>
      <w:r>
        <w:t xml:space="preserve">2.1. </w:t>
      </w:r>
      <w:r w:rsidR="00EF7553">
        <w:t xml:space="preserve">Bird and Habitat </w:t>
      </w:r>
      <w:r>
        <w:t xml:space="preserve">Data </w:t>
      </w:r>
    </w:p>
    <w:p w14:paraId="0AFF3BC0" w14:textId="1BCE80C9" w:rsidR="00D71BC1" w:rsidRDefault="00315CFE" w:rsidP="00AD0BDB">
      <w:pPr>
        <w:spacing w:line="480" w:lineRule="auto"/>
        <w:ind w:firstLine="720"/>
      </w:pPr>
      <w:r>
        <w:t xml:space="preserve">The </w:t>
      </w:r>
      <w:r w:rsidR="00EF7553">
        <w:t>bird and habitat</w:t>
      </w:r>
      <w:r>
        <w:t xml:space="preserve"> </w:t>
      </w:r>
      <w:r w:rsidR="004740B3">
        <w:t xml:space="preserve">data </w:t>
      </w:r>
      <w:r>
        <w:t xml:space="preserve">methods presented here are a summary; see </w:t>
      </w:r>
      <w:r>
        <w:fldChar w:fldCharType="begin" w:fldLock="1"/>
      </w:r>
      <w:r w:rsidR="00943553">
        <w:instrText>ADDIN CSL_CITATION {"citationItems":[{"id":"ITEM-1","itemData":{"author":[{"dropping-particle":"","family":"West","given":"Benjamin M","non-dropping-particle":"","parse-names":false,"suffix":""}],"id":"ITEM-1","issued":{"date-parts":[["2020"]]},"number-of-pages":"198","publisher":"Iowa State University, Ames, IA","title":"Bird-habitat relationships in southern Iowa forests","type":"thesis"},"uris":["http://www.mendeley.com/documents/?uuid=b24d68cd-a5e0-41bf-83ec-ac259ce05d49","http://www.mendeley.com/documents/?uuid=cefad238-4f57-44d5-8456-03e16f3132df"]}],"mendeley":{"formattedCitation":"(West, 2020)","manualFormatting":"West (2020)","plainTextFormattedCitation":"(West, 2020)","previouslyFormattedCitation":"(West, 2020)"},"properties":{"noteIndex":0},"schema":"https://github.com/citation-style-language/schema/raw/master/csl-citation.json"}</w:instrText>
      </w:r>
      <w:r>
        <w:fldChar w:fldCharType="separate"/>
      </w:r>
      <w:r w:rsidRPr="00315CFE">
        <w:rPr>
          <w:noProof/>
        </w:rPr>
        <w:t>West</w:t>
      </w:r>
      <w:r>
        <w:rPr>
          <w:noProof/>
        </w:rPr>
        <w:t xml:space="preserve"> (</w:t>
      </w:r>
      <w:r w:rsidRPr="00315CFE">
        <w:rPr>
          <w:noProof/>
        </w:rPr>
        <w:t>2020)</w:t>
      </w:r>
      <w:r>
        <w:fldChar w:fldCharType="end"/>
      </w:r>
      <w:r>
        <w:t xml:space="preserve"> for full details. </w:t>
      </w:r>
      <w:r w:rsidR="00AD0BDB">
        <w:t xml:space="preserve">Data were collected as part of a larger project describing the distributions, densities, and habitat relationships of birds for the purpose of making forest management decisions. </w:t>
      </w:r>
      <w:r w:rsidR="00E95C01">
        <w:t>For all field surveys</w:t>
      </w:r>
      <w:r w:rsidR="00AD0BDB">
        <w:t xml:space="preserve"> (bird and habitat)</w:t>
      </w:r>
      <w:r w:rsidR="00E95C01">
        <w:t>, I</w:t>
      </w:r>
      <w:r w:rsidR="00F91451">
        <w:t xml:space="preserve"> employed a</w:t>
      </w:r>
      <w:r w:rsidR="00DF31E1">
        <w:t xml:space="preserve"> grid </w:t>
      </w:r>
      <w:r w:rsidR="00F91451">
        <w:t xml:space="preserve">of 493 points with </w:t>
      </w:r>
      <w:r w:rsidR="00E95C01">
        <w:t xml:space="preserve">300 m spacing, distributed across public lands within three </w:t>
      </w:r>
      <w:r>
        <w:t xml:space="preserve">forested </w:t>
      </w:r>
      <w:r w:rsidR="00E95C01">
        <w:t xml:space="preserve">Bird Conservation Areas in south-central Iowa. </w:t>
      </w:r>
      <w:r>
        <w:t xml:space="preserve">The public lands included Sand Creek Wildlife Management Area and multiple units of Stephens State Forest. </w:t>
      </w:r>
      <w:r w:rsidR="00E95C01">
        <w:t>Over the course of the 2019 breeding season (late</w:t>
      </w:r>
      <w:r w:rsidR="00042CF5">
        <w:t xml:space="preserve"> </w:t>
      </w:r>
      <w:r w:rsidR="00E95C01">
        <w:t>May to early</w:t>
      </w:r>
      <w:r w:rsidR="00042CF5">
        <w:t xml:space="preserve"> </w:t>
      </w:r>
      <w:r w:rsidR="00E95C01">
        <w:t xml:space="preserve">August), </w:t>
      </w:r>
      <w:r w:rsidR="00086DBC">
        <w:t xml:space="preserve">observers conducted 10-minute bird surveys at each point; they visited each point twice. During each </w:t>
      </w:r>
      <w:r w:rsidR="00086DBC">
        <w:lastRenderedPageBreak/>
        <w:t xml:space="preserve">survey, singing </w:t>
      </w:r>
      <w:r w:rsidR="007B7C70">
        <w:t xml:space="preserve">Acadian </w:t>
      </w:r>
      <w:r w:rsidR="003D47CE">
        <w:t>Flyc</w:t>
      </w:r>
      <w:r w:rsidR="007B7C70">
        <w:t xml:space="preserve">atchers </w:t>
      </w:r>
      <w:r w:rsidR="00086DBC">
        <w:t xml:space="preserve">were recorded </w:t>
      </w:r>
      <w:r w:rsidR="00E95C01">
        <w:t xml:space="preserve">as </w:t>
      </w:r>
      <w:r w:rsidR="00DF31E1">
        <w:t>present or absent within 100</w:t>
      </w:r>
      <w:r w:rsidR="00F91451">
        <w:t xml:space="preserve"> meters of each</w:t>
      </w:r>
      <w:r w:rsidR="00E95C01">
        <w:t xml:space="preserve"> point.</w:t>
      </w:r>
      <w:r w:rsidR="00086DBC">
        <w:t xml:space="preserve"> If a</w:t>
      </w:r>
      <w:r w:rsidR="00E420B3">
        <w:t>t least one</w:t>
      </w:r>
      <w:r w:rsidR="00086DBC">
        <w:t xml:space="preserve"> singing Acadian</w:t>
      </w:r>
      <w:r w:rsidR="00042CF5">
        <w:t xml:space="preserve"> </w:t>
      </w:r>
      <w:r w:rsidR="003D47CE">
        <w:t>Flyc</w:t>
      </w:r>
      <w:r w:rsidR="00042CF5">
        <w:t>atcher was recorded during at least one</w:t>
      </w:r>
      <w:r w:rsidR="00621D30">
        <w:t xml:space="preserve"> point</w:t>
      </w:r>
      <w:r w:rsidR="00042CF5">
        <w:t xml:space="preserve"> survey, </w:t>
      </w:r>
      <w:r w:rsidR="00E420B3">
        <w:t xml:space="preserve">an Acadian </w:t>
      </w:r>
      <w:r w:rsidR="003D47CE">
        <w:t>Flyc</w:t>
      </w:r>
      <w:r w:rsidR="00E420B3">
        <w:t>atcher territory</w:t>
      </w:r>
      <w:r w:rsidR="00042CF5">
        <w:t xml:space="preserve"> considered “present” at that </w:t>
      </w:r>
      <w:r w:rsidR="00621D30">
        <w:t>point for the 2019 breeding season</w:t>
      </w:r>
      <w:r w:rsidR="00042CF5">
        <w:t xml:space="preserve">. </w:t>
      </w:r>
      <w:r w:rsidR="009873F4">
        <w:t>I derived v</w:t>
      </w:r>
      <w:r>
        <w:t>arious habitat characteristics from p</w:t>
      </w:r>
      <w:r w:rsidR="00042CF5">
        <w:t>oint-scale</w:t>
      </w:r>
      <w:r>
        <w:t xml:space="preserve"> field</w:t>
      </w:r>
      <w:r w:rsidR="00042CF5">
        <w:t xml:space="preserve"> vegetation surveys conducted from </w:t>
      </w:r>
      <w:proofErr w:type="spellStart"/>
      <w:r w:rsidR="00042CF5">
        <w:t>mid July</w:t>
      </w:r>
      <w:proofErr w:type="spellEnd"/>
      <w:r w:rsidR="00042CF5">
        <w:t xml:space="preserve"> to late August</w:t>
      </w:r>
      <w:r>
        <w:t xml:space="preserve"> </w:t>
      </w:r>
      <w:r w:rsidR="009873F4">
        <w:t xml:space="preserve">2019 </w:t>
      </w:r>
      <w:r w:rsidR="00042CF5">
        <w:t>(Table 1)</w:t>
      </w:r>
      <w:r w:rsidR="009873F4">
        <w:t xml:space="preserve">. Landscape-scale habitat characteristics were derived using </w:t>
      </w:r>
      <w:r w:rsidR="009873F4" w:rsidRPr="000629EA">
        <w:rPr>
          <w:color w:val="000000"/>
          <w:shd w:val="clear" w:color="auto" w:fill="FFFFFF"/>
        </w:rPr>
        <w:t>Esri</w:t>
      </w:r>
      <w:r w:rsidR="009873F4" w:rsidRPr="00167FD1">
        <w:t>®</w:t>
      </w:r>
      <w:r w:rsidR="009873F4" w:rsidRPr="000629EA">
        <w:rPr>
          <w:color w:val="000000"/>
          <w:shd w:val="clear" w:color="auto" w:fill="FFFFFF"/>
        </w:rPr>
        <w:t xml:space="preserve"> ArcGIS Pro</w:t>
      </w:r>
      <w:r w:rsidR="009873F4" w:rsidRPr="00167FD1">
        <w:t>®</w:t>
      </w:r>
      <w:r w:rsidR="009873F4">
        <w:rPr>
          <w:color w:val="000000"/>
          <w:shd w:val="clear" w:color="auto" w:fill="FFFFFF"/>
        </w:rPr>
        <w:t xml:space="preserve"> to analyze </w:t>
      </w:r>
      <w:r w:rsidR="009873F4">
        <w:t xml:space="preserve">the 2019 National Cropland Data Layer (Table 1; </w:t>
      </w:r>
      <w:r w:rsidR="00EF7553">
        <w:t xml:space="preserve">USDA </w:t>
      </w:r>
      <w:r w:rsidR="00EF7553">
        <w:fldChar w:fldCharType="begin" w:fldLock="1"/>
      </w:r>
      <w:r w:rsidR="00943553">
        <w:instrText>ADDIN CSL_CITATION {"citationItems":[{"id":"ITEM-1","itemData":{"URL":"https://nassgeodata.gmu.edu/CropScape/","accessed":{"date-parts":[["2020","2","24"]]},"author":[{"dropping-particle":"","family":"USDA National Agricultural Statistics Service Cropland Data Layer","given":"","non-dropping-particle":"","parse-names":false,"suffix":""}],"id":"ITEM-1","issued":{"date-parts":[["2019"]]},"publisher-place":"Washington, DC, USA","title":"Published crop-specific data layer [Online]","type":"webpage"},"uris":["http://www.mendeley.com/documents/?uuid=83fd3905-60e6-4d10-8395-99b5a2195f0e"]}],"mendeley":{"formattedCitation":"(USDA National Agricultural Statistics Service Cropland Data Layer, 2019)","manualFormatting":"2019)","plainTextFormattedCitation":"(USDA National Agricultural Statistics Service Cropland Data Layer, 2019)","previouslyFormattedCitation":"(USDA National Agricultural Statistics Service Cropland Data Layer, 2019)"},"properties":{"noteIndex":0},"schema":"https://github.com/citation-style-language/schema/raw/master/csl-citation.json"}</w:instrText>
      </w:r>
      <w:r w:rsidR="00EF7553">
        <w:fldChar w:fldCharType="separate"/>
      </w:r>
      <w:r w:rsidR="00EF7553" w:rsidRPr="00EF7553">
        <w:rPr>
          <w:noProof/>
        </w:rPr>
        <w:t>2019)</w:t>
      </w:r>
      <w:r w:rsidR="00EF7553">
        <w:fldChar w:fldCharType="end"/>
      </w:r>
      <w:r w:rsidR="009873F4">
        <w:t>.</w:t>
      </w:r>
      <w:r w:rsidR="00432516">
        <w:t xml:space="preserve"> Between the point and landscape scale</w:t>
      </w:r>
      <w:r w:rsidR="00D71BC1">
        <w:t xml:space="preserve">s, </w:t>
      </w:r>
      <w:r w:rsidR="00432516">
        <w:t>there w</w:t>
      </w:r>
      <w:r w:rsidR="00D71BC1">
        <w:t>as</w:t>
      </w:r>
      <w:r w:rsidR="00432516">
        <w:t xml:space="preserve"> a total of 17 </w:t>
      </w:r>
      <w:r w:rsidR="00D71BC1">
        <w:t>habitat metrics.</w:t>
      </w:r>
    </w:p>
    <w:p w14:paraId="5C2F5318" w14:textId="77777777" w:rsidR="00D71BC1" w:rsidRDefault="00D71BC1">
      <w:r>
        <w:br w:type="page"/>
      </w:r>
    </w:p>
    <w:p w14:paraId="556EEEDD" w14:textId="77777777" w:rsidR="007B7C70" w:rsidRDefault="007B7C70" w:rsidP="00AD0BDB">
      <w:pPr>
        <w:spacing w:line="480" w:lineRule="auto"/>
        <w:ind w:firstLine="720"/>
      </w:pPr>
    </w:p>
    <w:p w14:paraId="2498E039" w14:textId="375D3DE3" w:rsidR="00E420B3" w:rsidRPr="00621D30" w:rsidRDefault="00E420B3" w:rsidP="00621D30">
      <w:pPr>
        <w:spacing w:line="360" w:lineRule="auto"/>
        <w:rPr>
          <w:sz w:val="22"/>
        </w:rPr>
      </w:pPr>
      <w:r w:rsidRPr="00621D30">
        <w:rPr>
          <w:sz w:val="22"/>
        </w:rPr>
        <w:t xml:space="preserve">Table 1. Habitat variables from south central Iowa forests used to predict presence of Acadian </w:t>
      </w:r>
      <w:r w:rsidR="003D47CE">
        <w:rPr>
          <w:sz w:val="22"/>
        </w:rPr>
        <w:t>Flyc</w:t>
      </w:r>
      <w:r w:rsidRPr="00621D30">
        <w:rPr>
          <w:sz w:val="22"/>
        </w:rPr>
        <w:t>atcher territories</w:t>
      </w:r>
      <w:r w:rsidR="006F7301" w:rsidRPr="00621D30">
        <w:rPr>
          <w:sz w:val="22"/>
        </w:rPr>
        <w:t>. *Standard deviation of midstory foliage density calculated from six measures of midstory foliage, each calculated as proportion of coverboard covered.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7020"/>
      </w:tblGrid>
      <w:tr w:rsidR="00E420B3" w14:paraId="6886700A" w14:textId="77777777" w:rsidTr="00161476">
        <w:tc>
          <w:tcPr>
            <w:tcW w:w="2070" w:type="dxa"/>
            <w:tcBorders>
              <w:top w:val="single" w:sz="4" w:space="0" w:color="auto"/>
              <w:bottom w:val="single" w:sz="4" w:space="0" w:color="auto"/>
            </w:tcBorders>
          </w:tcPr>
          <w:p w14:paraId="69C2207E" w14:textId="3536BDBD" w:rsidR="00E420B3" w:rsidRPr="00CA038C" w:rsidRDefault="00E420B3" w:rsidP="00943553">
            <w:pPr>
              <w:spacing w:line="480" w:lineRule="auto"/>
              <w:rPr>
                <w:b/>
                <w:bCs/>
              </w:rPr>
            </w:pPr>
            <w:r w:rsidRPr="00CA038C">
              <w:rPr>
                <w:b/>
                <w:bCs/>
              </w:rPr>
              <w:t>Variable name</w:t>
            </w:r>
          </w:p>
        </w:tc>
        <w:tc>
          <w:tcPr>
            <w:tcW w:w="7020" w:type="dxa"/>
            <w:tcBorders>
              <w:top w:val="single" w:sz="4" w:space="0" w:color="auto"/>
              <w:bottom w:val="single" w:sz="4" w:space="0" w:color="auto"/>
            </w:tcBorders>
          </w:tcPr>
          <w:p w14:paraId="57656953" w14:textId="7AC7AC91" w:rsidR="00E420B3" w:rsidRPr="00CA038C" w:rsidRDefault="00E420B3" w:rsidP="00943553">
            <w:pPr>
              <w:spacing w:line="480" w:lineRule="auto"/>
              <w:rPr>
                <w:b/>
                <w:bCs/>
              </w:rPr>
            </w:pPr>
            <w:r w:rsidRPr="00CA038C">
              <w:rPr>
                <w:b/>
                <w:bCs/>
              </w:rPr>
              <w:t>Definition</w:t>
            </w:r>
          </w:p>
        </w:tc>
      </w:tr>
      <w:tr w:rsidR="00E420B3" w14:paraId="790A3966" w14:textId="77777777" w:rsidTr="00161476">
        <w:tc>
          <w:tcPr>
            <w:tcW w:w="2070" w:type="dxa"/>
            <w:tcBorders>
              <w:top w:val="single" w:sz="4" w:space="0" w:color="auto"/>
            </w:tcBorders>
          </w:tcPr>
          <w:p w14:paraId="08851623" w14:textId="077EF220" w:rsidR="00E420B3" w:rsidRPr="00CA038C" w:rsidRDefault="00E420B3" w:rsidP="00943553">
            <w:pPr>
              <w:spacing w:line="480" w:lineRule="auto"/>
            </w:pPr>
            <w:r w:rsidRPr="00CA038C">
              <w:t>fprop_1km</w:t>
            </w:r>
          </w:p>
        </w:tc>
        <w:tc>
          <w:tcPr>
            <w:tcW w:w="7020" w:type="dxa"/>
            <w:tcBorders>
              <w:top w:val="single" w:sz="4" w:space="0" w:color="auto"/>
            </w:tcBorders>
          </w:tcPr>
          <w:p w14:paraId="74AF02C5" w14:textId="4FF33B1E" w:rsidR="00E420B3" w:rsidRPr="00CA038C" w:rsidRDefault="00E420B3" w:rsidP="00943553">
            <w:pPr>
              <w:spacing w:line="480" w:lineRule="auto"/>
            </w:pPr>
            <w:r w:rsidRPr="00CA038C">
              <w:rPr>
                <w:rFonts w:eastAsia="Times New Roman"/>
                <w:color w:val="000000"/>
              </w:rPr>
              <w:t>Forest landcover within 1 km (proportion of area)</w:t>
            </w:r>
          </w:p>
        </w:tc>
      </w:tr>
      <w:tr w:rsidR="00E420B3" w14:paraId="44CA74DD" w14:textId="77777777" w:rsidTr="00161476">
        <w:tc>
          <w:tcPr>
            <w:tcW w:w="2070" w:type="dxa"/>
          </w:tcPr>
          <w:p w14:paraId="1848E562" w14:textId="2C1B571F" w:rsidR="00E420B3" w:rsidRPr="00CA038C" w:rsidRDefault="00E420B3" w:rsidP="00943553">
            <w:pPr>
              <w:spacing w:line="480" w:lineRule="auto"/>
            </w:pPr>
            <w:r w:rsidRPr="00CA038C">
              <w:t>fprop_10km</w:t>
            </w:r>
          </w:p>
        </w:tc>
        <w:tc>
          <w:tcPr>
            <w:tcW w:w="7020" w:type="dxa"/>
          </w:tcPr>
          <w:p w14:paraId="3F94A6A9" w14:textId="6327A58B" w:rsidR="00E420B3" w:rsidRPr="00CA038C" w:rsidRDefault="00E420B3" w:rsidP="00943553">
            <w:pPr>
              <w:spacing w:line="480" w:lineRule="auto"/>
            </w:pPr>
            <w:r w:rsidRPr="00CA038C">
              <w:rPr>
                <w:rFonts w:eastAsia="Times New Roman"/>
                <w:color w:val="000000"/>
              </w:rPr>
              <w:t>Forest landcover within 10 km (proportion of area)</w:t>
            </w:r>
          </w:p>
        </w:tc>
      </w:tr>
      <w:tr w:rsidR="00E420B3" w14:paraId="2885E28A" w14:textId="77777777" w:rsidTr="00161476">
        <w:tc>
          <w:tcPr>
            <w:tcW w:w="2070" w:type="dxa"/>
          </w:tcPr>
          <w:p w14:paraId="25F22977" w14:textId="2FE9FB28" w:rsidR="00E420B3" w:rsidRPr="00CA038C" w:rsidRDefault="00E420B3" w:rsidP="00943553">
            <w:pPr>
              <w:spacing w:line="480" w:lineRule="auto"/>
            </w:pPr>
            <w:proofErr w:type="spellStart"/>
            <w:r w:rsidRPr="00CA038C">
              <w:t>spp_rich</w:t>
            </w:r>
            <w:proofErr w:type="spellEnd"/>
          </w:p>
        </w:tc>
        <w:tc>
          <w:tcPr>
            <w:tcW w:w="7020" w:type="dxa"/>
          </w:tcPr>
          <w:p w14:paraId="562D7247" w14:textId="2533BD97" w:rsidR="00E420B3" w:rsidRPr="00CA038C" w:rsidRDefault="00E420B3" w:rsidP="00943553">
            <w:pPr>
              <w:spacing w:line="480" w:lineRule="auto"/>
            </w:pPr>
            <w:r w:rsidRPr="00CA038C">
              <w:rPr>
                <w:rFonts w:eastAsia="Times New Roman"/>
                <w:color w:val="000000"/>
              </w:rPr>
              <w:t>Tree sp</w:t>
            </w:r>
            <w:r w:rsidR="00161476" w:rsidRPr="00CA038C">
              <w:rPr>
                <w:rFonts w:eastAsia="Times New Roman"/>
                <w:color w:val="000000"/>
              </w:rPr>
              <w:t>p.</w:t>
            </w:r>
            <w:r w:rsidRPr="00CA038C">
              <w:rPr>
                <w:rFonts w:eastAsia="Times New Roman"/>
                <w:color w:val="000000"/>
              </w:rPr>
              <w:t xml:space="preserve"> richness in a variable radius 1</w:t>
            </w:r>
            <w:r w:rsidR="00161476" w:rsidRPr="00CA038C">
              <w:rPr>
                <w:rFonts w:eastAsia="Times New Roman"/>
                <w:color w:val="000000"/>
              </w:rPr>
              <w:t>-</w:t>
            </w:r>
            <w:r w:rsidRPr="00CA038C">
              <w:rPr>
                <w:rFonts w:eastAsia="Times New Roman"/>
                <w:color w:val="000000"/>
              </w:rPr>
              <w:t>m factor forestry prism plot</w:t>
            </w:r>
          </w:p>
        </w:tc>
      </w:tr>
      <w:tr w:rsidR="00E420B3" w14:paraId="600203F9" w14:textId="77777777" w:rsidTr="00161476">
        <w:tc>
          <w:tcPr>
            <w:tcW w:w="2070" w:type="dxa"/>
          </w:tcPr>
          <w:p w14:paraId="33508C52" w14:textId="3E54FE87" w:rsidR="00E420B3" w:rsidRPr="00CA038C" w:rsidRDefault="00E420B3" w:rsidP="00943553">
            <w:pPr>
              <w:spacing w:line="480" w:lineRule="auto"/>
            </w:pPr>
            <w:proofErr w:type="spellStart"/>
            <w:r w:rsidRPr="00CA038C">
              <w:t>live_basal</w:t>
            </w:r>
            <w:proofErr w:type="spellEnd"/>
          </w:p>
        </w:tc>
        <w:tc>
          <w:tcPr>
            <w:tcW w:w="7020" w:type="dxa"/>
          </w:tcPr>
          <w:p w14:paraId="3423E481" w14:textId="5CE26C6E" w:rsidR="00E420B3" w:rsidRPr="00CA038C" w:rsidRDefault="00161476" w:rsidP="00943553">
            <w:pPr>
              <w:spacing w:line="480" w:lineRule="auto"/>
            </w:pPr>
            <w:r w:rsidRPr="00CA038C">
              <w:rPr>
                <w:rFonts w:eastAsia="Times New Roman"/>
                <w:color w:val="000000"/>
              </w:rPr>
              <w:t>Live tree basal area (m</w:t>
            </w:r>
            <w:r w:rsidRPr="00CA038C">
              <w:rPr>
                <w:rFonts w:eastAsia="Times New Roman"/>
                <w:color w:val="000000"/>
                <w:vertAlign w:val="superscript"/>
              </w:rPr>
              <w:t>2</w:t>
            </w:r>
            <w:r w:rsidRPr="00CA038C">
              <w:rPr>
                <w:rFonts w:eastAsia="Times New Roman"/>
                <w:color w:val="000000"/>
              </w:rPr>
              <w:t>/ha)</w:t>
            </w:r>
          </w:p>
        </w:tc>
      </w:tr>
      <w:tr w:rsidR="00E420B3" w14:paraId="2AC13C90" w14:textId="77777777" w:rsidTr="00161476">
        <w:tc>
          <w:tcPr>
            <w:tcW w:w="2070" w:type="dxa"/>
          </w:tcPr>
          <w:p w14:paraId="485F62DD" w14:textId="5DB56871" w:rsidR="00E420B3" w:rsidRPr="00CA038C" w:rsidRDefault="00E420B3" w:rsidP="00943553">
            <w:pPr>
              <w:spacing w:line="480" w:lineRule="auto"/>
            </w:pPr>
            <w:proofErr w:type="spellStart"/>
            <w:r w:rsidRPr="00CA038C">
              <w:t>dead_basal</w:t>
            </w:r>
            <w:proofErr w:type="spellEnd"/>
          </w:p>
        </w:tc>
        <w:tc>
          <w:tcPr>
            <w:tcW w:w="7020" w:type="dxa"/>
          </w:tcPr>
          <w:p w14:paraId="0E609859" w14:textId="4CBB9B3C" w:rsidR="00E420B3" w:rsidRPr="00CA038C" w:rsidRDefault="00161476" w:rsidP="00943553">
            <w:pPr>
              <w:spacing w:line="480" w:lineRule="auto"/>
            </w:pPr>
            <w:r w:rsidRPr="00CA038C">
              <w:rPr>
                <w:rFonts w:eastAsia="Times New Roman"/>
                <w:color w:val="000000"/>
              </w:rPr>
              <w:t>Dead tree basal area (m</w:t>
            </w:r>
            <w:r w:rsidRPr="00CA038C">
              <w:rPr>
                <w:rFonts w:eastAsia="Times New Roman"/>
                <w:color w:val="000000"/>
                <w:vertAlign w:val="superscript"/>
              </w:rPr>
              <w:t>2</w:t>
            </w:r>
            <w:r w:rsidRPr="00CA038C">
              <w:rPr>
                <w:rFonts w:eastAsia="Times New Roman"/>
                <w:color w:val="000000"/>
              </w:rPr>
              <w:t>/ha)</w:t>
            </w:r>
          </w:p>
        </w:tc>
      </w:tr>
      <w:tr w:rsidR="00E420B3" w14:paraId="321C4E73" w14:textId="77777777" w:rsidTr="00161476">
        <w:tc>
          <w:tcPr>
            <w:tcW w:w="2070" w:type="dxa"/>
          </w:tcPr>
          <w:p w14:paraId="523D3CEC" w14:textId="1374AA5E" w:rsidR="00E420B3" w:rsidRPr="00CA038C" w:rsidRDefault="00E420B3" w:rsidP="00943553">
            <w:pPr>
              <w:spacing w:line="480" w:lineRule="auto"/>
            </w:pPr>
            <w:proofErr w:type="spellStart"/>
            <w:r w:rsidRPr="00CA038C">
              <w:t>total_basal</w:t>
            </w:r>
            <w:proofErr w:type="spellEnd"/>
          </w:p>
        </w:tc>
        <w:tc>
          <w:tcPr>
            <w:tcW w:w="7020" w:type="dxa"/>
          </w:tcPr>
          <w:p w14:paraId="1257170F" w14:textId="3C499DCE" w:rsidR="00E420B3" w:rsidRPr="00CA038C" w:rsidRDefault="00161476" w:rsidP="00943553">
            <w:pPr>
              <w:spacing w:line="480" w:lineRule="auto"/>
            </w:pPr>
            <w:r w:rsidRPr="00CA038C">
              <w:t xml:space="preserve">Total tree basal area </w:t>
            </w:r>
            <w:r w:rsidRPr="00CA038C">
              <w:rPr>
                <w:rFonts w:eastAsia="Times New Roman"/>
                <w:color w:val="000000"/>
              </w:rPr>
              <w:t>(m</w:t>
            </w:r>
            <w:r w:rsidRPr="00CA038C">
              <w:rPr>
                <w:rFonts w:eastAsia="Times New Roman"/>
                <w:color w:val="000000"/>
                <w:vertAlign w:val="superscript"/>
              </w:rPr>
              <w:t>2</w:t>
            </w:r>
            <w:r w:rsidRPr="00CA038C">
              <w:rPr>
                <w:rFonts w:eastAsia="Times New Roman"/>
                <w:color w:val="000000"/>
              </w:rPr>
              <w:t>/ha)</w:t>
            </w:r>
          </w:p>
        </w:tc>
      </w:tr>
      <w:tr w:rsidR="00E420B3" w14:paraId="5B091AA6" w14:textId="77777777" w:rsidTr="00161476">
        <w:tc>
          <w:tcPr>
            <w:tcW w:w="2070" w:type="dxa"/>
          </w:tcPr>
          <w:p w14:paraId="02FA6DDE" w14:textId="7DB8A087" w:rsidR="00E420B3" w:rsidRPr="00CA038C" w:rsidRDefault="00E420B3" w:rsidP="00943553">
            <w:pPr>
              <w:spacing w:line="480" w:lineRule="auto"/>
            </w:pPr>
            <w:proofErr w:type="spellStart"/>
            <w:r w:rsidRPr="00CA038C">
              <w:t>oak_prop</w:t>
            </w:r>
            <w:proofErr w:type="spellEnd"/>
          </w:p>
        </w:tc>
        <w:tc>
          <w:tcPr>
            <w:tcW w:w="7020" w:type="dxa"/>
          </w:tcPr>
          <w:p w14:paraId="5C559A30" w14:textId="095FA2F9" w:rsidR="00E420B3" w:rsidRPr="00CA038C" w:rsidRDefault="00161476" w:rsidP="00943553">
            <w:pPr>
              <w:spacing w:line="480" w:lineRule="auto"/>
            </w:pPr>
            <w:r w:rsidRPr="00CA038C">
              <w:t>Proportion of basal area composed of oak (</w:t>
            </w:r>
            <w:r w:rsidRPr="00CA038C">
              <w:rPr>
                <w:i/>
                <w:iCs/>
              </w:rPr>
              <w:t>Quercus</w:t>
            </w:r>
            <w:r w:rsidRPr="00CA038C">
              <w:t xml:space="preserve"> spp.)</w:t>
            </w:r>
          </w:p>
        </w:tc>
      </w:tr>
      <w:tr w:rsidR="00E420B3" w14:paraId="040A71E9" w14:textId="77777777" w:rsidTr="00161476">
        <w:tc>
          <w:tcPr>
            <w:tcW w:w="2070" w:type="dxa"/>
          </w:tcPr>
          <w:p w14:paraId="075042C7" w14:textId="2EF346B7" w:rsidR="00E420B3" w:rsidRPr="00CA038C" w:rsidRDefault="00E420B3" w:rsidP="00943553">
            <w:pPr>
              <w:spacing w:line="480" w:lineRule="auto"/>
            </w:pPr>
            <w:proofErr w:type="spellStart"/>
            <w:r w:rsidRPr="00CA038C">
              <w:t>can_clos_prop</w:t>
            </w:r>
            <w:proofErr w:type="spellEnd"/>
          </w:p>
        </w:tc>
        <w:tc>
          <w:tcPr>
            <w:tcW w:w="7020" w:type="dxa"/>
          </w:tcPr>
          <w:p w14:paraId="2D1E720F" w14:textId="284EAB71" w:rsidR="00E420B3" w:rsidRPr="00CA038C" w:rsidRDefault="00161476" w:rsidP="00943553">
            <w:pPr>
              <w:spacing w:line="480" w:lineRule="auto"/>
            </w:pPr>
            <w:r w:rsidRPr="00CA038C">
              <w:t>Canopy closure (proportion)</w:t>
            </w:r>
          </w:p>
        </w:tc>
      </w:tr>
      <w:tr w:rsidR="00E420B3" w14:paraId="51C8ED01" w14:textId="77777777" w:rsidTr="00161476">
        <w:tc>
          <w:tcPr>
            <w:tcW w:w="2070" w:type="dxa"/>
          </w:tcPr>
          <w:p w14:paraId="1FC09D8F" w14:textId="45ECB512" w:rsidR="00E420B3" w:rsidRPr="00CA038C" w:rsidRDefault="00E420B3" w:rsidP="00943553">
            <w:pPr>
              <w:spacing w:line="480" w:lineRule="auto"/>
            </w:pPr>
            <w:proofErr w:type="spellStart"/>
            <w:r w:rsidRPr="00CA038C">
              <w:t>grass_prop</w:t>
            </w:r>
            <w:proofErr w:type="spellEnd"/>
          </w:p>
        </w:tc>
        <w:tc>
          <w:tcPr>
            <w:tcW w:w="7020" w:type="dxa"/>
          </w:tcPr>
          <w:p w14:paraId="3B694D58" w14:textId="54235D4B" w:rsidR="00E420B3" w:rsidRPr="00CA038C" w:rsidRDefault="00161476" w:rsidP="00943553">
            <w:pPr>
              <w:spacing w:line="480" w:lineRule="auto"/>
            </w:pPr>
            <w:r w:rsidRPr="00CA038C">
              <w:t>Proportion of ground covered by grass or sedges</w:t>
            </w:r>
          </w:p>
        </w:tc>
      </w:tr>
      <w:tr w:rsidR="00E420B3" w14:paraId="3E29D6A3" w14:textId="77777777" w:rsidTr="00161476">
        <w:tc>
          <w:tcPr>
            <w:tcW w:w="2070" w:type="dxa"/>
          </w:tcPr>
          <w:p w14:paraId="24391682" w14:textId="24EB3E2B" w:rsidR="00E420B3" w:rsidRPr="00CA038C" w:rsidRDefault="00E420B3" w:rsidP="00943553">
            <w:pPr>
              <w:spacing w:line="480" w:lineRule="auto"/>
            </w:pPr>
            <w:proofErr w:type="spellStart"/>
            <w:r w:rsidRPr="00CA038C">
              <w:t>green_prop</w:t>
            </w:r>
            <w:proofErr w:type="spellEnd"/>
          </w:p>
        </w:tc>
        <w:tc>
          <w:tcPr>
            <w:tcW w:w="7020" w:type="dxa"/>
          </w:tcPr>
          <w:p w14:paraId="3D213638" w14:textId="7ACF1C65" w:rsidR="00E420B3" w:rsidRPr="00CA038C" w:rsidRDefault="00161476" w:rsidP="00943553">
            <w:pPr>
              <w:spacing w:line="480" w:lineRule="auto"/>
            </w:pPr>
            <w:r w:rsidRPr="00CA038C">
              <w:t>Proportion of ground covered by herbaceous or small woody plants</w:t>
            </w:r>
          </w:p>
        </w:tc>
      </w:tr>
      <w:tr w:rsidR="00E420B3" w14:paraId="7BB11183" w14:textId="77777777" w:rsidTr="00161476">
        <w:tc>
          <w:tcPr>
            <w:tcW w:w="2070" w:type="dxa"/>
          </w:tcPr>
          <w:p w14:paraId="661C1250" w14:textId="6FBCCE29" w:rsidR="00E420B3" w:rsidRPr="00CA038C" w:rsidRDefault="00E420B3" w:rsidP="00943553">
            <w:pPr>
              <w:spacing w:line="480" w:lineRule="auto"/>
            </w:pPr>
            <w:proofErr w:type="spellStart"/>
            <w:r w:rsidRPr="00CA038C">
              <w:t>litter_prop</w:t>
            </w:r>
            <w:proofErr w:type="spellEnd"/>
          </w:p>
        </w:tc>
        <w:tc>
          <w:tcPr>
            <w:tcW w:w="7020" w:type="dxa"/>
          </w:tcPr>
          <w:p w14:paraId="5DF784DE" w14:textId="0E9B225F" w:rsidR="00E420B3" w:rsidRPr="00CA038C" w:rsidRDefault="00161476" w:rsidP="00943553">
            <w:pPr>
              <w:spacing w:line="480" w:lineRule="auto"/>
            </w:pPr>
            <w:r w:rsidRPr="00CA038C">
              <w:t>Proportion of ground covered by leaf litter</w:t>
            </w:r>
          </w:p>
        </w:tc>
      </w:tr>
      <w:tr w:rsidR="00E420B3" w14:paraId="053E0D48" w14:textId="77777777" w:rsidTr="00161476">
        <w:tc>
          <w:tcPr>
            <w:tcW w:w="2070" w:type="dxa"/>
          </w:tcPr>
          <w:p w14:paraId="52F9B8C3" w14:textId="393DF33B" w:rsidR="00E420B3" w:rsidRPr="00CA038C" w:rsidRDefault="00E420B3" w:rsidP="00943553">
            <w:pPr>
              <w:spacing w:line="480" w:lineRule="auto"/>
            </w:pPr>
            <w:proofErr w:type="spellStart"/>
            <w:r w:rsidRPr="00CA038C">
              <w:t>shrub_dens</w:t>
            </w:r>
            <w:proofErr w:type="spellEnd"/>
          </w:p>
        </w:tc>
        <w:tc>
          <w:tcPr>
            <w:tcW w:w="7020" w:type="dxa"/>
          </w:tcPr>
          <w:p w14:paraId="5131F984" w14:textId="783C066C" w:rsidR="00E420B3" w:rsidRPr="00CA038C" w:rsidRDefault="00161476" w:rsidP="00943553">
            <w:pPr>
              <w:spacing w:line="480" w:lineRule="auto"/>
            </w:pPr>
            <w:r w:rsidRPr="00CA038C">
              <w:rPr>
                <w:rFonts w:eastAsia="Times New Roman"/>
                <w:color w:val="000000"/>
              </w:rPr>
              <w:t>Shrub density (stems/m</w:t>
            </w:r>
            <w:r w:rsidRPr="00CA038C">
              <w:rPr>
                <w:rFonts w:eastAsia="Times New Roman"/>
                <w:color w:val="000000"/>
                <w:vertAlign w:val="superscript"/>
              </w:rPr>
              <w:t>2</w:t>
            </w:r>
            <w:r w:rsidRPr="00CA038C">
              <w:rPr>
                <w:rFonts w:eastAsia="Times New Roman"/>
                <w:color w:val="000000"/>
              </w:rPr>
              <w:t>)</w:t>
            </w:r>
          </w:p>
        </w:tc>
      </w:tr>
      <w:tr w:rsidR="00E420B3" w14:paraId="2D93DE75" w14:textId="77777777" w:rsidTr="00161476">
        <w:tc>
          <w:tcPr>
            <w:tcW w:w="2070" w:type="dxa"/>
          </w:tcPr>
          <w:p w14:paraId="6045BF90" w14:textId="23AB79BA" w:rsidR="00E420B3" w:rsidRPr="00CA038C" w:rsidRDefault="00E420B3" w:rsidP="00943553">
            <w:pPr>
              <w:spacing w:line="480" w:lineRule="auto"/>
            </w:pPr>
            <w:proofErr w:type="spellStart"/>
            <w:r w:rsidRPr="00CA038C">
              <w:t>dist_edge</w:t>
            </w:r>
            <w:proofErr w:type="spellEnd"/>
          </w:p>
        </w:tc>
        <w:tc>
          <w:tcPr>
            <w:tcW w:w="7020" w:type="dxa"/>
          </w:tcPr>
          <w:p w14:paraId="6ED2F1D1" w14:textId="5B7DBADE" w:rsidR="00E420B3" w:rsidRPr="00CA038C" w:rsidRDefault="00161476" w:rsidP="00943553">
            <w:pPr>
              <w:spacing w:line="480" w:lineRule="auto"/>
            </w:pPr>
            <w:r w:rsidRPr="00CA038C">
              <w:t>Distance of point to forest edge (m; 0 m for points outside forest)</w:t>
            </w:r>
          </w:p>
        </w:tc>
      </w:tr>
      <w:tr w:rsidR="00E420B3" w14:paraId="73736133" w14:textId="77777777" w:rsidTr="00161476">
        <w:tc>
          <w:tcPr>
            <w:tcW w:w="2070" w:type="dxa"/>
          </w:tcPr>
          <w:p w14:paraId="1CC9E7FA" w14:textId="04699995" w:rsidR="00E420B3" w:rsidRPr="00CA038C" w:rsidRDefault="00E420B3" w:rsidP="00943553">
            <w:pPr>
              <w:spacing w:line="480" w:lineRule="auto"/>
            </w:pPr>
            <w:proofErr w:type="spellStart"/>
            <w:r w:rsidRPr="00CA038C">
              <w:t>nearest_patch_size</w:t>
            </w:r>
            <w:proofErr w:type="spellEnd"/>
          </w:p>
        </w:tc>
        <w:tc>
          <w:tcPr>
            <w:tcW w:w="7020" w:type="dxa"/>
          </w:tcPr>
          <w:p w14:paraId="08D52183" w14:textId="0EAD09BF" w:rsidR="00E420B3" w:rsidRPr="00CA038C" w:rsidRDefault="006F7301" w:rsidP="00943553">
            <w:pPr>
              <w:spacing w:line="480" w:lineRule="auto"/>
            </w:pPr>
            <w:r w:rsidRPr="00CA038C">
              <w:t xml:space="preserve">Size of the closest forest patch </w:t>
            </w:r>
            <w:r w:rsidRPr="00CA038C">
              <w:rPr>
                <w:rFonts w:eastAsia="Times New Roman"/>
                <w:color w:val="000000"/>
              </w:rPr>
              <w:t>(m</w:t>
            </w:r>
            <w:r w:rsidRPr="00CA038C">
              <w:rPr>
                <w:rFonts w:eastAsia="Times New Roman"/>
                <w:color w:val="000000"/>
                <w:vertAlign w:val="superscript"/>
              </w:rPr>
              <w:t>2</w:t>
            </w:r>
            <w:r w:rsidRPr="00CA038C">
              <w:rPr>
                <w:rFonts w:eastAsia="Times New Roman"/>
                <w:color w:val="000000"/>
              </w:rPr>
              <w:t>)</w:t>
            </w:r>
          </w:p>
        </w:tc>
      </w:tr>
      <w:tr w:rsidR="00E420B3" w14:paraId="39C566E4" w14:textId="77777777" w:rsidTr="00161476">
        <w:tc>
          <w:tcPr>
            <w:tcW w:w="2070" w:type="dxa"/>
          </w:tcPr>
          <w:p w14:paraId="2C64CDBA" w14:textId="6235A7C4" w:rsidR="00E420B3" w:rsidRPr="00CA038C" w:rsidRDefault="00E420B3" w:rsidP="00943553">
            <w:pPr>
              <w:spacing w:line="480" w:lineRule="auto"/>
            </w:pPr>
            <w:proofErr w:type="spellStart"/>
            <w:r w:rsidRPr="00CA038C">
              <w:t>mid_sd</w:t>
            </w:r>
            <w:proofErr w:type="spellEnd"/>
          </w:p>
        </w:tc>
        <w:tc>
          <w:tcPr>
            <w:tcW w:w="7020" w:type="dxa"/>
          </w:tcPr>
          <w:p w14:paraId="32351723" w14:textId="25AE78E5" w:rsidR="00E420B3" w:rsidRPr="00CA038C" w:rsidRDefault="006F7301" w:rsidP="00943553">
            <w:pPr>
              <w:spacing w:line="480" w:lineRule="auto"/>
            </w:pPr>
            <w:r w:rsidRPr="00CA038C">
              <w:t xml:space="preserve">Standard deviation of midstory foliage density* </w:t>
            </w:r>
          </w:p>
        </w:tc>
      </w:tr>
      <w:tr w:rsidR="00E420B3" w14:paraId="71F87B1A" w14:textId="77777777" w:rsidTr="00161476">
        <w:tc>
          <w:tcPr>
            <w:tcW w:w="2070" w:type="dxa"/>
          </w:tcPr>
          <w:p w14:paraId="6509161D" w14:textId="3F7204B6" w:rsidR="00E420B3" w:rsidRPr="00CA038C" w:rsidRDefault="00E420B3" w:rsidP="00943553">
            <w:pPr>
              <w:spacing w:line="480" w:lineRule="auto"/>
            </w:pPr>
            <w:r w:rsidRPr="00CA038C">
              <w:t>mid_dens_2.5m</w:t>
            </w:r>
          </w:p>
        </w:tc>
        <w:tc>
          <w:tcPr>
            <w:tcW w:w="7020" w:type="dxa"/>
          </w:tcPr>
          <w:p w14:paraId="28A235D8" w14:textId="6B892069" w:rsidR="00E420B3" w:rsidRPr="00CA038C" w:rsidRDefault="006F7301" w:rsidP="00943553">
            <w:pPr>
              <w:spacing w:line="480" w:lineRule="auto"/>
            </w:pPr>
            <w:r w:rsidRPr="00CA038C">
              <w:t xml:space="preserve">Foliage density at 2.5 m height (mean </w:t>
            </w:r>
            <w:r w:rsidR="006D6687" w:rsidRPr="00CA038C">
              <w:t xml:space="preserve">proportion </w:t>
            </w:r>
            <w:r w:rsidRPr="00CA038C">
              <w:t>covered of three coverboards)</w:t>
            </w:r>
          </w:p>
        </w:tc>
      </w:tr>
      <w:tr w:rsidR="006F7301" w14:paraId="2E1796C1" w14:textId="77777777" w:rsidTr="00161476">
        <w:tc>
          <w:tcPr>
            <w:tcW w:w="2070" w:type="dxa"/>
          </w:tcPr>
          <w:p w14:paraId="64979A44" w14:textId="142B9349" w:rsidR="006F7301" w:rsidRPr="00CA038C" w:rsidRDefault="006F7301" w:rsidP="00943553">
            <w:pPr>
              <w:spacing w:line="480" w:lineRule="auto"/>
            </w:pPr>
            <w:r w:rsidRPr="00CA038C">
              <w:t>mid_dens_5m</w:t>
            </w:r>
          </w:p>
        </w:tc>
        <w:tc>
          <w:tcPr>
            <w:tcW w:w="7020" w:type="dxa"/>
          </w:tcPr>
          <w:p w14:paraId="27060C6E" w14:textId="7B18D7CC" w:rsidR="006F7301" w:rsidRPr="00CA038C" w:rsidRDefault="006F7301" w:rsidP="00943553">
            <w:pPr>
              <w:spacing w:line="480" w:lineRule="auto"/>
            </w:pPr>
            <w:r w:rsidRPr="00CA038C">
              <w:t xml:space="preserve">Foliage density at 5 m height (mean </w:t>
            </w:r>
            <w:r w:rsidR="006D6687" w:rsidRPr="00CA038C">
              <w:t xml:space="preserve">proportion </w:t>
            </w:r>
            <w:r w:rsidRPr="00CA038C">
              <w:t>covered of three coverboards)</w:t>
            </w:r>
          </w:p>
        </w:tc>
      </w:tr>
    </w:tbl>
    <w:p w14:paraId="532FF398" w14:textId="5D5024BE" w:rsidR="007B7C70" w:rsidRDefault="007B7C70" w:rsidP="00943553">
      <w:pPr>
        <w:spacing w:line="480" w:lineRule="auto"/>
      </w:pPr>
    </w:p>
    <w:p w14:paraId="69A58B71" w14:textId="77777777" w:rsidR="007B7C70" w:rsidRDefault="007B7C70" w:rsidP="00943553">
      <w:pPr>
        <w:pStyle w:val="Heading2"/>
        <w:spacing w:line="480" w:lineRule="auto"/>
      </w:pPr>
      <w:r>
        <w:lastRenderedPageBreak/>
        <w:t>2.2. Models</w:t>
      </w:r>
    </w:p>
    <w:p w14:paraId="1C0A636A" w14:textId="426DA034" w:rsidR="00570022" w:rsidRDefault="006D6687" w:rsidP="00943553">
      <w:pPr>
        <w:spacing w:line="480" w:lineRule="auto"/>
        <w:ind w:firstLine="720"/>
      </w:pPr>
      <w:r>
        <w:t>When fitting each</w:t>
      </w:r>
      <w:r w:rsidR="00367111">
        <w:t xml:space="preserve"> model</w:t>
      </w:r>
      <w:r>
        <w:t>, I</w:t>
      </w:r>
      <w:r w:rsidR="00F91451">
        <w:t xml:space="preserve"> used a random</w:t>
      </w:r>
      <w:r w:rsidR="007B7C70">
        <w:t xml:space="preserve"> 80% subsample of the original data set</w:t>
      </w:r>
      <w:r w:rsidR="00367111">
        <w:t xml:space="preserve"> as a training dataset</w:t>
      </w:r>
      <w:r w:rsidR="007B7C70">
        <w:t xml:space="preserve">, </w:t>
      </w:r>
      <w:r w:rsidR="00F91451">
        <w:t>and</w:t>
      </w:r>
      <w:r w:rsidR="007B7C70">
        <w:t xml:space="preserve"> </w:t>
      </w:r>
      <w:r w:rsidR="00F91451">
        <w:t>I reserved the</w:t>
      </w:r>
      <w:r w:rsidR="007B7C70">
        <w:t xml:space="preserve"> remaining 20%</w:t>
      </w:r>
      <w:r w:rsidR="00F91451">
        <w:t xml:space="preserve"> </w:t>
      </w:r>
      <w:r w:rsidR="007B7C70">
        <w:t xml:space="preserve">as a hold-out </w:t>
      </w:r>
      <w:r w:rsidR="00621D30">
        <w:t xml:space="preserve">test </w:t>
      </w:r>
      <w:r w:rsidR="007B7C70">
        <w:t xml:space="preserve">set. </w:t>
      </w:r>
      <w:r w:rsidR="00367111">
        <w:t>Due to class imbalances</w:t>
      </w:r>
      <w:r w:rsidR="00CA038C">
        <w:t xml:space="preserve"> (105 present, </w:t>
      </w:r>
      <w:r w:rsidR="00CA038C" w:rsidRPr="00CA038C">
        <w:t xml:space="preserve">289 </w:t>
      </w:r>
      <w:r w:rsidR="00CA038C">
        <w:t>absent in the training set)</w:t>
      </w:r>
      <w:r w:rsidR="00367111">
        <w:t xml:space="preserve">, I performed resampling with replacement on the </w:t>
      </w:r>
      <w:r w:rsidR="00D81C71">
        <w:t>positive cases (</w:t>
      </w:r>
      <w:r w:rsidR="00367111">
        <w:t xml:space="preserve">points with Acadian </w:t>
      </w:r>
      <w:r w:rsidR="003D47CE">
        <w:t>Flyc</w:t>
      </w:r>
      <w:r w:rsidR="00367111">
        <w:t>atcher territories</w:t>
      </w:r>
      <w:r w:rsidR="00D81C71">
        <w:t>) within the training dataset such that the number of resampled positive cases in the training dataset was equal to the number of negative cases</w:t>
      </w:r>
      <w:r w:rsidR="00D81C71" w:rsidRPr="00D81C71">
        <w:t xml:space="preserve"> </w:t>
      </w:r>
      <w:r w:rsidR="00D81C71">
        <w:t>in the training dataset</w:t>
      </w:r>
      <w:r w:rsidR="00812F9F">
        <w:t>; this</w:t>
      </w:r>
      <w:r w:rsidR="00B41F60">
        <w:t xml:space="preserve"> resampling</w:t>
      </w:r>
      <w:r w:rsidR="00812F9F">
        <w:t xml:space="preserve"> </w:t>
      </w:r>
      <w:r w:rsidR="00B41F60">
        <w:t xml:space="preserve">converted the original training set of 394 unique observations to a partially resampled </w:t>
      </w:r>
      <w:r w:rsidR="00812F9F">
        <w:t xml:space="preserve">training set </w:t>
      </w:r>
      <w:r w:rsidR="00B41F60">
        <w:t xml:space="preserve">of </w:t>
      </w:r>
      <w:r w:rsidR="00B41F60" w:rsidRPr="00B41F60">
        <w:t>578</w:t>
      </w:r>
      <w:r w:rsidR="00B41F60">
        <w:t xml:space="preserve"> </w:t>
      </w:r>
      <w:r w:rsidR="00812F9F">
        <w:t>observations</w:t>
      </w:r>
      <w:r w:rsidR="00B41F60">
        <w:t xml:space="preserve">. </w:t>
      </w:r>
      <w:r w:rsidR="00621D30">
        <w:t xml:space="preserve">Equal sample sizes for each class were used </w:t>
      </w:r>
      <w:proofErr w:type="gramStart"/>
      <w:r w:rsidR="00621D30">
        <w:t>in an attempt to</w:t>
      </w:r>
      <w:proofErr w:type="gramEnd"/>
      <w:r w:rsidR="00621D30">
        <w:t xml:space="preserve"> balance model sensitivity and specificity.</w:t>
      </w:r>
      <w:r w:rsidR="00367111">
        <w:t xml:space="preserve"> </w:t>
      </w:r>
      <w:r w:rsidR="00F91451">
        <w:t>I tuned and compared t</w:t>
      </w:r>
      <w:r w:rsidR="007B7C70">
        <w:t>hree classification model</w:t>
      </w:r>
      <w:r w:rsidR="00385671">
        <w:t>s. To tune hyperparameters of each model type, I used 5-fold cross-validation grid searches</w:t>
      </w:r>
      <w:r w:rsidR="00D81C71">
        <w:t xml:space="preserve"> with predetermined hyperparameter combinations</w:t>
      </w:r>
      <w:r w:rsidR="00570022">
        <w:t xml:space="preserve"> from </w:t>
      </w:r>
      <w:r w:rsidR="00570022">
        <w:fldChar w:fldCharType="begin" w:fldLock="1"/>
      </w:r>
      <w:r w:rsidR="00943553">
        <w:instrText>ADDIN CSL_CITATION {"citationItems":[{"id":"ITEM-1","itemData":{"author":[{"dropping-particle":"","family":"Mahoney","given":"Michael J","non-dropping-particle":"","parse-names":false,"suffix":""}],"id":"ITEM-1","issued":{"date-parts":[["2021"]]},"title":"Machine Learning Concepts and Applications","type":"webpage"},"uris":["http://www.mendeley.com/documents/?uuid=7212dee9-c8ef-4bd4-bbbf-909c5d42ca84","http://www.mendeley.com/documents/?uuid=6e9ceddb-78ad-4b31-8ffe-49b515f1f9aa"]}],"mendeley":{"formattedCitation":"(Mahoney, 2021)","manualFormatting":"Mahoney (2021)","plainTextFormattedCitation":"(Mahoney, 2021)","previouslyFormattedCitation":"(Mahoney, 2021)"},"properties":{"noteIndex":0},"schema":"https://github.com/citation-style-language/schema/raw/master/csl-citation.json"}</w:instrText>
      </w:r>
      <w:r w:rsidR="00570022">
        <w:fldChar w:fldCharType="separate"/>
      </w:r>
      <w:r w:rsidR="00570022" w:rsidRPr="00570022">
        <w:rPr>
          <w:noProof/>
        </w:rPr>
        <w:t>Mahoney</w:t>
      </w:r>
      <w:r w:rsidR="00570022">
        <w:rPr>
          <w:noProof/>
        </w:rPr>
        <w:t xml:space="preserve"> (</w:t>
      </w:r>
      <w:r w:rsidR="00570022" w:rsidRPr="00570022">
        <w:rPr>
          <w:noProof/>
        </w:rPr>
        <w:t>2021)</w:t>
      </w:r>
      <w:r w:rsidR="00570022">
        <w:fldChar w:fldCharType="end"/>
      </w:r>
      <w:r w:rsidR="00385671">
        <w:t xml:space="preserve">. A cross-entropy loss function was used to compare predictive </w:t>
      </w:r>
      <w:r w:rsidR="00621D30">
        <w:t xml:space="preserve">ability across </w:t>
      </w:r>
      <w:r w:rsidR="00385671">
        <w:t>models within a grid search</w:t>
      </w:r>
      <w:r w:rsidR="00D81C71">
        <w:t xml:space="preserve">; the model with the lowest loss </w:t>
      </w:r>
      <w:r w:rsidR="00805173">
        <w:t xml:space="preserve">value </w:t>
      </w:r>
      <w:r w:rsidR="00D81C71">
        <w:t>was selected</w:t>
      </w:r>
      <w:r w:rsidR="00385671">
        <w:t xml:space="preserve">. </w:t>
      </w:r>
    </w:p>
    <w:p w14:paraId="780A5E7D" w14:textId="1BA6993E" w:rsidR="00D81C71" w:rsidRDefault="007B7C70" w:rsidP="00943553">
      <w:pPr>
        <w:spacing w:line="480" w:lineRule="auto"/>
        <w:ind w:firstLine="720"/>
      </w:pPr>
      <w:r>
        <w:t xml:space="preserve">The first </w:t>
      </w:r>
      <w:r w:rsidR="00385671">
        <w:t>model was a classification decision tree, fit using the ‘</w:t>
      </w:r>
      <w:proofErr w:type="spellStart"/>
      <w:r w:rsidR="00385671">
        <w:t>rpart</w:t>
      </w:r>
      <w:proofErr w:type="spellEnd"/>
      <w:r w:rsidR="00385671">
        <w:t>’ package in R</w:t>
      </w:r>
      <w:r w:rsidR="00570022">
        <w:t xml:space="preserve"> Version 4.1.1 </w:t>
      </w:r>
      <w:r w:rsidR="00385671">
        <w:t xml:space="preserve"> </w:t>
      </w:r>
      <w:r w:rsidR="00367111">
        <w:fldChar w:fldCharType="begin" w:fldLock="1"/>
      </w:r>
      <w:r w:rsidR="00943553">
        <w:instrText>ADDIN CSL_CITATION {"citationItems":[{"id":"ITEM-1","itemData":{"author":[{"dropping-particle":"","family":"Therneau","given":"Terry","non-dropping-particle":"","parse-names":false,"suffix":""},{"dropping-particle":"","family":"Atkinson","given":"Beth","non-dropping-particle":"","parse-names":false,"suffix":""}],"id":"ITEM-1","issued":{"date-parts":[["2019"]]},"title":"rpart: Recursive Partitioning and Regression Trees","type":"article"},"uris":["http://www.mendeley.com/documents/?uuid=c8110677-364f-4943-84e1-3145bae3c8eb","http://www.mendeley.com/documents/?uuid=6db9fa59-1bfa-4ab3-ba8a-ad43ac369ad3"]},{"id":"ITEM-2","itemData":{"author":[{"dropping-particle":"","family":"R Core Team","given":"","non-dropping-particle":"","parse-names":false,"suffix":""}],"id":"ITEM-2","issued":{"date-parts":[["2021"]]},"publisher-place":"Vienna, Austria","title":"R: A Language and Environment for Statistical Computing","type":"article"},"uris":["http://www.mendeley.com/documents/?uuid=6cca855b-91c9-4818-8307-bacf5a3da019","http://www.mendeley.com/documents/?uuid=46359f01-5959-469c-b4e0-c55598dab1cc"]}],"mendeley":{"formattedCitation":"(R Core Team, 2021; Therneau &amp; Atkinson, 2019)","plainTextFormattedCitation":"(R Core Team, 2021; Therneau &amp; Atkinson, 2019)","previouslyFormattedCitation":"(R Core Team, 2021; Therneau &amp; Atkinson, 2019)"},"properties":{"noteIndex":0},"schema":"https://github.com/citation-style-language/schema/raw/master/csl-citation.json"}</w:instrText>
      </w:r>
      <w:r w:rsidR="00367111">
        <w:fldChar w:fldCharType="separate"/>
      </w:r>
      <w:r w:rsidR="00367111" w:rsidRPr="00367111">
        <w:rPr>
          <w:noProof/>
        </w:rPr>
        <w:t>(R Core Team, 2021; Therneau &amp; Atkinson, 2019)</w:t>
      </w:r>
      <w:r w:rsidR="00367111">
        <w:fldChar w:fldCharType="end"/>
      </w:r>
      <w:r w:rsidR="00385671">
        <w:t>.</w:t>
      </w:r>
      <w:r w:rsidR="00367111">
        <w:t xml:space="preserve"> The minimum number of observations </w:t>
      </w:r>
      <w:r w:rsidR="00805173">
        <w:t>per leaf node</w:t>
      </w:r>
      <w:r w:rsidR="00367111">
        <w:t xml:space="preserve"> was the only hyperparameter I tuned</w:t>
      </w:r>
      <w:r w:rsidR="00570022">
        <w:t xml:space="preserve"> for the decision tree</w:t>
      </w:r>
      <w:r w:rsidR="00367111">
        <w:t xml:space="preserve">; a minimum </w:t>
      </w:r>
      <w:r w:rsidR="00D81C71">
        <w:t>of 31 observations per leaf</w:t>
      </w:r>
      <w:r w:rsidR="00805173">
        <w:t xml:space="preserve"> node</w:t>
      </w:r>
      <w:r w:rsidR="00570022">
        <w:t xml:space="preserve"> minimized cross-entropy loss</w:t>
      </w:r>
      <w:r w:rsidR="00D81C71">
        <w:t xml:space="preserve">. </w:t>
      </w:r>
      <w:r>
        <w:t xml:space="preserve">The second model evaluated was a random forest, fit using the ranger R package </w:t>
      </w:r>
      <w:r w:rsidR="00D81C71">
        <w:fldChar w:fldCharType="begin" w:fldLock="1"/>
      </w:r>
      <w:r w:rsidR="00943553">
        <w:instrText>ADDIN CSL_CITATION {"citationItems":[{"id":"ITEM-1","itemData":{"DOI":"10.18637/jss.v077.i01","author":[{"dropping-particle":"","family":"Wright","given":"Marvin N","non-dropping-particle":"","parse-names":false,"suffix":""},{"dropping-particle":"","family":"Ziegler","given":"Andreas","non-dropping-particle":"","parse-names":false,"suffix":""}],"container-title":"Journal of Statistical Software","id":"ITEM-1","issue":"1","issued":{"date-parts":[["2017"]]},"page":"1-17","title":"{ranger}: A Fast Implementation of Random Forests for High Dimensional Data in {C++} and {R}","type":"article-journal","volume":"77"},"uris":["http://www.mendeley.com/documents/?uuid=10af8ce2-b155-4043-b079-679b82061fa2","http://www.mendeley.com/documents/?uuid=36635e92-b7fa-41e9-be8b-f514fa41bb65"]}],"mendeley":{"formattedCitation":"(Wright &amp; Ziegler, 2017)","plainTextFormattedCitation":"(Wright &amp; Ziegler, 2017)","previouslyFormattedCitation":"(Wright &amp; Ziegler, 2017)"},"properties":{"noteIndex":0},"schema":"https://github.com/citation-style-language/schema/raw/master/csl-citation.json"}</w:instrText>
      </w:r>
      <w:r w:rsidR="00D81C71">
        <w:fldChar w:fldCharType="separate"/>
      </w:r>
      <w:r w:rsidR="00D81C71" w:rsidRPr="00D81C71">
        <w:rPr>
          <w:noProof/>
        </w:rPr>
        <w:t>(Wright &amp; Ziegler, 2017)</w:t>
      </w:r>
      <w:r w:rsidR="00D81C71">
        <w:fldChar w:fldCharType="end"/>
      </w:r>
      <w:r w:rsidR="00D81C71">
        <w:t>.</w:t>
      </w:r>
      <w:r w:rsidR="00805173" w:rsidRPr="00805173">
        <w:t xml:space="preserve"> </w:t>
      </w:r>
      <w:r w:rsidR="00805173">
        <w:t xml:space="preserve">The set of hyperparameters </w:t>
      </w:r>
      <w:r w:rsidR="00570022">
        <w:t>that minimized cross-entropy loss</w:t>
      </w:r>
      <w:r w:rsidR="00805173">
        <w:t xml:space="preserve"> included </w:t>
      </w:r>
      <w:r w:rsidR="00805173" w:rsidRPr="00805173">
        <w:t>800</w:t>
      </w:r>
      <w:r w:rsidR="00805173">
        <w:t xml:space="preserve"> trees, 5 variables considered per split, a minimum of </w:t>
      </w:r>
      <w:r w:rsidR="0091150A">
        <w:t>3</w:t>
      </w:r>
      <w:r w:rsidR="00805173">
        <w:t xml:space="preserve"> observations per leaf node, sampl</w:t>
      </w:r>
      <w:r w:rsidR="00570022">
        <w:t>ing</w:t>
      </w:r>
      <w:r w:rsidR="00805173">
        <w:t xml:space="preserve"> with replacement </w:t>
      </w:r>
      <w:r w:rsidR="00570022">
        <w:t>when fitting trees</w:t>
      </w:r>
      <w:r w:rsidR="00805173">
        <w:t xml:space="preserve">, </w:t>
      </w:r>
      <w:r w:rsidR="00570022">
        <w:t>and a proportion of 0.63 of the original data resampled for each tree.</w:t>
      </w:r>
      <w:r w:rsidR="00302568">
        <w:t xml:space="preserve"> The third model evaluate</w:t>
      </w:r>
      <w:r w:rsidR="00582D0B">
        <w:t xml:space="preserve">d </w:t>
      </w:r>
      <w:r w:rsidR="00302568">
        <w:t xml:space="preserve">was a stochastic gradient boosting machine fit with the </w:t>
      </w:r>
      <w:proofErr w:type="spellStart"/>
      <w:r w:rsidR="00302568">
        <w:t>lightgbm</w:t>
      </w:r>
      <w:proofErr w:type="spellEnd"/>
      <w:r w:rsidR="00302568">
        <w:t xml:space="preserve"> package </w:t>
      </w:r>
      <w:r w:rsidR="00582D0B">
        <w:fldChar w:fldCharType="begin" w:fldLock="1"/>
      </w:r>
      <w:r w:rsidR="00943553">
        <w:instrText>ADDIN CSL_CITATION {"citationItems":[{"id":"ITEM-1","itemData":{"author":[{"dropping-particle":"","family":"Shi","given":"Yu","non-dropping-particle":"","parse-names":false,"suffix":""},{"dropping-particle":"","family":"Ke","given":"Guolin","non-dropping-particle":"","parse-names":false,"suffix":""},{"dropping-particle":"","family":"Soukhavong","given":"Damien","non-dropping-particle":"","parse-names":false,"suffix":""},{"dropping-particle":"","family":"Lamb","given":"James","non-dropping-particle":"","parse-names":false,"suffix":""},{"dropping-particle":"","family":"Meng","given":"Qi","non-dropping-particle":"","parse-names":false,"suffix":""},{"dropping-particle":"","family":"Finley","given":"Thomas","non-dropping-particle":"","parse-names":false,"suffix":""},{"dropping-particle":"","family":"Wang","given":"Taifeng","non-dropping-particle":"","parse-names":false,"suffix":""},{"dropping-particle":"","family":"Chen","given":"Wei","non-dropping-particle":"","parse-names":false,"suffix":""},{"dropping-particle":"","family":"Ma","given":"Weidong","non-dropping-particle":"","parse-names":false,"suffix":""},{"dropping-particle":"","family":"Ye","given":"Qiwei","non-dropping-particle":"","parse-names":false,"suffix":""},{"dropping-particle":"","family":"Liu","given":"Tie-Yan","non-dropping-particle":"","parse-names":false,"suffix":""},{"dropping-particle":"","family":"Titov","given":"Nikita","non-dropping-particle":"","parse-names":false,"suffix":""}],"id":"ITEM-1","issued":{"date-parts":[["2021"]]},"title":"lightgbm: Light Gradient Boosting Machine","type":"article"},"uris":["http://www.mendeley.com/documents/?uuid=272b9344-876c-4ed8-b945-bcc5a908f9d8","http://www.mendeley.com/documents/?uuid=c717a3c8-b4c4-4b41-9e8f-2db515c37eb1"]}],"mendeley":{"formattedCitation":"(Shi et al., 2021)","plainTextFormattedCitation":"(Shi et al., 2021)","previouslyFormattedCitation":"(Shi et al., 2021)"},"properties":{"noteIndex":0},"schema":"https://github.com/citation-style-language/schema/raw/master/csl-citation.json"}</w:instrText>
      </w:r>
      <w:r w:rsidR="00582D0B">
        <w:fldChar w:fldCharType="separate"/>
      </w:r>
      <w:r w:rsidR="00582D0B" w:rsidRPr="00582D0B">
        <w:rPr>
          <w:noProof/>
        </w:rPr>
        <w:t>(Shi et al., 2021)</w:t>
      </w:r>
      <w:r w:rsidR="00582D0B">
        <w:fldChar w:fldCharType="end"/>
      </w:r>
      <w:r w:rsidR="00582D0B">
        <w:t xml:space="preserve">. The grid search for this model was iterative and had three stages. At the first stage, only learning rate </w:t>
      </w:r>
      <w:r w:rsidR="00582D0B">
        <w:lastRenderedPageBreak/>
        <w:t xml:space="preserve">and the number of trees were tuned, leaving other hyperparameters with their default values. At the second stage, the best values from the prior stage were used, </w:t>
      </w:r>
      <w:r w:rsidR="00536803">
        <w:t xml:space="preserve">and both maximum tree depth and minimum data in bin were tuned. For the third stage, </w:t>
      </w:r>
      <w:r w:rsidR="0067405F">
        <w:t xml:space="preserve">best values were </w:t>
      </w:r>
      <w:r w:rsidR="00536803">
        <w:t xml:space="preserve">only stochastic hyperparameters were tuned, comprising </w:t>
      </w:r>
      <w:r w:rsidR="00536803" w:rsidRPr="00536803">
        <w:t>percent of observations sampled for each tree</w:t>
      </w:r>
      <w:r w:rsidR="00AA2F40">
        <w:t xml:space="preserve">, </w:t>
      </w:r>
      <w:r w:rsidR="0067405F">
        <w:t xml:space="preserve">bootstrapping resampling frequency, and the percentage of variables available to each tree. </w:t>
      </w:r>
      <w:r w:rsidR="00D81C71">
        <w:t>Post-tuning, area under an ROC curve (AUC), overall accuracy, sensitivity, and specificity were used to compare the different model types</w:t>
      </w:r>
      <w:r w:rsidR="003152B1">
        <w:t>. AUC was calculated using R package ‘</w:t>
      </w:r>
      <w:proofErr w:type="spellStart"/>
      <w:r w:rsidR="003152B1">
        <w:t>pROC</w:t>
      </w:r>
      <w:proofErr w:type="spellEnd"/>
      <w:r w:rsidR="003152B1">
        <w:t xml:space="preserve">’ </w:t>
      </w:r>
      <w:r w:rsidR="00943553">
        <w:fldChar w:fldCharType="begin" w:fldLock="1"/>
      </w:r>
      <w:r w:rsidR="00943553">
        <w:instrText>ADDIN CSL_CITATION {"citationItems":[{"id":"ITEM-1","itemData":{"author":[{"dropping-particle":"","family":"Robin","given":"Xavier","non-dropping-particle":"","parse-names":false,"suffix":""},{"dropping-particle":"","family":"Turck","given":"Natacha","non-dropping-particle":"","parse-names":false,"suffix":""},{"dropping-particle":"","family":"Hainard","given":"Alexandre","non-dropping-particle":"","parse-names":false,"suffix":""},{"dropping-particle":"","family":"Tiberti","given":"Natalia","non-dropping-particle":"","parse-names":false,"suffix":""},{"dropping-particle":"","family":"Lisacek","given":"Frédérique","non-dropping-particle":"","parse-names":false,"suffix":""},{"dropping-particle":"","family":"Sanchez","given":"Jean-Charles","non-dropping-particle":"","parse-names":false,"suffix":""},{"dropping-particle":"","family":"Müller","given":"Markus","non-dropping-particle":"","parse-names":false,"suffix":""}],"container-title":"BMC Bioinformatics","id":"ITEM-1","issued":{"date-parts":[["2011"]]},"page":"77","title":"pROC: an open-source package for R and S+ to analyze and compare ROC curves","type":"article-journal","volume":"12"},"uris":["http://www.mendeley.com/documents/?uuid=dcf7a5c9-dfb3-4678-96ff-1267daf26144"]}],"mendeley":{"formattedCitation":"(Robin et al., 2011)","plainTextFormattedCitation":"(Robin et al., 2011)","previouslyFormattedCitation":"(Robin et al., 2011)"},"properties":{"noteIndex":0},"schema":"https://github.com/citation-style-language/schema/raw/master/csl-citation.json"}</w:instrText>
      </w:r>
      <w:r w:rsidR="00943553">
        <w:fldChar w:fldCharType="separate"/>
      </w:r>
      <w:r w:rsidR="00943553" w:rsidRPr="00943553">
        <w:rPr>
          <w:noProof/>
        </w:rPr>
        <w:t>(Robin et al., 2011)</w:t>
      </w:r>
      <w:r w:rsidR="00943553">
        <w:fldChar w:fldCharType="end"/>
      </w:r>
      <w:r w:rsidR="003152B1">
        <w:t xml:space="preserve">, and other metrics were generated from confusion matrices produced by ‘caret’ </w:t>
      </w:r>
      <w:r w:rsidR="00943553">
        <w:fldChar w:fldCharType="begin" w:fldLock="1"/>
      </w:r>
      <w:r w:rsidR="008C7AE2">
        <w:instrText>ADDIN CSL_CITATION {"citationItems":[{"id":"ITEM-1","itemData":{"author":[{"dropping-particle":"","family":"Kuhn","given":"Max","non-dropping-particle":"","parse-names":false,"suffix":""}],"id":"ITEM-1","issued":{"date-parts":[["2021"]]},"note":"R package version 6.0-88","title":"caret: Classification and Regression Training","type":"article"},"uris":["http://www.mendeley.com/documents/?uuid=c112a54a-a52e-49fb-b18c-7cddf52ffd93"]}],"mendeley":{"formattedCitation":"(Kuhn, 2021)","plainTextFormattedCitation":"(Kuhn, 2021)","previouslyFormattedCitation":"(Kuhn, 2021)"},"properties":{"noteIndex":0},"schema":"https://github.com/citation-style-language/schema/raw/master/csl-citation.json"}</w:instrText>
      </w:r>
      <w:r w:rsidR="00943553">
        <w:fldChar w:fldCharType="separate"/>
      </w:r>
      <w:r w:rsidR="00943553" w:rsidRPr="00943553">
        <w:rPr>
          <w:noProof/>
        </w:rPr>
        <w:t>(Kuhn, 2021)</w:t>
      </w:r>
      <w:r w:rsidR="00943553">
        <w:fldChar w:fldCharType="end"/>
      </w:r>
      <w:r w:rsidR="00D81C71">
        <w:t>.</w:t>
      </w:r>
    </w:p>
    <w:p w14:paraId="6EDB079D" w14:textId="3C17CC2D" w:rsidR="00F91451" w:rsidRDefault="005D6A7B" w:rsidP="00943553">
      <w:pPr>
        <w:pStyle w:val="Heading1"/>
        <w:spacing w:line="480" w:lineRule="auto"/>
      </w:pPr>
      <w:r>
        <w:t xml:space="preserve">3. </w:t>
      </w:r>
      <w:r w:rsidR="00F91451">
        <w:t>Results</w:t>
      </w:r>
    </w:p>
    <w:p w14:paraId="7F136568" w14:textId="64B3EED1" w:rsidR="00C323AC" w:rsidRDefault="00F91451" w:rsidP="00943553">
      <w:pPr>
        <w:spacing w:line="480" w:lineRule="auto"/>
      </w:pPr>
      <w:r>
        <w:t>The proportion of site</w:t>
      </w:r>
      <w:r w:rsidR="00086DBC">
        <w:t>s</w:t>
      </w:r>
      <w:r>
        <w:t xml:space="preserve"> occupied </w:t>
      </w:r>
      <w:r w:rsidR="00042CF5">
        <w:t xml:space="preserve">by singing Acadian </w:t>
      </w:r>
      <w:r w:rsidR="003D47CE">
        <w:t>Flyc</w:t>
      </w:r>
      <w:r w:rsidR="00042CF5">
        <w:t>atchers</w:t>
      </w:r>
      <w:r w:rsidR="00086DBC">
        <w:t xml:space="preserve"> was </w:t>
      </w:r>
      <w:r w:rsidR="00042CF5">
        <w:t>0.263</w:t>
      </w:r>
      <w:r w:rsidR="005A7C7D">
        <w:t xml:space="preserve">, creating a non-information rate of </w:t>
      </w:r>
      <w:r w:rsidR="005A7C7D" w:rsidRPr="005A7C7D">
        <w:t>0.737</w:t>
      </w:r>
      <w:r w:rsidR="00042CF5">
        <w:t>.</w:t>
      </w:r>
      <w:r w:rsidR="000637E8">
        <w:t xml:space="preserve"> </w:t>
      </w:r>
      <w:r w:rsidR="00621D30">
        <w:t xml:space="preserve">Overall accuracy was higher than the no information rate across all models; it ranged from 0.768 to 0.788 (Table </w:t>
      </w:r>
      <w:r w:rsidR="00812F9F">
        <w:t>2</w:t>
      </w:r>
      <w:r w:rsidR="00621D30">
        <w:t xml:space="preserve">) </w:t>
      </w:r>
      <w:r w:rsidR="00AC66AD">
        <w:t xml:space="preserve">Of the three models, </w:t>
      </w:r>
      <w:r w:rsidR="00145586">
        <w:t>the random forest and decision tree models tied for highest accuracy</w:t>
      </w:r>
      <w:r w:rsidR="00145586">
        <w:t xml:space="preserve">, and the </w:t>
      </w:r>
      <w:proofErr w:type="spellStart"/>
      <w:r w:rsidR="00145586">
        <w:t>LightGBM</w:t>
      </w:r>
      <w:proofErr w:type="spellEnd"/>
      <w:r w:rsidR="00145586">
        <w:t xml:space="preserve"> had the lowest accuracy</w:t>
      </w:r>
      <w:r w:rsidR="00145586">
        <w:t xml:space="preserve"> (Table </w:t>
      </w:r>
      <w:r w:rsidR="005A7C7D">
        <w:t>2</w:t>
      </w:r>
      <w:r w:rsidR="00145586">
        <w:t>)</w:t>
      </w:r>
      <w:r w:rsidR="00145586">
        <w:t>. Sensitivity was highest for the decision tree model, and specificity was highest for the random forest model</w:t>
      </w:r>
      <w:r w:rsidR="00CA038C">
        <w:t>; sensitivity for the random forest model was markedly lower than the other two model types</w:t>
      </w:r>
      <w:r w:rsidR="00C21B2B">
        <w:t xml:space="preserve"> (Table </w:t>
      </w:r>
      <w:r w:rsidR="005A7C7D">
        <w:t>2</w:t>
      </w:r>
      <w:r w:rsidR="00C21B2B">
        <w:t>)</w:t>
      </w:r>
      <w:r w:rsidR="00145586">
        <w:t xml:space="preserve">. </w:t>
      </w:r>
      <w:r w:rsidR="00C21B2B">
        <w:t>AUC was high across all models (Table 1), ranging from 0.869 (decision tree) to 0.899 (random forest).</w:t>
      </w:r>
    </w:p>
    <w:p w14:paraId="65DDA5E2" w14:textId="77777777" w:rsidR="00C323AC" w:rsidRDefault="00C323AC">
      <w:r>
        <w:br w:type="page"/>
      </w:r>
    </w:p>
    <w:p w14:paraId="3E9B3E5B" w14:textId="77777777" w:rsidR="00145586" w:rsidRDefault="00145586" w:rsidP="00943553">
      <w:pPr>
        <w:spacing w:line="480" w:lineRule="auto"/>
      </w:pPr>
    </w:p>
    <w:p w14:paraId="46A7426D" w14:textId="343BF708" w:rsidR="004740B3" w:rsidRPr="00CA038C" w:rsidRDefault="0059090A" w:rsidP="00CA038C">
      <w:pPr>
        <w:spacing w:line="360" w:lineRule="auto"/>
        <w:rPr>
          <w:sz w:val="22"/>
        </w:rPr>
      </w:pPr>
      <w:r w:rsidRPr="00CA038C">
        <w:rPr>
          <w:sz w:val="22"/>
        </w:rPr>
        <w:t xml:space="preserve">Table </w:t>
      </w:r>
      <w:r w:rsidR="005A7C7D" w:rsidRPr="00CA038C">
        <w:rPr>
          <w:sz w:val="22"/>
        </w:rPr>
        <w:t>2</w:t>
      </w:r>
      <w:r w:rsidRPr="00CA038C">
        <w:rPr>
          <w:sz w:val="22"/>
        </w:rPr>
        <w:t xml:space="preserve">. </w:t>
      </w:r>
      <w:r w:rsidR="00C21B2B" w:rsidRPr="00CA038C">
        <w:rPr>
          <w:sz w:val="22"/>
        </w:rPr>
        <w:t xml:space="preserve">Loss metrics for three predictive models used to predict Acadian </w:t>
      </w:r>
      <w:r w:rsidR="003D47CE">
        <w:rPr>
          <w:sz w:val="22"/>
        </w:rPr>
        <w:t>flyc</w:t>
      </w:r>
      <w:r w:rsidR="00C21B2B" w:rsidRPr="00CA038C">
        <w:rPr>
          <w:sz w:val="22"/>
        </w:rPr>
        <w:t>atcher territory presence in southern Iowa forests. These metrics were calculated by comparing model predictions to a holdout dataset.</w:t>
      </w:r>
    </w:p>
    <w:tbl>
      <w:tblPr>
        <w:tblW w:w="6480" w:type="dxa"/>
        <w:tblInd w:w="108" w:type="dxa"/>
        <w:tblBorders>
          <w:top w:val="single" w:sz="4" w:space="0" w:color="auto"/>
          <w:bottom w:val="single" w:sz="4" w:space="0" w:color="auto"/>
        </w:tblBorders>
        <w:tblLook w:val="04A0" w:firstRow="1" w:lastRow="0" w:firstColumn="1" w:lastColumn="0" w:noHBand="0" w:noVBand="1"/>
      </w:tblPr>
      <w:tblGrid>
        <w:gridCol w:w="1800"/>
        <w:gridCol w:w="1189"/>
        <w:gridCol w:w="1283"/>
        <w:gridCol w:w="1283"/>
        <w:gridCol w:w="925"/>
      </w:tblGrid>
      <w:tr w:rsidR="00145586" w:rsidRPr="0059090A" w14:paraId="53BB615C" w14:textId="77777777" w:rsidTr="00FA286C">
        <w:trPr>
          <w:trHeight w:val="290"/>
        </w:trPr>
        <w:tc>
          <w:tcPr>
            <w:tcW w:w="1800" w:type="dxa"/>
            <w:tcBorders>
              <w:top w:val="single" w:sz="4" w:space="0" w:color="auto"/>
              <w:bottom w:val="single" w:sz="4" w:space="0" w:color="auto"/>
            </w:tcBorders>
            <w:shd w:val="clear" w:color="auto" w:fill="auto"/>
            <w:noWrap/>
            <w:hideMark/>
          </w:tcPr>
          <w:p w14:paraId="75043EAB" w14:textId="3919399C" w:rsidR="00145586" w:rsidRPr="0059090A" w:rsidRDefault="00145586" w:rsidP="00943553">
            <w:pPr>
              <w:spacing w:after="0" w:line="480" w:lineRule="auto"/>
              <w:rPr>
                <w:rFonts w:eastAsia="Times New Roman" w:cs="Times New Roman"/>
                <w:b/>
                <w:bCs/>
                <w:color w:val="000000"/>
                <w:sz w:val="22"/>
              </w:rPr>
            </w:pPr>
            <w:r w:rsidRPr="00CA038C">
              <w:rPr>
                <w:b/>
                <w:bCs/>
                <w:sz w:val="22"/>
              </w:rPr>
              <w:t>Model Type</w:t>
            </w:r>
          </w:p>
        </w:tc>
        <w:tc>
          <w:tcPr>
            <w:tcW w:w="1189" w:type="dxa"/>
            <w:tcBorders>
              <w:top w:val="single" w:sz="4" w:space="0" w:color="auto"/>
              <w:bottom w:val="single" w:sz="4" w:space="0" w:color="auto"/>
            </w:tcBorders>
            <w:shd w:val="clear" w:color="auto" w:fill="auto"/>
            <w:noWrap/>
            <w:hideMark/>
          </w:tcPr>
          <w:p w14:paraId="3EE51A7C" w14:textId="50C5BD69" w:rsidR="00145586" w:rsidRPr="0059090A" w:rsidRDefault="00145586" w:rsidP="00943553">
            <w:pPr>
              <w:spacing w:after="0" w:line="480" w:lineRule="auto"/>
              <w:rPr>
                <w:rFonts w:eastAsia="Times New Roman" w:cs="Times New Roman"/>
                <w:b/>
                <w:bCs/>
                <w:color w:val="000000"/>
                <w:sz w:val="22"/>
              </w:rPr>
            </w:pPr>
            <w:r w:rsidRPr="00CA038C">
              <w:rPr>
                <w:b/>
                <w:bCs/>
                <w:sz w:val="22"/>
              </w:rPr>
              <w:t>Accuracy</w:t>
            </w:r>
          </w:p>
        </w:tc>
        <w:tc>
          <w:tcPr>
            <w:tcW w:w="1283" w:type="dxa"/>
            <w:tcBorders>
              <w:top w:val="single" w:sz="4" w:space="0" w:color="auto"/>
              <w:bottom w:val="single" w:sz="4" w:space="0" w:color="auto"/>
            </w:tcBorders>
            <w:shd w:val="clear" w:color="auto" w:fill="auto"/>
            <w:noWrap/>
            <w:hideMark/>
          </w:tcPr>
          <w:p w14:paraId="7635E454" w14:textId="1EBC2CDE" w:rsidR="00145586" w:rsidRPr="0059090A" w:rsidRDefault="00145586" w:rsidP="00943553">
            <w:pPr>
              <w:spacing w:after="0" w:line="480" w:lineRule="auto"/>
              <w:rPr>
                <w:rFonts w:eastAsia="Times New Roman" w:cs="Times New Roman"/>
                <w:b/>
                <w:bCs/>
                <w:color w:val="000000"/>
                <w:sz w:val="22"/>
              </w:rPr>
            </w:pPr>
            <w:r w:rsidRPr="00CA038C">
              <w:rPr>
                <w:b/>
                <w:bCs/>
                <w:sz w:val="22"/>
              </w:rPr>
              <w:t>Sensitivity</w:t>
            </w:r>
          </w:p>
        </w:tc>
        <w:tc>
          <w:tcPr>
            <w:tcW w:w="1283" w:type="dxa"/>
            <w:tcBorders>
              <w:top w:val="single" w:sz="4" w:space="0" w:color="auto"/>
              <w:bottom w:val="single" w:sz="4" w:space="0" w:color="auto"/>
            </w:tcBorders>
            <w:shd w:val="clear" w:color="auto" w:fill="auto"/>
            <w:noWrap/>
            <w:hideMark/>
          </w:tcPr>
          <w:p w14:paraId="0C857031" w14:textId="302E1D08" w:rsidR="00145586" w:rsidRPr="0059090A" w:rsidRDefault="00145586" w:rsidP="00943553">
            <w:pPr>
              <w:spacing w:after="0" w:line="480" w:lineRule="auto"/>
              <w:rPr>
                <w:rFonts w:eastAsia="Times New Roman" w:cs="Times New Roman"/>
                <w:b/>
                <w:bCs/>
                <w:color w:val="000000"/>
                <w:sz w:val="22"/>
              </w:rPr>
            </w:pPr>
            <w:r w:rsidRPr="00CA038C">
              <w:rPr>
                <w:b/>
                <w:bCs/>
                <w:sz w:val="22"/>
              </w:rPr>
              <w:t>Specificity</w:t>
            </w:r>
          </w:p>
        </w:tc>
        <w:tc>
          <w:tcPr>
            <w:tcW w:w="925" w:type="dxa"/>
            <w:tcBorders>
              <w:top w:val="single" w:sz="4" w:space="0" w:color="auto"/>
              <w:bottom w:val="single" w:sz="4" w:space="0" w:color="auto"/>
            </w:tcBorders>
            <w:shd w:val="clear" w:color="auto" w:fill="auto"/>
            <w:noWrap/>
            <w:hideMark/>
          </w:tcPr>
          <w:p w14:paraId="762DBD12" w14:textId="047656EC" w:rsidR="00145586" w:rsidRPr="0059090A" w:rsidRDefault="00145586" w:rsidP="00943553">
            <w:pPr>
              <w:spacing w:after="0" w:line="480" w:lineRule="auto"/>
              <w:rPr>
                <w:rFonts w:eastAsia="Times New Roman" w:cs="Times New Roman"/>
                <w:b/>
                <w:bCs/>
                <w:color w:val="000000"/>
                <w:sz w:val="22"/>
              </w:rPr>
            </w:pPr>
            <w:r w:rsidRPr="00CA038C">
              <w:rPr>
                <w:b/>
                <w:bCs/>
                <w:sz w:val="22"/>
              </w:rPr>
              <w:t>AUC</w:t>
            </w:r>
          </w:p>
        </w:tc>
      </w:tr>
      <w:tr w:rsidR="00145586" w:rsidRPr="0059090A" w14:paraId="45402F46" w14:textId="77777777" w:rsidTr="00FA286C">
        <w:trPr>
          <w:trHeight w:val="290"/>
        </w:trPr>
        <w:tc>
          <w:tcPr>
            <w:tcW w:w="1800" w:type="dxa"/>
            <w:tcBorders>
              <w:top w:val="single" w:sz="4" w:space="0" w:color="auto"/>
            </w:tcBorders>
            <w:shd w:val="clear" w:color="auto" w:fill="auto"/>
            <w:noWrap/>
            <w:hideMark/>
          </w:tcPr>
          <w:p w14:paraId="5692F025" w14:textId="2433F66A" w:rsidR="00145586" w:rsidRPr="0059090A" w:rsidRDefault="00145586" w:rsidP="00943553">
            <w:pPr>
              <w:spacing w:after="0" w:line="480" w:lineRule="auto"/>
              <w:rPr>
                <w:rFonts w:eastAsia="Times New Roman" w:cs="Times New Roman"/>
                <w:color w:val="000000"/>
                <w:sz w:val="22"/>
              </w:rPr>
            </w:pPr>
            <w:r w:rsidRPr="00CA038C">
              <w:rPr>
                <w:sz w:val="22"/>
              </w:rPr>
              <w:t>Decision Tree</w:t>
            </w:r>
          </w:p>
        </w:tc>
        <w:tc>
          <w:tcPr>
            <w:tcW w:w="1189" w:type="dxa"/>
            <w:tcBorders>
              <w:top w:val="single" w:sz="4" w:space="0" w:color="auto"/>
            </w:tcBorders>
            <w:shd w:val="clear" w:color="auto" w:fill="auto"/>
            <w:noWrap/>
            <w:hideMark/>
          </w:tcPr>
          <w:p w14:paraId="5E13A098" w14:textId="0A10AEB3" w:rsidR="00145586" w:rsidRPr="0059090A" w:rsidRDefault="00145586" w:rsidP="00943553">
            <w:pPr>
              <w:spacing w:after="0" w:line="480" w:lineRule="auto"/>
              <w:jc w:val="right"/>
              <w:rPr>
                <w:rFonts w:eastAsia="Times New Roman" w:cs="Times New Roman"/>
                <w:color w:val="000000"/>
                <w:sz w:val="22"/>
              </w:rPr>
            </w:pPr>
            <w:r w:rsidRPr="00CA038C">
              <w:rPr>
                <w:sz w:val="22"/>
              </w:rPr>
              <w:t>0.788</w:t>
            </w:r>
          </w:p>
        </w:tc>
        <w:tc>
          <w:tcPr>
            <w:tcW w:w="1283" w:type="dxa"/>
            <w:tcBorders>
              <w:top w:val="single" w:sz="4" w:space="0" w:color="auto"/>
            </w:tcBorders>
            <w:shd w:val="clear" w:color="auto" w:fill="auto"/>
            <w:noWrap/>
            <w:hideMark/>
          </w:tcPr>
          <w:p w14:paraId="3204C94D" w14:textId="60F6E6A3" w:rsidR="00145586" w:rsidRPr="0059090A" w:rsidRDefault="00145586" w:rsidP="00943553">
            <w:pPr>
              <w:spacing w:after="0" w:line="480" w:lineRule="auto"/>
              <w:jc w:val="right"/>
              <w:rPr>
                <w:rFonts w:eastAsia="Times New Roman" w:cs="Times New Roman"/>
                <w:color w:val="000000"/>
                <w:sz w:val="22"/>
              </w:rPr>
            </w:pPr>
            <w:r w:rsidRPr="00CA038C">
              <w:rPr>
                <w:sz w:val="22"/>
              </w:rPr>
              <w:t>0.846</w:t>
            </w:r>
          </w:p>
        </w:tc>
        <w:tc>
          <w:tcPr>
            <w:tcW w:w="1283" w:type="dxa"/>
            <w:tcBorders>
              <w:top w:val="single" w:sz="4" w:space="0" w:color="auto"/>
            </w:tcBorders>
            <w:shd w:val="clear" w:color="auto" w:fill="auto"/>
            <w:noWrap/>
            <w:hideMark/>
          </w:tcPr>
          <w:p w14:paraId="7CAB5FE4" w14:textId="046784C7" w:rsidR="00145586" w:rsidRPr="0059090A" w:rsidRDefault="00145586" w:rsidP="00943553">
            <w:pPr>
              <w:spacing w:after="0" w:line="480" w:lineRule="auto"/>
              <w:jc w:val="right"/>
              <w:rPr>
                <w:rFonts w:eastAsia="Times New Roman" w:cs="Times New Roman"/>
                <w:color w:val="000000"/>
                <w:sz w:val="22"/>
              </w:rPr>
            </w:pPr>
            <w:r w:rsidRPr="00CA038C">
              <w:rPr>
                <w:sz w:val="22"/>
              </w:rPr>
              <w:t>0.767</w:t>
            </w:r>
          </w:p>
        </w:tc>
        <w:tc>
          <w:tcPr>
            <w:tcW w:w="925" w:type="dxa"/>
            <w:tcBorders>
              <w:top w:val="single" w:sz="4" w:space="0" w:color="auto"/>
            </w:tcBorders>
            <w:shd w:val="clear" w:color="auto" w:fill="auto"/>
            <w:noWrap/>
            <w:hideMark/>
          </w:tcPr>
          <w:p w14:paraId="558AB4A0" w14:textId="28293FD3" w:rsidR="00145586" w:rsidRPr="0059090A" w:rsidRDefault="00145586" w:rsidP="00943553">
            <w:pPr>
              <w:spacing w:after="0" w:line="480" w:lineRule="auto"/>
              <w:jc w:val="right"/>
              <w:rPr>
                <w:rFonts w:eastAsia="Times New Roman" w:cs="Times New Roman"/>
                <w:color w:val="000000"/>
                <w:sz w:val="22"/>
              </w:rPr>
            </w:pPr>
            <w:r w:rsidRPr="00CA038C">
              <w:rPr>
                <w:sz w:val="22"/>
              </w:rPr>
              <w:t>0.869</w:t>
            </w:r>
          </w:p>
        </w:tc>
      </w:tr>
      <w:tr w:rsidR="00145586" w:rsidRPr="0059090A" w14:paraId="3E7D1D73" w14:textId="77777777" w:rsidTr="00FA286C">
        <w:trPr>
          <w:trHeight w:val="290"/>
        </w:trPr>
        <w:tc>
          <w:tcPr>
            <w:tcW w:w="1800" w:type="dxa"/>
            <w:shd w:val="clear" w:color="auto" w:fill="auto"/>
            <w:noWrap/>
            <w:hideMark/>
          </w:tcPr>
          <w:p w14:paraId="4A625F67" w14:textId="0F1F97EB" w:rsidR="00145586" w:rsidRPr="0059090A" w:rsidRDefault="00145586" w:rsidP="00943553">
            <w:pPr>
              <w:spacing w:after="0" w:line="480" w:lineRule="auto"/>
              <w:rPr>
                <w:rFonts w:eastAsia="Times New Roman" w:cs="Times New Roman"/>
                <w:color w:val="000000"/>
                <w:sz w:val="22"/>
              </w:rPr>
            </w:pPr>
            <w:r w:rsidRPr="00CA038C">
              <w:rPr>
                <w:sz w:val="22"/>
              </w:rPr>
              <w:t>Random Forest</w:t>
            </w:r>
          </w:p>
        </w:tc>
        <w:tc>
          <w:tcPr>
            <w:tcW w:w="1189" w:type="dxa"/>
            <w:shd w:val="clear" w:color="auto" w:fill="auto"/>
            <w:noWrap/>
            <w:hideMark/>
          </w:tcPr>
          <w:p w14:paraId="3AF2DD7E" w14:textId="72917366" w:rsidR="00145586" w:rsidRPr="0059090A" w:rsidRDefault="00145586" w:rsidP="00943553">
            <w:pPr>
              <w:spacing w:after="0" w:line="480" w:lineRule="auto"/>
              <w:jc w:val="right"/>
              <w:rPr>
                <w:rFonts w:eastAsia="Times New Roman" w:cs="Times New Roman"/>
                <w:color w:val="000000"/>
                <w:sz w:val="22"/>
              </w:rPr>
            </w:pPr>
            <w:r w:rsidRPr="00CA038C">
              <w:rPr>
                <w:sz w:val="22"/>
              </w:rPr>
              <w:t>0.788</w:t>
            </w:r>
          </w:p>
        </w:tc>
        <w:tc>
          <w:tcPr>
            <w:tcW w:w="1283" w:type="dxa"/>
            <w:shd w:val="clear" w:color="auto" w:fill="auto"/>
            <w:noWrap/>
            <w:hideMark/>
          </w:tcPr>
          <w:p w14:paraId="1227F3E8" w14:textId="498FCE42" w:rsidR="00145586" w:rsidRPr="0059090A" w:rsidRDefault="00145586" w:rsidP="00943553">
            <w:pPr>
              <w:spacing w:after="0" w:line="480" w:lineRule="auto"/>
              <w:jc w:val="right"/>
              <w:rPr>
                <w:rFonts w:eastAsia="Times New Roman" w:cs="Times New Roman"/>
                <w:color w:val="000000"/>
                <w:sz w:val="22"/>
              </w:rPr>
            </w:pPr>
            <w:r w:rsidRPr="00CA038C">
              <w:rPr>
                <w:sz w:val="22"/>
              </w:rPr>
              <w:t>0.654</w:t>
            </w:r>
          </w:p>
        </w:tc>
        <w:tc>
          <w:tcPr>
            <w:tcW w:w="1283" w:type="dxa"/>
            <w:shd w:val="clear" w:color="auto" w:fill="auto"/>
            <w:noWrap/>
            <w:hideMark/>
          </w:tcPr>
          <w:p w14:paraId="21C4C98D" w14:textId="72F9D965" w:rsidR="00145586" w:rsidRPr="0059090A" w:rsidRDefault="00145586" w:rsidP="00943553">
            <w:pPr>
              <w:spacing w:after="0" w:line="480" w:lineRule="auto"/>
              <w:jc w:val="right"/>
              <w:rPr>
                <w:rFonts w:eastAsia="Times New Roman" w:cs="Times New Roman"/>
                <w:color w:val="000000"/>
                <w:sz w:val="22"/>
              </w:rPr>
            </w:pPr>
            <w:r w:rsidRPr="00CA038C">
              <w:rPr>
                <w:sz w:val="22"/>
              </w:rPr>
              <w:t>0.836</w:t>
            </w:r>
          </w:p>
        </w:tc>
        <w:tc>
          <w:tcPr>
            <w:tcW w:w="925" w:type="dxa"/>
            <w:shd w:val="clear" w:color="auto" w:fill="auto"/>
            <w:noWrap/>
            <w:hideMark/>
          </w:tcPr>
          <w:p w14:paraId="1574D787" w14:textId="421C11CD" w:rsidR="00145586" w:rsidRPr="0059090A" w:rsidRDefault="00145586" w:rsidP="00943553">
            <w:pPr>
              <w:spacing w:after="0" w:line="480" w:lineRule="auto"/>
              <w:jc w:val="right"/>
              <w:rPr>
                <w:rFonts w:eastAsia="Times New Roman" w:cs="Times New Roman"/>
                <w:color w:val="000000"/>
                <w:sz w:val="22"/>
              </w:rPr>
            </w:pPr>
            <w:r w:rsidRPr="00CA038C">
              <w:rPr>
                <w:sz w:val="22"/>
              </w:rPr>
              <w:t>0.899</w:t>
            </w:r>
          </w:p>
        </w:tc>
      </w:tr>
      <w:tr w:rsidR="00145586" w:rsidRPr="0059090A" w14:paraId="0BFA831B" w14:textId="77777777" w:rsidTr="00FA286C">
        <w:trPr>
          <w:trHeight w:val="290"/>
        </w:trPr>
        <w:tc>
          <w:tcPr>
            <w:tcW w:w="1800" w:type="dxa"/>
            <w:shd w:val="clear" w:color="auto" w:fill="auto"/>
            <w:noWrap/>
            <w:hideMark/>
          </w:tcPr>
          <w:p w14:paraId="60DFA296" w14:textId="3FF8BFB4" w:rsidR="00145586" w:rsidRPr="0059090A" w:rsidRDefault="00145586" w:rsidP="00943553">
            <w:pPr>
              <w:spacing w:after="0" w:line="480" w:lineRule="auto"/>
              <w:rPr>
                <w:rFonts w:eastAsia="Times New Roman" w:cs="Times New Roman"/>
                <w:color w:val="000000"/>
                <w:sz w:val="22"/>
              </w:rPr>
            </w:pPr>
            <w:proofErr w:type="spellStart"/>
            <w:r w:rsidRPr="00CA038C">
              <w:rPr>
                <w:sz w:val="22"/>
              </w:rPr>
              <w:t>LightGBM</w:t>
            </w:r>
            <w:proofErr w:type="spellEnd"/>
          </w:p>
        </w:tc>
        <w:tc>
          <w:tcPr>
            <w:tcW w:w="1189" w:type="dxa"/>
            <w:shd w:val="clear" w:color="auto" w:fill="auto"/>
            <w:noWrap/>
            <w:hideMark/>
          </w:tcPr>
          <w:p w14:paraId="7E6D3E36" w14:textId="3FD4A244" w:rsidR="00145586" w:rsidRPr="0059090A" w:rsidRDefault="00145586" w:rsidP="00943553">
            <w:pPr>
              <w:spacing w:after="0" w:line="480" w:lineRule="auto"/>
              <w:jc w:val="right"/>
              <w:rPr>
                <w:rFonts w:eastAsia="Times New Roman" w:cs="Times New Roman"/>
                <w:color w:val="000000"/>
                <w:sz w:val="22"/>
              </w:rPr>
            </w:pPr>
            <w:r w:rsidRPr="00CA038C">
              <w:rPr>
                <w:sz w:val="22"/>
              </w:rPr>
              <w:t>0.768</w:t>
            </w:r>
          </w:p>
        </w:tc>
        <w:tc>
          <w:tcPr>
            <w:tcW w:w="1283" w:type="dxa"/>
            <w:shd w:val="clear" w:color="auto" w:fill="auto"/>
            <w:noWrap/>
            <w:hideMark/>
          </w:tcPr>
          <w:p w14:paraId="3FF8A922" w14:textId="52EE982C" w:rsidR="00145586" w:rsidRPr="0059090A" w:rsidRDefault="00145586" w:rsidP="00943553">
            <w:pPr>
              <w:spacing w:after="0" w:line="480" w:lineRule="auto"/>
              <w:jc w:val="right"/>
              <w:rPr>
                <w:rFonts w:eastAsia="Times New Roman" w:cs="Times New Roman"/>
                <w:color w:val="000000"/>
                <w:sz w:val="22"/>
              </w:rPr>
            </w:pPr>
            <w:r w:rsidRPr="00CA038C">
              <w:rPr>
                <w:sz w:val="22"/>
              </w:rPr>
              <w:t>0.808</w:t>
            </w:r>
          </w:p>
        </w:tc>
        <w:tc>
          <w:tcPr>
            <w:tcW w:w="1283" w:type="dxa"/>
            <w:shd w:val="clear" w:color="auto" w:fill="auto"/>
            <w:noWrap/>
            <w:hideMark/>
          </w:tcPr>
          <w:p w14:paraId="417D5F95" w14:textId="7F0B9B45" w:rsidR="00145586" w:rsidRPr="0059090A" w:rsidRDefault="00145586" w:rsidP="00943553">
            <w:pPr>
              <w:spacing w:after="0" w:line="480" w:lineRule="auto"/>
              <w:jc w:val="right"/>
              <w:rPr>
                <w:rFonts w:eastAsia="Times New Roman" w:cs="Times New Roman"/>
                <w:color w:val="000000"/>
                <w:sz w:val="22"/>
              </w:rPr>
            </w:pPr>
            <w:r w:rsidRPr="00CA038C">
              <w:rPr>
                <w:sz w:val="22"/>
              </w:rPr>
              <w:t>0.753</w:t>
            </w:r>
          </w:p>
        </w:tc>
        <w:tc>
          <w:tcPr>
            <w:tcW w:w="925" w:type="dxa"/>
            <w:shd w:val="clear" w:color="auto" w:fill="auto"/>
            <w:noWrap/>
            <w:hideMark/>
          </w:tcPr>
          <w:p w14:paraId="01C8B5FE" w14:textId="5F9FFB78" w:rsidR="00145586" w:rsidRPr="0059090A" w:rsidRDefault="00145586" w:rsidP="00943553">
            <w:pPr>
              <w:spacing w:after="0" w:line="480" w:lineRule="auto"/>
              <w:jc w:val="right"/>
              <w:rPr>
                <w:rFonts w:eastAsia="Times New Roman" w:cs="Times New Roman"/>
                <w:color w:val="000000"/>
                <w:sz w:val="22"/>
              </w:rPr>
            </w:pPr>
            <w:r w:rsidRPr="00CA038C">
              <w:rPr>
                <w:sz w:val="22"/>
              </w:rPr>
              <w:t>0.889</w:t>
            </w:r>
          </w:p>
        </w:tc>
      </w:tr>
    </w:tbl>
    <w:p w14:paraId="1BB95D34" w14:textId="2CB80A10" w:rsidR="005A7C7D" w:rsidRDefault="005D6A7B" w:rsidP="005A7C7D">
      <w:pPr>
        <w:pStyle w:val="Heading1"/>
        <w:spacing w:line="480" w:lineRule="auto"/>
      </w:pPr>
      <w:r>
        <w:t>4. Discussion</w:t>
      </w:r>
    </w:p>
    <w:p w14:paraId="329374B1" w14:textId="0ECAB1CE" w:rsidR="00B427FD" w:rsidRDefault="00812F9F" w:rsidP="00FF1A11">
      <w:pPr>
        <w:spacing w:line="480" w:lineRule="auto"/>
        <w:ind w:firstLine="720"/>
      </w:pPr>
      <w:r>
        <w:t xml:space="preserve">Given that the models were </w:t>
      </w:r>
      <w:r w:rsidR="00FF1A11">
        <w:t>trained with</w:t>
      </w:r>
      <w:r>
        <w:t xml:space="preserve"> </w:t>
      </w:r>
      <w:r w:rsidR="00DC5B83">
        <w:t xml:space="preserve">a relatively small, partially resampled </w:t>
      </w:r>
      <w:r w:rsidR="00F80C6E">
        <w:t>sample</w:t>
      </w:r>
      <w:r w:rsidR="00DC5B83">
        <w:t xml:space="preserve"> of </w:t>
      </w:r>
      <w:r w:rsidR="00B41F60" w:rsidRPr="00B41F60">
        <w:t>578</w:t>
      </w:r>
      <w:r>
        <w:t xml:space="preserve"> observations,</w:t>
      </w:r>
      <w:r w:rsidR="00DC5B83">
        <w:t xml:space="preserve"> it is not surprising that a simple </w:t>
      </w:r>
      <w:r w:rsidR="00F80C6E">
        <w:t>decision tree model performed identically to a random forest model in terms of overall accuracy.</w:t>
      </w:r>
      <w:r w:rsidR="009A1008">
        <w:t xml:space="preserve"> However, </w:t>
      </w:r>
      <w:r w:rsidR="00FE780B">
        <w:t xml:space="preserve">the decision tree model did the best job of predicting presence of Acadian </w:t>
      </w:r>
      <w:r w:rsidR="003D47CE">
        <w:t>Flyc</w:t>
      </w:r>
      <w:r w:rsidR="00FE780B">
        <w:t>atcher territories, i.e., it had the highest sensitivity of all three models. In contra</w:t>
      </w:r>
      <w:r w:rsidR="00CA038C">
        <w:t xml:space="preserve">st, the random forest model had </w:t>
      </w:r>
      <w:r w:rsidR="00FA286C">
        <w:t>markedly low sensitivity, but it had the highest specificity of all three models, i.e., it did the best job of predicting absences</w:t>
      </w:r>
      <w:r w:rsidR="00FF1A11">
        <w:t xml:space="preserve"> of territories</w:t>
      </w:r>
      <w:r w:rsidR="00FA286C">
        <w:t xml:space="preserve">. </w:t>
      </w:r>
      <w:r w:rsidR="00FF1A11">
        <w:t xml:space="preserve">The low sensitivity of the random forest may be due to resampling from a small pool of unique positive observations, giving the model few unique observations within the positive class. </w:t>
      </w:r>
      <w:r w:rsidR="009A1008">
        <w:t xml:space="preserve">In comparison to the other two models, the </w:t>
      </w:r>
      <w:proofErr w:type="spellStart"/>
      <w:r w:rsidR="009A1008">
        <w:t>LightGBM</w:t>
      </w:r>
      <w:proofErr w:type="spellEnd"/>
      <w:r w:rsidR="009A1008">
        <w:t xml:space="preserve"> model had slightly worse overall accuracy; this poorer performance by this metric may be due to the relatively small dataset and/or suboptimal tuning.</w:t>
      </w:r>
      <w:r w:rsidR="00D71BC1">
        <w:t xml:space="preserve"> Additional observations</w:t>
      </w:r>
      <w:r w:rsidR="00C323AC">
        <w:t xml:space="preserve">, both in terms of </w:t>
      </w:r>
      <w:proofErr w:type="spellStart"/>
      <w:r w:rsidR="00C323AC">
        <w:t>of</w:t>
      </w:r>
      <w:proofErr w:type="spellEnd"/>
      <w:r w:rsidR="00C323AC">
        <w:t xml:space="preserve"> points surveyed and number of predictors, may have improved performance of all models.</w:t>
      </w:r>
    </w:p>
    <w:p w14:paraId="17DB6070" w14:textId="2CD23D8D" w:rsidR="009A1008" w:rsidRDefault="00FF1A11" w:rsidP="00943553">
      <w:pPr>
        <w:spacing w:line="480" w:lineRule="auto"/>
      </w:pPr>
      <w:r>
        <w:tab/>
        <w:t>T</w:t>
      </w:r>
      <w:r w:rsidR="0035709E">
        <w:t xml:space="preserve">hese models could be </w:t>
      </w:r>
      <w:r w:rsidR="00E32FCF">
        <w:t xml:space="preserve">used </w:t>
      </w:r>
      <w:r w:rsidR="0035709E">
        <w:t>to predict</w:t>
      </w:r>
      <w:r w:rsidR="008C7AE2">
        <w:t xml:space="preserve"> </w:t>
      </w:r>
      <w:r w:rsidR="00903A2C">
        <w:t xml:space="preserve">Acadian </w:t>
      </w:r>
      <w:r w:rsidR="003D47CE">
        <w:t>flyc</w:t>
      </w:r>
      <w:r w:rsidR="00903A2C">
        <w:t>atcher territory presence in Iowa forests</w:t>
      </w:r>
      <w:r w:rsidR="008C7AE2">
        <w:t xml:space="preserve">, allowing for </w:t>
      </w:r>
      <w:r w:rsidR="00903A2C">
        <w:t xml:space="preserve">informed management decisions for Acadian </w:t>
      </w:r>
      <w:r w:rsidR="003D47CE">
        <w:t>flyc</w:t>
      </w:r>
      <w:r w:rsidR="00903A2C">
        <w:t xml:space="preserve">atchers without employing </w:t>
      </w:r>
      <w:r w:rsidR="00903A2C">
        <w:lastRenderedPageBreak/>
        <w:t>expensive bird monitoring programs</w:t>
      </w:r>
      <w:r w:rsidR="0035709E">
        <w:t>.</w:t>
      </w:r>
      <w:r w:rsidR="00E32FCF">
        <w:t xml:space="preserve"> </w:t>
      </w:r>
      <w:r w:rsidR="00E32FCF">
        <w:t xml:space="preserve">Given the small forest patch sizes and agriculturally dominated landscape of Iowa, these models may not be applicable to other areas. </w:t>
      </w:r>
      <w:r w:rsidR="00E32FCF">
        <w:t xml:space="preserve">Further research could </w:t>
      </w:r>
      <w:r w:rsidR="00D52032">
        <w:t xml:space="preserve">include other bird species, </w:t>
      </w:r>
      <w:r w:rsidR="00E32FCF">
        <w:t>examine the effects of dropping more labor-intensive habitat metrics</w:t>
      </w:r>
      <w:r w:rsidR="00D52032">
        <w:t>, (</w:t>
      </w:r>
      <w:r w:rsidR="00E32FCF">
        <w:t>e.g., midstory</w:t>
      </w:r>
      <w:r w:rsidR="0035709E">
        <w:t xml:space="preserve"> </w:t>
      </w:r>
      <w:r w:rsidR="00E32FCF">
        <w:t>density</w:t>
      </w:r>
      <w:r w:rsidR="00D52032">
        <w:t>)</w:t>
      </w:r>
      <w:r w:rsidR="00E32FCF">
        <w:t xml:space="preserve"> or </w:t>
      </w:r>
      <w:r w:rsidR="00D52032">
        <w:t xml:space="preserve">explore </w:t>
      </w:r>
      <w:r w:rsidR="00E32FCF">
        <w:t xml:space="preserve">the predictive consequences of using only remote-sensed data. </w:t>
      </w:r>
      <w:r w:rsidR="00937C0E">
        <w:t xml:space="preserve">The combination of interpretability by managers, high accuracy, and high sensitivity of the decision tree </w:t>
      </w:r>
      <w:r w:rsidR="00937C0E">
        <w:t>made it the preferred model in this exercise, but machine learning methods may still be useful for larger bird point count datasets.</w:t>
      </w:r>
    </w:p>
    <w:p w14:paraId="624384A0" w14:textId="6248B6C4" w:rsidR="004740B3" w:rsidRDefault="004740B3" w:rsidP="00943553">
      <w:pPr>
        <w:pStyle w:val="Heading1"/>
        <w:spacing w:line="480" w:lineRule="auto"/>
      </w:pPr>
      <w:r>
        <w:t>References</w:t>
      </w:r>
    </w:p>
    <w:p w14:paraId="5E85AB2F" w14:textId="6C7F4E96" w:rsidR="008C7AE2" w:rsidRPr="008C7AE2" w:rsidRDefault="004740B3" w:rsidP="008C7AE2">
      <w:pPr>
        <w:widowControl w:val="0"/>
        <w:autoSpaceDE w:val="0"/>
        <w:autoSpaceDN w:val="0"/>
        <w:adjustRightInd w:val="0"/>
        <w:spacing w:line="48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8C7AE2" w:rsidRPr="008C7AE2">
        <w:rPr>
          <w:rFonts w:cs="Times New Roman"/>
          <w:noProof/>
          <w:szCs w:val="24"/>
        </w:rPr>
        <w:t xml:space="preserve">Bakermans, M. H., &amp; Rodewald, A. D. (2006). Scale-Dependent Habitat use of Acadian </w:t>
      </w:r>
      <w:r w:rsidR="003D47CE">
        <w:rPr>
          <w:rFonts w:cs="Times New Roman"/>
          <w:noProof/>
          <w:szCs w:val="24"/>
        </w:rPr>
        <w:t>Flyc</w:t>
      </w:r>
      <w:r w:rsidR="008C7AE2" w:rsidRPr="008C7AE2">
        <w:rPr>
          <w:rFonts w:cs="Times New Roman"/>
          <w:noProof/>
          <w:szCs w:val="24"/>
        </w:rPr>
        <w:t xml:space="preserve">atcher (Empidonax virescens) in Central Ohio. </w:t>
      </w:r>
      <w:r w:rsidR="008C7AE2" w:rsidRPr="008C7AE2">
        <w:rPr>
          <w:rFonts w:cs="Times New Roman"/>
          <w:i/>
          <w:iCs/>
          <w:noProof/>
          <w:szCs w:val="24"/>
        </w:rPr>
        <w:t>The Auk</w:t>
      </w:r>
      <w:r w:rsidR="008C7AE2" w:rsidRPr="008C7AE2">
        <w:rPr>
          <w:rFonts w:cs="Times New Roman"/>
          <w:noProof/>
          <w:szCs w:val="24"/>
        </w:rPr>
        <w:t xml:space="preserve">, </w:t>
      </w:r>
      <w:r w:rsidR="008C7AE2" w:rsidRPr="008C7AE2">
        <w:rPr>
          <w:rFonts w:cs="Times New Roman"/>
          <w:i/>
          <w:iCs/>
          <w:noProof/>
          <w:szCs w:val="24"/>
        </w:rPr>
        <w:t>123</w:t>
      </w:r>
      <w:r w:rsidR="008C7AE2" w:rsidRPr="008C7AE2">
        <w:rPr>
          <w:rFonts w:cs="Times New Roman"/>
          <w:noProof/>
          <w:szCs w:val="24"/>
        </w:rPr>
        <w:t>(2), 368–382.</w:t>
      </w:r>
    </w:p>
    <w:p w14:paraId="49050F01"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Iowa Department of Natural Resources. (2015). </w:t>
      </w:r>
      <w:r w:rsidRPr="008C7AE2">
        <w:rPr>
          <w:rFonts w:cs="Times New Roman"/>
          <w:i/>
          <w:iCs/>
          <w:noProof/>
          <w:szCs w:val="24"/>
        </w:rPr>
        <w:t>Iowa’s Wildlife Action Plan: Securing a future for fish and wildlife.</w:t>
      </w:r>
    </w:p>
    <w:p w14:paraId="621D668A"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Kuhn, M. (2021). </w:t>
      </w:r>
      <w:r w:rsidRPr="008C7AE2">
        <w:rPr>
          <w:rFonts w:cs="Times New Roman"/>
          <w:i/>
          <w:iCs/>
          <w:noProof/>
          <w:szCs w:val="24"/>
        </w:rPr>
        <w:t>caret: Classification and Regression Training</w:t>
      </w:r>
      <w:r w:rsidRPr="008C7AE2">
        <w:rPr>
          <w:rFonts w:cs="Times New Roman"/>
          <w:noProof/>
          <w:szCs w:val="24"/>
        </w:rPr>
        <w:t>. https://cran.r-project.org/package=caret</w:t>
      </w:r>
    </w:p>
    <w:p w14:paraId="1CF3996C"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MacArthur, R. H., &amp; MacArthur, J. W. (1961). On bird species diversity. </w:t>
      </w:r>
      <w:r w:rsidRPr="008C7AE2">
        <w:rPr>
          <w:rFonts w:cs="Times New Roman"/>
          <w:i/>
          <w:iCs/>
          <w:noProof/>
          <w:szCs w:val="24"/>
        </w:rPr>
        <w:t>Ecology</w:t>
      </w:r>
      <w:r w:rsidRPr="008C7AE2">
        <w:rPr>
          <w:rFonts w:cs="Times New Roman"/>
          <w:noProof/>
          <w:szCs w:val="24"/>
        </w:rPr>
        <w:t xml:space="preserve">, </w:t>
      </w:r>
      <w:r w:rsidRPr="008C7AE2">
        <w:rPr>
          <w:rFonts w:cs="Times New Roman"/>
          <w:i/>
          <w:iCs/>
          <w:noProof/>
          <w:szCs w:val="24"/>
        </w:rPr>
        <w:t>42</w:t>
      </w:r>
      <w:r w:rsidRPr="008C7AE2">
        <w:rPr>
          <w:rFonts w:cs="Times New Roman"/>
          <w:noProof/>
          <w:szCs w:val="24"/>
        </w:rPr>
        <w:t>(3), 594–598.</w:t>
      </w:r>
    </w:p>
    <w:p w14:paraId="48517D2E"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Mahoney, M. J. (2021). </w:t>
      </w:r>
      <w:r w:rsidRPr="008C7AE2">
        <w:rPr>
          <w:rFonts w:cs="Times New Roman"/>
          <w:i/>
          <w:iCs/>
          <w:noProof/>
          <w:szCs w:val="24"/>
        </w:rPr>
        <w:t>Machine Learning Concepts and Applications</w:t>
      </w:r>
      <w:r w:rsidRPr="008C7AE2">
        <w:rPr>
          <w:rFonts w:cs="Times New Roman"/>
          <w:noProof/>
          <w:szCs w:val="24"/>
        </w:rPr>
        <w:t>.</w:t>
      </w:r>
    </w:p>
    <w:p w14:paraId="793C2958"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McDermott, M. E., Wood, P. B., Miller, G. W., &amp; Simpson, B. T. (2011). Predicting breeding bird occurrence by stand- and microhabitat-scale features in even-aged stands in the Central Appalachians. </w:t>
      </w:r>
      <w:r w:rsidRPr="008C7AE2">
        <w:rPr>
          <w:rFonts w:cs="Times New Roman"/>
          <w:i/>
          <w:iCs/>
          <w:noProof/>
          <w:szCs w:val="24"/>
        </w:rPr>
        <w:t>Forest Ecology and Management</w:t>
      </w:r>
      <w:r w:rsidRPr="008C7AE2">
        <w:rPr>
          <w:rFonts w:cs="Times New Roman"/>
          <w:noProof/>
          <w:szCs w:val="24"/>
        </w:rPr>
        <w:t xml:space="preserve">, </w:t>
      </w:r>
      <w:r w:rsidRPr="008C7AE2">
        <w:rPr>
          <w:rFonts w:cs="Times New Roman"/>
          <w:i/>
          <w:iCs/>
          <w:noProof/>
          <w:szCs w:val="24"/>
        </w:rPr>
        <w:t>261</w:t>
      </w:r>
      <w:r w:rsidRPr="008C7AE2">
        <w:rPr>
          <w:rFonts w:cs="Times New Roman"/>
          <w:noProof/>
          <w:szCs w:val="24"/>
        </w:rPr>
        <w:t>(3). https://doi.org/10.1016/j.foreco.2010.10.020</w:t>
      </w:r>
    </w:p>
    <w:p w14:paraId="140B1ACB"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lastRenderedPageBreak/>
        <w:t xml:space="preserve">Mitchell, M. S., Lancia, R. A., &amp; Gerwin, J. A. (2001). Using landscape-level data to predict the distribution of birds on a managed forest: Effects of scale. </w:t>
      </w:r>
      <w:r w:rsidRPr="008C7AE2">
        <w:rPr>
          <w:rFonts w:cs="Times New Roman"/>
          <w:i/>
          <w:iCs/>
          <w:noProof/>
          <w:szCs w:val="24"/>
        </w:rPr>
        <w:t>Ecological Applications</w:t>
      </w:r>
      <w:r w:rsidRPr="008C7AE2">
        <w:rPr>
          <w:rFonts w:cs="Times New Roman"/>
          <w:noProof/>
          <w:szCs w:val="24"/>
        </w:rPr>
        <w:t xml:space="preserve">, </w:t>
      </w:r>
      <w:r w:rsidRPr="008C7AE2">
        <w:rPr>
          <w:rFonts w:cs="Times New Roman"/>
          <w:i/>
          <w:iCs/>
          <w:noProof/>
          <w:szCs w:val="24"/>
        </w:rPr>
        <w:t>11</w:t>
      </w:r>
      <w:r w:rsidRPr="008C7AE2">
        <w:rPr>
          <w:rFonts w:cs="Times New Roman"/>
          <w:noProof/>
          <w:szCs w:val="24"/>
        </w:rPr>
        <w:t>(6). https://doi.org/10.1890/1051-0761(2001)011[1692:ULLDTP]2.0.CO;2</w:t>
      </w:r>
    </w:p>
    <w:p w14:paraId="090FA11C"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R Core Team. (2021). </w:t>
      </w:r>
      <w:r w:rsidRPr="008C7AE2">
        <w:rPr>
          <w:rFonts w:cs="Times New Roman"/>
          <w:i/>
          <w:iCs/>
          <w:noProof/>
          <w:szCs w:val="24"/>
        </w:rPr>
        <w:t>R: A Language and Environment for Statistical Computing</w:t>
      </w:r>
      <w:r w:rsidRPr="008C7AE2">
        <w:rPr>
          <w:rFonts w:cs="Times New Roman"/>
          <w:noProof/>
          <w:szCs w:val="24"/>
        </w:rPr>
        <w:t>.</w:t>
      </w:r>
    </w:p>
    <w:p w14:paraId="37A46DF6"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Reidy, J. L., Thompson III, F. R., &amp; Kendrick, S. W. (2014). Breeding bird response to habitat and landscape factors across a gradient of savanna, woodland, and forest in the Missouri Ozarks. </w:t>
      </w:r>
      <w:r w:rsidRPr="008C7AE2">
        <w:rPr>
          <w:rFonts w:cs="Times New Roman"/>
          <w:i/>
          <w:iCs/>
          <w:noProof/>
          <w:szCs w:val="24"/>
        </w:rPr>
        <w:t>Forest Ecology and Management</w:t>
      </w:r>
      <w:r w:rsidRPr="008C7AE2">
        <w:rPr>
          <w:rFonts w:cs="Times New Roman"/>
          <w:noProof/>
          <w:szCs w:val="24"/>
        </w:rPr>
        <w:t xml:space="preserve">, </w:t>
      </w:r>
      <w:r w:rsidRPr="008C7AE2">
        <w:rPr>
          <w:rFonts w:cs="Times New Roman"/>
          <w:i/>
          <w:iCs/>
          <w:noProof/>
          <w:szCs w:val="24"/>
        </w:rPr>
        <w:t>313</w:t>
      </w:r>
      <w:r w:rsidRPr="008C7AE2">
        <w:rPr>
          <w:rFonts w:cs="Times New Roman"/>
          <w:noProof/>
          <w:szCs w:val="24"/>
        </w:rPr>
        <w:t>, 34–46.</w:t>
      </w:r>
    </w:p>
    <w:p w14:paraId="3A1B5873"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Robin, X., Turck, N., Hainard, A., Tiberti, N., Lisacek, F., Sanchez, J.-C., &amp; Müller, M. (2011). pROC: an open-source package for R and S+ to analyze and compare ROC curves. </w:t>
      </w:r>
      <w:r w:rsidRPr="008C7AE2">
        <w:rPr>
          <w:rFonts w:cs="Times New Roman"/>
          <w:i/>
          <w:iCs/>
          <w:noProof/>
          <w:szCs w:val="24"/>
        </w:rPr>
        <w:t>BMC Bioinformatics</w:t>
      </w:r>
      <w:r w:rsidRPr="008C7AE2">
        <w:rPr>
          <w:rFonts w:cs="Times New Roman"/>
          <w:noProof/>
          <w:szCs w:val="24"/>
        </w:rPr>
        <w:t xml:space="preserve">, </w:t>
      </w:r>
      <w:r w:rsidRPr="008C7AE2">
        <w:rPr>
          <w:rFonts w:cs="Times New Roman"/>
          <w:i/>
          <w:iCs/>
          <w:noProof/>
          <w:szCs w:val="24"/>
        </w:rPr>
        <w:t>12</w:t>
      </w:r>
      <w:r w:rsidRPr="008C7AE2">
        <w:rPr>
          <w:rFonts w:cs="Times New Roman"/>
          <w:noProof/>
          <w:szCs w:val="24"/>
        </w:rPr>
        <w:t>, 77.</w:t>
      </w:r>
    </w:p>
    <w:p w14:paraId="461D04B3"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Rodewald, A. D., &amp; Abrams, M. D. (2002). Floristics and avian community structure: implications for regional changes in eastern forest composition. </w:t>
      </w:r>
      <w:r w:rsidRPr="008C7AE2">
        <w:rPr>
          <w:rFonts w:cs="Times New Roman"/>
          <w:i/>
          <w:iCs/>
          <w:noProof/>
          <w:szCs w:val="24"/>
        </w:rPr>
        <w:t>Forest Science</w:t>
      </w:r>
      <w:r w:rsidRPr="008C7AE2">
        <w:rPr>
          <w:rFonts w:cs="Times New Roman"/>
          <w:noProof/>
          <w:szCs w:val="24"/>
        </w:rPr>
        <w:t xml:space="preserve">, </w:t>
      </w:r>
      <w:r w:rsidRPr="008C7AE2">
        <w:rPr>
          <w:rFonts w:cs="Times New Roman"/>
          <w:i/>
          <w:iCs/>
          <w:noProof/>
          <w:szCs w:val="24"/>
        </w:rPr>
        <w:t>48</w:t>
      </w:r>
      <w:r w:rsidRPr="008C7AE2">
        <w:rPr>
          <w:rFonts w:cs="Times New Roman"/>
          <w:noProof/>
          <w:szCs w:val="24"/>
        </w:rPr>
        <w:t>(2), 267–272.</w:t>
      </w:r>
    </w:p>
    <w:p w14:paraId="624A2775"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Rosenberg, K. V, Dokter, A. M., Blancher, P. J., Sauer, J. R., Smith, A. C., Smith, P. A., Stanton, J. C., Panjabi, A., Helft, L., Parr, M., &amp; others. (2019). Decline of the North American avifauna. </w:t>
      </w:r>
      <w:r w:rsidRPr="008C7AE2">
        <w:rPr>
          <w:rFonts w:cs="Times New Roman"/>
          <w:i/>
          <w:iCs/>
          <w:noProof/>
          <w:szCs w:val="24"/>
        </w:rPr>
        <w:t>Science</w:t>
      </w:r>
      <w:r w:rsidRPr="008C7AE2">
        <w:rPr>
          <w:rFonts w:cs="Times New Roman"/>
          <w:noProof/>
          <w:szCs w:val="24"/>
        </w:rPr>
        <w:t xml:space="preserve">, </w:t>
      </w:r>
      <w:r w:rsidRPr="008C7AE2">
        <w:rPr>
          <w:rFonts w:cs="Times New Roman"/>
          <w:i/>
          <w:iCs/>
          <w:noProof/>
          <w:szCs w:val="24"/>
        </w:rPr>
        <w:t>366</w:t>
      </w:r>
      <w:r w:rsidRPr="008C7AE2">
        <w:rPr>
          <w:rFonts w:cs="Times New Roman"/>
          <w:noProof/>
          <w:szCs w:val="24"/>
        </w:rPr>
        <w:t>(6461), 120–124.</w:t>
      </w:r>
    </w:p>
    <w:p w14:paraId="51D8AAF0"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Shi, Y., Ke, G., Soukhavong, D., Lamb, J., Meng, Q., Finley, T., Wang, T., Chen, W., Ma, W., Ye, Q., Liu, T.-Y., &amp; Titov, N. (2021). </w:t>
      </w:r>
      <w:r w:rsidRPr="008C7AE2">
        <w:rPr>
          <w:rFonts w:cs="Times New Roman"/>
          <w:i/>
          <w:iCs/>
          <w:noProof/>
          <w:szCs w:val="24"/>
        </w:rPr>
        <w:t>lightgbm: Light Gradient Boosting Machine</w:t>
      </w:r>
      <w:r w:rsidRPr="008C7AE2">
        <w:rPr>
          <w:rFonts w:cs="Times New Roman"/>
          <w:noProof/>
          <w:szCs w:val="24"/>
        </w:rPr>
        <w:t>.</w:t>
      </w:r>
    </w:p>
    <w:p w14:paraId="0022A790"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Therneau, T., &amp; Atkinson, B. (2019). </w:t>
      </w:r>
      <w:r w:rsidRPr="008C7AE2">
        <w:rPr>
          <w:rFonts w:cs="Times New Roman"/>
          <w:i/>
          <w:iCs/>
          <w:noProof/>
          <w:szCs w:val="24"/>
        </w:rPr>
        <w:t>rpart: Recursive Partitioning and Regression Trees</w:t>
      </w:r>
      <w:r w:rsidRPr="008C7AE2">
        <w:rPr>
          <w:rFonts w:cs="Times New Roman"/>
          <w:noProof/>
          <w:szCs w:val="24"/>
        </w:rPr>
        <w:t>.</w:t>
      </w:r>
    </w:p>
    <w:p w14:paraId="4C82E1C7"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t xml:space="preserve">USDA National Agricultural Statistics Service Cropland Data Layer. (2019). </w:t>
      </w:r>
      <w:r w:rsidRPr="008C7AE2">
        <w:rPr>
          <w:rFonts w:cs="Times New Roman"/>
          <w:i/>
          <w:iCs/>
          <w:noProof/>
          <w:szCs w:val="24"/>
        </w:rPr>
        <w:t>Published crop-specific data layer [Online]</w:t>
      </w:r>
      <w:r w:rsidRPr="008C7AE2">
        <w:rPr>
          <w:rFonts w:cs="Times New Roman"/>
          <w:noProof/>
          <w:szCs w:val="24"/>
        </w:rPr>
        <w:t>. https://nassgeodata.gmu.edu/CropScape/</w:t>
      </w:r>
    </w:p>
    <w:p w14:paraId="541C7E6A" w14:textId="77777777" w:rsidR="008C7AE2" w:rsidRPr="008C7AE2" w:rsidRDefault="008C7AE2" w:rsidP="008C7AE2">
      <w:pPr>
        <w:widowControl w:val="0"/>
        <w:autoSpaceDE w:val="0"/>
        <w:autoSpaceDN w:val="0"/>
        <w:adjustRightInd w:val="0"/>
        <w:spacing w:line="480" w:lineRule="auto"/>
        <w:ind w:left="480" w:hanging="480"/>
        <w:rPr>
          <w:rFonts w:cs="Times New Roman"/>
          <w:noProof/>
          <w:szCs w:val="24"/>
        </w:rPr>
      </w:pPr>
      <w:r w:rsidRPr="008C7AE2">
        <w:rPr>
          <w:rFonts w:cs="Times New Roman"/>
          <w:noProof/>
          <w:szCs w:val="24"/>
        </w:rPr>
        <w:lastRenderedPageBreak/>
        <w:t xml:space="preserve">West, B. M. (2020). </w:t>
      </w:r>
      <w:r w:rsidRPr="008C7AE2">
        <w:rPr>
          <w:rFonts w:cs="Times New Roman"/>
          <w:i/>
          <w:iCs/>
          <w:noProof/>
          <w:szCs w:val="24"/>
        </w:rPr>
        <w:t>Bird-habitat relationships in southern Iowa forests</w:t>
      </w:r>
      <w:r w:rsidRPr="008C7AE2">
        <w:rPr>
          <w:rFonts w:cs="Times New Roman"/>
          <w:noProof/>
          <w:szCs w:val="24"/>
        </w:rPr>
        <w:t>. Iowa State University, Ames, IA.</w:t>
      </w:r>
    </w:p>
    <w:p w14:paraId="642A78AE" w14:textId="77777777" w:rsidR="008C7AE2" w:rsidRPr="008C7AE2" w:rsidRDefault="008C7AE2" w:rsidP="008C7AE2">
      <w:pPr>
        <w:widowControl w:val="0"/>
        <w:autoSpaceDE w:val="0"/>
        <w:autoSpaceDN w:val="0"/>
        <w:adjustRightInd w:val="0"/>
        <w:spacing w:line="480" w:lineRule="auto"/>
        <w:ind w:left="480" w:hanging="480"/>
        <w:rPr>
          <w:rFonts w:cs="Times New Roman"/>
          <w:noProof/>
        </w:rPr>
      </w:pPr>
      <w:r w:rsidRPr="008C7AE2">
        <w:rPr>
          <w:rFonts w:cs="Times New Roman"/>
          <w:noProof/>
          <w:szCs w:val="24"/>
        </w:rPr>
        <w:t xml:space="preserve">Wright, M. N., &amp; Ziegler, A. (2017). {ranger}: A Fast Implementation of Random Forests for High Dimensional Data in {C++} and {R}. </w:t>
      </w:r>
      <w:r w:rsidRPr="008C7AE2">
        <w:rPr>
          <w:rFonts w:cs="Times New Roman"/>
          <w:i/>
          <w:iCs/>
          <w:noProof/>
          <w:szCs w:val="24"/>
        </w:rPr>
        <w:t>Journal of Statistical Software</w:t>
      </w:r>
      <w:r w:rsidRPr="008C7AE2">
        <w:rPr>
          <w:rFonts w:cs="Times New Roman"/>
          <w:noProof/>
          <w:szCs w:val="24"/>
        </w:rPr>
        <w:t xml:space="preserve">, </w:t>
      </w:r>
      <w:r w:rsidRPr="008C7AE2">
        <w:rPr>
          <w:rFonts w:cs="Times New Roman"/>
          <w:i/>
          <w:iCs/>
          <w:noProof/>
          <w:szCs w:val="24"/>
        </w:rPr>
        <w:t>77</w:t>
      </w:r>
      <w:r w:rsidRPr="008C7AE2">
        <w:rPr>
          <w:rFonts w:cs="Times New Roman"/>
          <w:noProof/>
          <w:szCs w:val="24"/>
        </w:rPr>
        <w:t>(1), 1–17. https://doi.org/10.18637/jss.v077.i01</w:t>
      </w:r>
    </w:p>
    <w:p w14:paraId="7DAFF47E" w14:textId="0331C6C4" w:rsidR="004740B3" w:rsidRPr="00F91451" w:rsidRDefault="004740B3" w:rsidP="00943553">
      <w:pPr>
        <w:spacing w:line="480" w:lineRule="auto"/>
      </w:pPr>
      <w:r>
        <w:fldChar w:fldCharType="end"/>
      </w:r>
    </w:p>
    <w:sectPr w:rsidR="004740B3" w:rsidRPr="00F9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5E43"/>
    <w:rsid w:val="00042CF5"/>
    <w:rsid w:val="000637E8"/>
    <w:rsid w:val="00074166"/>
    <w:rsid w:val="00086DBC"/>
    <w:rsid w:val="000D1381"/>
    <w:rsid w:val="00102D27"/>
    <w:rsid w:val="00145586"/>
    <w:rsid w:val="00152B45"/>
    <w:rsid w:val="00161476"/>
    <w:rsid w:val="001755F8"/>
    <w:rsid w:val="00302568"/>
    <w:rsid w:val="003152B1"/>
    <w:rsid w:val="00315CFE"/>
    <w:rsid w:val="0035709E"/>
    <w:rsid w:val="00367111"/>
    <w:rsid w:val="00385671"/>
    <w:rsid w:val="003D47CE"/>
    <w:rsid w:val="00432516"/>
    <w:rsid w:val="00442362"/>
    <w:rsid w:val="004740B3"/>
    <w:rsid w:val="004C11BC"/>
    <w:rsid w:val="00536803"/>
    <w:rsid w:val="00570022"/>
    <w:rsid w:val="00574DBE"/>
    <w:rsid w:val="00582D0B"/>
    <w:rsid w:val="0059090A"/>
    <w:rsid w:val="005A1328"/>
    <w:rsid w:val="005A210A"/>
    <w:rsid w:val="005A7C7D"/>
    <w:rsid w:val="005D6A7B"/>
    <w:rsid w:val="00621D30"/>
    <w:rsid w:val="006303AD"/>
    <w:rsid w:val="0066280F"/>
    <w:rsid w:val="0067405F"/>
    <w:rsid w:val="006D6687"/>
    <w:rsid w:val="006E179B"/>
    <w:rsid w:val="006E1A98"/>
    <w:rsid w:val="006F7301"/>
    <w:rsid w:val="007227CC"/>
    <w:rsid w:val="00753298"/>
    <w:rsid w:val="007B7C70"/>
    <w:rsid w:val="007C4C77"/>
    <w:rsid w:val="00805173"/>
    <w:rsid w:val="00812F9F"/>
    <w:rsid w:val="008C7AE2"/>
    <w:rsid w:val="00903A2C"/>
    <w:rsid w:val="0091150A"/>
    <w:rsid w:val="00937C0E"/>
    <w:rsid w:val="00943553"/>
    <w:rsid w:val="009873F4"/>
    <w:rsid w:val="009A1008"/>
    <w:rsid w:val="00A05E43"/>
    <w:rsid w:val="00AA2F40"/>
    <w:rsid w:val="00AC66AD"/>
    <w:rsid w:val="00AD0BDB"/>
    <w:rsid w:val="00B41F60"/>
    <w:rsid w:val="00B427FD"/>
    <w:rsid w:val="00B87A22"/>
    <w:rsid w:val="00C14658"/>
    <w:rsid w:val="00C21B2B"/>
    <w:rsid w:val="00C323AC"/>
    <w:rsid w:val="00CA038C"/>
    <w:rsid w:val="00CC4F73"/>
    <w:rsid w:val="00D419C8"/>
    <w:rsid w:val="00D52032"/>
    <w:rsid w:val="00D71BC1"/>
    <w:rsid w:val="00D81C71"/>
    <w:rsid w:val="00DC5B83"/>
    <w:rsid w:val="00DE7F00"/>
    <w:rsid w:val="00DF31E1"/>
    <w:rsid w:val="00E32FCF"/>
    <w:rsid w:val="00E420B3"/>
    <w:rsid w:val="00E95C01"/>
    <w:rsid w:val="00EF7553"/>
    <w:rsid w:val="00F80C6E"/>
    <w:rsid w:val="00F87723"/>
    <w:rsid w:val="00F91451"/>
    <w:rsid w:val="00FA286C"/>
    <w:rsid w:val="00FE780B"/>
    <w:rsid w:val="00FF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52A8"/>
  <w15:docId w15:val="{8BF694B5-3D51-483D-98D3-32F125F6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16"/>
    <w:rPr>
      <w:rFonts w:ascii="Times New Roman" w:hAnsi="Times New Roman"/>
      <w:sz w:val="24"/>
    </w:rPr>
  </w:style>
  <w:style w:type="paragraph" w:styleId="Heading1">
    <w:name w:val="heading 1"/>
    <w:basedOn w:val="Normal"/>
    <w:next w:val="Normal"/>
    <w:link w:val="Heading1Char"/>
    <w:uiPriority w:val="9"/>
    <w:qFormat/>
    <w:rsid w:val="0007416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74166"/>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B87A22"/>
    <w:pPr>
      <w:keepNext/>
      <w:keepLines/>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semiHidden/>
    <w:unhideWhenUsed/>
    <w:qFormat/>
    <w:rsid w:val="00E420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166"/>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074166"/>
    <w:rPr>
      <w:rFonts w:ascii="Times New Roman" w:eastAsiaTheme="majorEastAsia" w:hAnsi="Times New Roman" w:cstheme="majorBidi"/>
      <w:b/>
      <w:spacing w:val="-10"/>
      <w:kern w:val="28"/>
      <w:sz w:val="24"/>
      <w:szCs w:val="56"/>
    </w:rPr>
  </w:style>
  <w:style w:type="paragraph" w:styleId="NoSpacing">
    <w:name w:val="No Spacing"/>
    <w:uiPriority w:val="1"/>
    <w:qFormat/>
    <w:rsid w:val="0007416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07416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74166"/>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B87A22"/>
    <w:rPr>
      <w:rFonts w:ascii="Times New Roman" w:eastAsiaTheme="majorEastAsia" w:hAnsi="Times New Roman" w:cstheme="majorBidi"/>
      <w:sz w:val="24"/>
      <w:szCs w:val="24"/>
      <w:u w:val="single"/>
    </w:rPr>
  </w:style>
  <w:style w:type="table" w:styleId="TableGrid">
    <w:name w:val="Table Grid"/>
    <w:basedOn w:val="TableNormal"/>
    <w:uiPriority w:val="39"/>
    <w:rsid w:val="00E42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420B3"/>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484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0230C-C155-453B-9249-1B858FE6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12417</TotalTime>
  <Pages>10</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dc:creator>
  <cp:keywords/>
  <dc:description/>
  <cp:lastModifiedBy>Ben West</cp:lastModifiedBy>
  <cp:revision>7</cp:revision>
  <dcterms:created xsi:type="dcterms:W3CDTF">2021-11-11T22:25:00Z</dcterms:created>
  <dcterms:modified xsi:type="dcterms:W3CDTF">2021-11-28T20:27:00Z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388808b6-8759-30f9-9de7-b30974dd7fbd</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http://www.zotero.org/styles/council-of-science-editors-author-date</vt:lpwstr>
  </property>
  <property fmtid="{D5CDD505-2E9C-101B-9397-08002B2CF9AE}" pid="16" name="Mendeley Recent Style Name 5_1">
    <vt:lpwstr>Council of Science Editors, Name-Year (author-date)</vt:lpwstr>
  </property>
  <property fmtid="{D5CDD505-2E9C-101B-9397-08002B2CF9AE}" pid="17" name="Mendeley Recent Style Id 6_1">
    <vt:lpwstr>http://www.zotero.org/styles/ecosphere</vt:lpwstr>
  </property>
  <property fmtid="{D5CDD505-2E9C-101B-9397-08002B2CF9AE}" pid="18" name="Mendeley Recent Style Name 6_1">
    <vt:lpwstr>Ecosphere</vt:lpwstr>
  </property>
  <property fmtid="{D5CDD505-2E9C-101B-9397-08002B2CF9AE}" pid="19" name="Mendeley Recent Style Id 7_1">
    <vt:lpwstr>http://www.zotero.org/styles/forest-ecology-and-management</vt:lpwstr>
  </property>
  <property fmtid="{D5CDD505-2E9C-101B-9397-08002B2CF9AE}" pid="20" name="Mendeley Recent Style Name 7_1">
    <vt:lpwstr>Forest Ecology and Management</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http://www.zotero.org/styles/the-condor</vt:lpwstr>
  </property>
  <property fmtid="{D5CDD505-2E9C-101B-9397-08002B2CF9AE}" pid="24" name="Mendeley Recent Style Name 9_1">
    <vt:lpwstr>The Condor</vt:lpwstr>
  </property>
</Properties>
</file>