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rPr>
          <w:rFonts w:ascii="Arial" w:cs="Arial" w:eastAsia="Arial" w:hAnsi="Arial"/>
          <w:b/>
          <w:bCs/>
          <w:color w:val="0A0A0F"/>
          <w:sz w:val="36"/>
          <w:szCs w:val="36"/>
        </w:rPr>
        <w:t xml:space="preserve">Commercial Lease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DE9FE" w:val="clear"/>
            <w:tcMar>
              <w:top w:type="dxa" w:w="80"/>
              <w:left w:type="dxa" w:w="160"/>
              <w:bottom w:type="dxa" w:w="80"/>
              <w:right w:type="dxa" w:w="160"/>
            </w:tcMar>
          </w:tcPr>
          <w:p>
            <w:r>
              <w:rPr>
                <w:rFonts w:ascii="Arial" w:cs="Arial" w:eastAsia="Arial" w:hAnsi="Arial"/>
                <w:b/>
                <w:bCs/>
                <w:color w:val="4F46E5"/>
                <w:sz w:val="20"/>
                <w:szCs w:val="20"/>
              </w:rPr>
              <w:t xml:space="preserve">Document Type</w:t>
            </w:r>
          </w:p>
        </w:tc>
        <w:tc>
          <w:tcPr>
            <w:tcW w:type="dxa" w:w="7020"/>
            <w:tcBorders>
              <w:top w:val="single" w:color="CCCCCC" w:sz="1"/>
              <w:left w:val="single" w:color="CCCCCC" w:sz="1"/>
              <w:bottom w:val="single" w:color="CCCCCC" w:sz="1"/>
              <w:right w:val="single" w:color="CCCCCC" w:sz="1"/>
            </w:tcBorders>
            <w:shd w:fill="F8F8FC" w:val="clear"/>
            <w:tcMar>
              <w:top w:type="dxa" w:w="80"/>
              <w:left w:type="dxa" w:w="160"/>
              <w:bottom w:type="dxa" w:w="80"/>
              <w:right w:type="dxa" w:w="160"/>
            </w:tcMar>
          </w:tcPr>
          <w:p>
            <w:r>
              <w:rPr>
                <w:rFonts w:ascii="Arial" w:cs="Arial" w:eastAsia="Arial" w:hAnsi="Arial"/>
                <w:color w:val="1C1C2E"/>
                <w:sz w:val="20"/>
                <w:szCs w:val="20"/>
              </w:rPr>
              <w:t xml:space="preserve">Commercial Property Lease</w:t>
            </w:r>
          </w:p>
        </w:tc>
      </w:tr>
      <w:tr>
        <w:tc>
          <w:tcPr>
            <w:tcW w:type="dxa" w:w="2340"/>
            <w:tcBorders>
              <w:top w:val="single" w:color="CCCCCC" w:sz="1"/>
              <w:left w:val="single" w:color="CCCCCC" w:sz="1"/>
              <w:bottom w:val="single" w:color="CCCCCC" w:sz="1"/>
              <w:right w:val="single" w:color="CCCCCC" w:sz="1"/>
            </w:tcBorders>
            <w:shd w:fill="EDE9FE" w:val="clear"/>
            <w:tcMar>
              <w:top w:type="dxa" w:w="80"/>
              <w:left w:type="dxa" w:w="160"/>
              <w:bottom w:type="dxa" w:w="80"/>
              <w:right w:type="dxa" w:w="160"/>
            </w:tcMar>
          </w:tcPr>
          <w:p>
            <w:r>
              <w:rPr>
                <w:rFonts w:ascii="Arial" w:cs="Arial" w:eastAsia="Arial" w:hAnsi="Arial"/>
                <w:b/>
                <w:bCs/>
                <w:color w:val="4F46E5"/>
                <w:sz w:val="20"/>
                <w:szCs w:val="20"/>
              </w:rPr>
              <w:t xml:space="preserve">Translation Direction</w:t>
            </w:r>
          </w:p>
        </w:tc>
        <w:tc>
          <w:tcPr>
            <w:tcW w:type="dxa" w:w="7020"/>
            <w:tcBorders>
              <w:top w:val="single" w:color="CCCCCC" w:sz="1"/>
              <w:left w:val="single" w:color="CCCCCC" w:sz="1"/>
              <w:bottom w:val="single" w:color="CCCCCC" w:sz="1"/>
              <w:right w:val="single" w:color="CCCCCC" w:sz="1"/>
            </w:tcBorders>
            <w:shd w:fill="F8F8FC" w:val="clear"/>
            <w:tcMar>
              <w:top w:type="dxa" w:w="80"/>
              <w:left w:type="dxa" w:w="160"/>
              <w:bottom w:type="dxa" w:w="80"/>
              <w:right w:type="dxa" w:w="160"/>
            </w:tcMar>
          </w:tcPr>
          <w:p>
            <w:r>
              <w:rPr>
                <w:rFonts w:ascii="Arial" w:cs="Arial" w:eastAsia="Arial" w:hAnsi="Arial"/>
                <w:color w:val="1C1C2E"/>
                <w:sz w:val="20"/>
                <w:szCs w:val="20"/>
              </w:rPr>
              <w:t xml:space="preserve">Hebrew → English</w:t>
            </w:r>
          </w:p>
        </w:tc>
      </w:tr>
      <w:tr>
        <w:tc>
          <w:tcPr>
            <w:tcW w:type="dxa" w:w="2340"/>
            <w:tcBorders>
              <w:top w:val="single" w:color="CCCCCC" w:sz="1"/>
              <w:left w:val="single" w:color="CCCCCC" w:sz="1"/>
              <w:bottom w:val="single" w:color="CCCCCC" w:sz="1"/>
              <w:right w:val="single" w:color="CCCCCC" w:sz="1"/>
            </w:tcBorders>
            <w:shd w:fill="EDE9FE" w:val="clear"/>
            <w:tcMar>
              <w:top w:type="dxa" w:w="80"/>
              <w:left w:type="dxa" w:w="160"/>
              <w:bottom w:type="dxa" w:w="80"/>
              <w:right w:type="dxa" w:w="160"/>
            </w:tcMar>
          </w:tcPr>
          <w:p>
            <w:r>
              <w:rPr>
                <w:rFonts w:ascii="Arial" w:cs="Arial" w:eastAsia="Arial" w:hAnsi="Arial"/>
                <w:b/>
                <w:bCs/>
                <w:color w:val="4F46E5"/>
                <w:sz w:val="20"/>
                <w:szCs w:val="20"/>
              </w:rPr>
              <w:t xml:space="preserve">Original Language</w:t>
            </w:r>
          </w:p>
        </w:tc>
        <w:tc>
          <w:tcPr>
            <w:tcW w:type="dxa" w:w="7020"/>
            <w:tcBorders>
              <w:top w:val="single" w:color="CCCCCC" w:sz="1"/>
              <w:left w:val="single" w:color="CCCCCC" w:sz="1"/>
              <w:bottom w:val="single" w:color="CCCCCC" w:sz="1"/>
              <w:right w:val="single" w:color="CCCCCC" w:sz="1"/>
            </w:tcBorders>
            <w:shd w:fill="F8F8FC" w:val="clear"/>
            <w:tcMar>
              <w:top w:type="dxa" w:w="80"/>
              <w:left w:type="dxa" w:w="160"/>
              <w:bottom w:type="dxa" w:w="80"/>
              <w:right w:type="dxa" w:w="160"/>
            </w:tcMar>
          </w:tcPr>
          <w:p>
            <w:r>
              <w:rPr>
                <w:rFonts w:ascii="Arial" w:cs="Arial" w:eastAsia="Arial" w:hAnsi="Arial"/>
                <w:color w:val="1C1C2E"/>
                <w:sz w:val="20"/>
                <w:szCs w:val="20"/>
              </w:rPr>
              <w:t xml:space="preserve">Hebrew</w:t>
            </w:r>
          </w:p>
        </w:tc>
      </w:tr>
      <w:tr>
        <w:tc>
          <w:tcPr>
            <w:tcW w:type="dxa" w:w="2340"/>
            <w:tcBorders>
              <w:top w:val="single" w:color="CCCCCC" w:sz="1"/>
              <w:left w:val="single" w:color="CCCCCC" w:sz="1"/>
              <w:bottom w:val="single" w:color="CCCCCC" w:sz="1"/>
              <w:right w:val="single" w:color="CCCCCC" w:sz="1"/>
            </w:tcBorders>
            <w:shd w:fill="EDE9FE" w:val="clear"/>
            <w:tcMar>
              <w:top w:type="dxa" w:w="80"/>
              <w:left w:type="dxa" w:w="160"/>
              <w:bottom w:type="dxa" w:w="80"/>
              <w:right w:type="dxa" w:w="160"/>
            </w:tcMar>
          </w:tcPr>
          <w:p>
            <w:r>
              <w:rPr>
                <w:rFonts w:ascii="Arial" w:cs="Arial" w:eastAsia="Arial" w:hAnsi="Arial"/>
                <w:b/>
                <w:bCs/>
                <w:color w:val="4F46E5"/>
                <w:sz w:val="20"/>
                <w:szCs w:val="20"/>
              </w:rPr>
              <w:t xml:space="preserve">Translated by</w:t>
            </w:r>
          </w:p>
        </w:tc>
        <w:tc>
          <w:tcPr>
            <w:tcW w:type="dxa" w:w="7020"/>
            <w:tcBorders>
              <w:top w:val="single" w:color="CCCCCC" w:sz="1"/>
              <w:left w:val="single" w:color="CCCCCC" w:sz="1"/>
              <w:bottom w:val="single" w:color="CCCCCC" w:sz="1"/>
              <w:right w:val="single" w:color="CCCCCC" w:sz="1"/>
            </w:tcBorders>
            <w:shd w:fill="F8F8FC" w:val="clear"/>
            <w:tcMar>
              <w:top w:type="dxa" w:w="80"/>
              <w:left w:type="dxa" w:w="160"/>
              <w:bottom w:type="dxa" w:w="80"/>
              <w:right w:type="dxa" w:w="160"/>
            </w:tcMar>
          </w:tcPr>
          <w:p>
            <w:r>
              <w:rPr>
                <w:rFonts w:ascii="Arial" w:cs="Arial" w:eastAsia="Arial" w:hAnsi="Arial"/>
                <w:color w:val="1C1C2E"/>
                <w:sz w:val="20"/>
                <w:szCs w:val="20"/>
              </w:rPr>
              <w:t xml:space="preserve">Benjy Alper, Professional Translator</w:t>
            </w:r>
          </w:p>
        </w:tc>
      </w:tr>
      <w:tr>
        <w:tc>
          <w:tcPr>
            <w:tcW w:type="dxa" w:w="2340"/>
            <w:tcBorders>
              <w:top w:val="single" w:color="CCCCCC" w:sz="1"/>
              <w:left w:val="single" w:color="CCCCCC" w:sz="1"/>
              <w:bottom w:val="single" w:color="CCCCCC" w:sz="1"/>
              <w:right w:val="single" w:color="CCCCCC" w:sz="1"/>
            </w:tcBorders>
            <w:shd w:fill="EDE9FE" w:val="clear"/>
            <w:tcMar>
              <w:top w:type="dxa" w:w="80"/>
              <w:left w:type="dxa" w:w="160"/>
              <w:bottom w:type="dxa" w:w="80"/>
              <w:right w:type="dxa" w:w="160"/>
            </w:tcMar>
          </w:tcPr>
          <w:p>
            <w:r>
              <w:rPr>
                <w:rFonts w:ascii="Arial" w:cs="Arial" w:eastAsia="Arial" w:hAnsi="Arial"/>
                <w:b/>
                <w:bCs/>
                <w:color w:val="4F46E5"/>
                <w:sz w:val="20"/>
                <w:szCs w:val="20"/>
              </w:rPr>
              <w:t xml:space="preserve">Date</w:t>
            </w:r>
          </w:p>
        </w:tc>
        <w:tc>
          <w:tcPr>
            <w:tcW w:type="dxa" w:w="7020"/>
            <w:tcBorders>
              <w:top w:val="single" w:color="CCCCCC" w:sz="1"/>
              <w:left w:val="single" w:color="CCCCCC" w:sz="1"/>
              <w:bottom w:val="single" w:color="CCCCCC" w:sz="1"/>
              <w:right w:val="single" w:color="CCCCCC" w:sz="1"/>
            </w:tcBorders>
            <w:shd w:fill="F8F8FC" w:val="clear"/>
            <w:tcMar>
              <w:top w:type="dxa" w:w="80"/>
              <w:left w:type="dxa" w:w="160"/>
              <w:bottom w:type="dxa" w:w="80"/>
              <w:right w:type="dxa" w:w="160"/>
            </w:tcMar>
          </w:tcPr>
          <w:p>
            <w:r>
              <w:rPr>
                <w:rFonts w:ascii="Arial" w:cs="Arial" w:eastAsia="Arial" w:hAnsi="Arial"/>
                <w:color w:val="1C1C2E"/>
                <w:sz w:val="20"/>
                <w:szCs w:val="20"/>
              </w:rPr>
              <w:t xml:space="preserve">April 2026</w:t>
            </w:r>
          </w:p>
        </w:tc>
      </w:tr>
      <w:tr>
        <w:tc>
          <w:tcPr>
            <w:tcW w:type="dxa" w:w="2340"/>
            <w:tcBorders>
              <w:top w:val="single" w:color="CCCCCC" w:sz="1"/>
              <w:left w:val="single" w:color="CCCCCC" w:sz="1"/>
              <w:bottom w:val="single" w:color="CCCCCC" w:sz="1"/>
              <w:right w:val="single" w:color="CCCCCC" w:sz="1"/>
            </w:tcBorders>
            <w:shd w:fill="EDE9FE" w:val="clear"/>
            <w:tcMar>
              <w:top w:type="dxa" w:w="80"/>
              <w:left w:type="dxa" w:w="160"/>
              <w:bottom w:type="dxa" w:w="80"/>
              <w:right w:type="dxa" w:w="160"/>
            </w:tcMar>
          </w:tcPr>
          <w:p>
            <w:r>
              <w:rPr>
                <w:rFonts w:ascii="Arial" w:cs="Arial" w:eastAsia="Arial" w:hAnsi="Arial"/>
                <w:b/>
                <w:bCs/>
                <w:color w:val="4F46E5"/>
                <w:sz w:val="20"/>
                <w:szCs w:val="20"/>
              </w:rPr>
              <w:t xml:space="preserve">Confidentiality</w:t>
            </w:r>
          </w:p>
        </w:tc>
        <w:tc>
          <w:tcPr>
            <w:tcW w:type="dxa" w:w="7020"/>
            <w:tcBorders>
              <w:top w:val="single" w:color="CCCCCC" w:sz="1"/>
              <w:left w:val="single" w:color="CCCCCC" w:sz="1"/>
              <w:bottom w:val="single" w:color="CCCCCC" w:sz="1"/>
              <w:right w:val="single" w:color="CCCCCC" w:sz="1"/>
            </w:tcBorders>
            <w:shd w:fill="F8F8FC" w:val="clear"/>
            <w:tcMar>
              <w:top w:type="dxa" w:w="80"/>
              <w:left w:type="dxa" w:w="160"/>
              <w:bottom w:type="dxa" w:w="80"/>
              <w:right w:type="dxa" w:w="160"/>
            </w:tcMar>
          </w:tcPr>
          <w:p>
            <w:r>
              <w:rPr>
                <w:rFonts w:ascii="Arial" w:cs="Arial" w:eastAsia="Arial" w:hAnsi="Arial"/>
                <w:color w:val="1C1C2E"/>
                <w:sz w:val="20"/>
                <w:szCs w:val="20"/>
              </w:rPr>
              <w:t xml:space="preserve">This document is a translation sample. Client details have been anonymised.</w:t>
            </w:r>
          </w:p>
        </w:tc>
      </w:tr>
    </w:tbl>
    <w:p>
      <w:pPr>
        <w:spacing w:after="100" w:before="100"/>
      </w:pPr>
      <w:r>
        <w:t xml:space="preserve"/>
      </w:r>
    </w:p>
    <w:p>
      <w:pPr>
        <w:pStyle w:val="Heading2"/>
        <w:spacing w:after="160" w:before="320"/>
      </w:pPr>
      <w:r>
        <w:rPr>
          <w:rFonts w:ascii="Arial" w:cs="Arial" w:eastAsia="Arial" w:hAnsi="Arial"/>
          <w:b/>
          <w:bCs/>
          <w:color w:val="4F46E5"/>
          <w:sz w:val="28"/>
          <w:szCs w:val="28"/>
        </w:rPr>
        <w:t xml:space="preserve">PARTIES TO THE AGREEMENT</w:t>
      </w:r>
    </w:p>
    <w:p>
      <w:pPr>
        <w:spacing w:after="120" w:before="100"/>
        <w:jc w:val="left"/>
      </w:pPr>
      <w:r>
        <w:rPr>
          <w:rFonts w:ascii="Arial" w:cs="Arial" w:eastAsia="Arial" w:hAnsi="Arial"/>
          <w:color w:val="1C1C2E"/>
          <w:sz w:val="22"/>
          <w:szCs w:val="22"/>
        </w:rPr>
        <w:t xml:space="preserve">This Commercial Lease Agreement ("Agreement") is entered into as of the 1st day of April, 2026, by and between:</w:t>
      </w:r>
    </w:p>
    <w:p>
      <w:pPr>
        <w:spacing w:after="120" w:before="100"/>
        <w:jc w:val="left"/>
      </w:pPr>
      <w:r>
        <w:rPr>
          <w:rFonts w:ascii="Arial" w:cs="Arial" w:eastAsia="Arial" w:hAnsi="Arial"/>
          <w:color w:val="1C1C2E"/>
          <w:sz w:val="22"/>
          <w:szCs w:val="22"/>
        </w:rPr>
        <w:t xml:space="preserve">LESSOR: ABC Properties Ltd., a company duly registered under the laws of the State of Israel, with its registered office at 14 Rothschild Boulevard, Tel Aviv ("Lessor"); and</w:t>
      </w:r>
    </w:p>
    <w:p>
      <w:pPr>
        <w:spacing w:after="120" w:before="100"/>
        <w:jc w:val="left"/>
      </w:pPr>
      <w:r>
        <w:rPr>
          <w:rFonts w:ascii="Arial" w:cs="Arial" w:eastAsia="Arial" w:hAnsi="Arial"/>
          <w:color w:val="1C1C2E"/>
          <w:sz w:val="22"/>
          <w:szCs w:val="22"/>
        </w:rPr>
        <w:t xml:space="preserve">LESSEE: XYZ Technologies Ltd., a company duly registered under the laws of the State of Israel, with its registered office at 22 HaYarkon Street, Tel Aviv ("Lessee").</w:t>
      </w:r>
    </w:p>
    <w:p>
      <w:pPr>
        <w:spacing w:after="100" w:before="100"/>
      </w:pPr>
      <w:r>
        <w:t xml:space="preserve"/>
      </w:r>
    </w:p>
    <w:p>
      <w:pPr>
        <w:pStyle w:val="Heading2"/>
        <w:spacing w:after="160" w:before="320"/>
      </w:pPr>
      <w:r>
        <w:rPr>
          <w:rFonts w:ascii="Arial" w:cs="Arial" w:eastAsia="Arial" w:hAnsi="Arial"/>
          <w:b/>
          <w:bCs/>
          <w:color w:val="4F46E5"/>
          <w:sz w:val="28"/>
          <w:szCs w:val="28"/>
        </w:rPr>
        <w:t xml:space="preserve">ARTICLE 1 — PREMISES</w:t>
      </w:r>
    </w:p>
    <w:p>
      <w:pPr>
        <w:spacing w:after="120" w:before="100"/>
        <w:jc w:val="left"/>
      </w:pPr>
      <w:r>
        <w:rPr>
          <w:rFonts w:ascii="Arial" w:cs="Arial" w:eastAsia="Arial" w:hAnsi="Arial"/>
          <w:color w:val="1C1C2E"/>
          <w:sz w:val="22"/>
          <w:szCs w:val="22"/>
        </w:rPr>
        <w:t xml:space="preserve">1.1  The Lessor hereby leases to the Lessee, and the Lessee hereby leases from the Lessor, the commercial premises located at Suite 4B, Tower One, 88 Begin Road, Tel Aviv, comprising approximately 350 square metres of net lettable area (the "Premises"), as more particularly described in Exhibit A attached hereto and incorporated herein by reference.</w:t>
      </w:r>
    </w:p>
    <w:p>
      <w:pPr>
        <w:spacing w:after="120" w:before="100"/>
        <w:jc w:val="left"/>
      </w:pPr>
      <w:r>
        <w:rPr>
          <w:rFonts w:ascii="Arial" w:cs="Arial" w:eastAsia="Arial" w:hAnsi="Arial"/>
          <w:color w:val="1C1C2E"/>
          <w:sz w:val="22"/>
          <w:szCs w:val="22"/>
        </w:rPr>
        <w:t xml:space="preserve">1.2  The Lessee undertakes to use the Premises solely for the purpose of conducting general office and technology operations, as stated herein, and shall not sublet, assign, or otherwise transfer any rights under this Agreement without the prior written consent of the Lessor, which consent shall not be unreasonably withheld or delayed.</w:t>
      </w:r>
    </w:p>
    <w:p>
      <w:pPr>
        <w:spacing w:after="120" w:before="100"/>
        <w:jc w:val="left"/>
      </w:pPr>
      <w:r>
        <w:rPr>
          <w:rFonts w:ascii="Arial" w:cs="Arial" w:eastAsia="Arial" w:hAnsi="Arial"/>
          <w:color w:val="1C1C2E"/>
          <w:sz w:val="22"/>
          <w:szCs w:val="22"/>
        </w:rPr>
        <w:t xml:space="preserve">1.3  The Lessee shall not make any structural alterations to the Premises without obtaining the prior written approval of the Lessor. Any approved alterations shall be carried out at the Lessee's sole expense and in accordance with all applicable laws and regulations.</w:t>
      </w:r>
    </w:p>
    <w:p>
      <w:pPr>
        <w:spacing w:after="100" w:before="100"/>
      </w:pPr>
      <w:r>
        <w:t xml:space="preserve"/>
      </w:r>
    </w:p>
    <w:p>
      <w:pPr>
        <w:pStyle w:val="Heading2"/>
        <w:spacing w:after="160" w:before="320"/>
      </w:pPr>
      <w:r>
        <w:rPr>
          <w:rFonts w:ascii="Arial" w:cs="Arial" w:eastAsia="Arial" w:hAnsi="Arial"/>
          <w:b/>
          <w:bCs/>
          <w:color w:val="4F46E5"/>
          <w:sz w:val="28"/>
          <w:szCs w:val="28"/>
        </w:rPr>
        <w:t xml:space="preserve">ARTICLE 2 — TERM</w:t>
      </w:r>
    </w:p>
    <w:p>
      <w:pPr>
        <w:spacing w:after="120" w:before="100"/>
        <w:jc w:val="left"/>
      </w:pPr>
      <w:r>
        <w:rPr>
          <w:rFonts w:ascii="Arial" w:cs="Arial" w:eastAsia="Arial" w:hAnsi="Arial"/>
          <w:color w:val="1C1C2E"/>
          <w:sz w:val="22"/>
          <w:szCs w:val="22"/>
        </w:rPr>
        <w:t xml:space="preserve">2.1  The initial term of this Agreement shall commence on the 1st day of April, 2026 and shall expire on the 31st day of March, 2029 (the "Initial Term"), unless sooner terminated in accordance with the provisions hereof.</w:t>
      </w:r>
    </w:p>
    <w:p>
      <w:pPr>
        <w:spacing w:after="120" w:before="100"/>
        <w:jc w:val="left"/>
      </w:pPr>
      <w:r>
        <w:rPr>
          <w:rFonts w:ascii="Arial" w:cs="Arial" w:eastAsia="Arial" w:hAnsi="Arial"/>
          <w:color w:val="1C1C2E"/>
          <w:sz w:val="22"/>
          <w:szCs w:val="22"/>
        </w:rPr>
        <w:t xml:space="preserve">2.2  Upon the expiration of the Initial Term, the Lessee shall have the option to renew this Agreement for one (1) additional period of two (2) years, subject to written notice delivered to the Lessor no later than ninety (90) days prior to the expiration of the Initial Term, and subject to the mutual agreement of the parties on revised rental terms.</w:t>
      </w:r>
    </w:p>
    <w:p>
      <w:pPr>
        <w:spacing w:after="100" w:before="100"/>
      </w:pPr>
      <w:r>
        <w:t xml:space="preserve"/>
      </w:r>
    </w:p>
    <w:p>
      <w:pPr>
        <w:pStyle w:val="Heading2"/>
        <w:spacing w:after="160" w:before="320"/>
      </w:pPr>
      <w:r>
        <w:rPr>
          <w:rFonts w:ascii="Arial" w:cs="Arial" w:eastAsia="Arial" w:hAnsi="Arial"/>
          <w:b/>
          <w:bCs/>
          <w:color w:val="4F46E5"/>
          <w:sz w:val="28"/>
          <w:szCs w:val="28"/>
        </w:rPr>
        <w:t xml:space="preserve">ARTICLE 3 — RENT AND PAYMENT TERMS</w:t>
      </w:r>
    </w:p>
    <w:p>
      <w:pPr>
        <w:spacing w:after="120" w:before="100"/>
        <w:jc w:val="left"/>
      </w:pPr>
      <w:r>
        <w:rPr>
          <w:rFonts w:ascii="Arial" w:cs="Arial" w:eastAsia="Arial" w:hAnsi="Arial"/>
          <w:color w:val="1C1C2E"/>
          <w:sz w:val="22"/>
          <w:szCs w:val="22"/>
        </w:rPr>
        <w:t xml:space="preserve">3.1  The Lessee shall pay to the Lessor a monthly rental of New Israeli Shekels 28,000 (twenty-eight thousand New Israeli Shekels) plus applicable Value Added Tax ("VAT"), payable on the first business day of each calendar month.</w:t>
      </w:r>
    </w:p>
    <w:p>
      <w:pPr>
        <w:spacing w:after="120" w:before="100"/>
        <w:jc w:val="left"/>
      </w:pPr>
      <w:r>
        <w:rPr>
          <w:rFonts w:ascii="Arial" w:cs="Arial" w:eastAsia="Arial" w:hAnsi="Arial"/>
          <w:color w:val="1C1C2E"/>
          <w:sz w:val="22"/>
          <w:szCs w:val="22"/>
        </w:rPr>
        <w:t xml:space="preserve">3.2  All payments shall be made by bank transfer to the Lessor's designated account. The Lessor shall provide the Lessee with bank account details in writing within five (5) business days of the execution of this Agreement.</w:t>
      </w:r>
    </w:p>
    <w:p>
      <w:pPr>
        <w:spacing w:after="120" w:before="100"/>
        <w:jc w:val="left"/>
      </w:pPr>
      <w:r>
        <w:rPr>
          <w:rFonts w:ascii="Arial" w:cs="Arial" w:eastAsia="Arial" w:hAnsi="Arial"/>
          <w:color w:val="1C1C2E"/>
          <w:sz w:val="22"/>
          <w:szCs w:val="22"/>
        </w:rPr>
        <w:t xml:space="preserve">3.3  In the event of late payment, the Lessee shall be liable for interest on the overdue amount at the rate prescribed by the Adjudication of Interest and Linkage Law, 5721-1961, as amended from time to time.</w:t>
      </w:r>
    </w:p>
    <w:p>
      <w:pPr>
        <w:spacing w:after="100" w:before="100"/>
      </w:pPr>
      <w:r>
        <w:t xml:space="preserve"/>
      </w:r>
    </w:p>
    <w:p>
      <w:pPr>
        <w:pStyle w:val="Heading2"/>
        <w:spacing w:after="160" w:before="320"/>
      </w:pPr>
      <w:r>
        <w:rPr>
          <w:rFonts w:ascii="Arial" w:cs="Arial" w:eastAsia="Arial" w:hAnsi="Arial"/>
          <w:b/>
          <w:bCs/>
          <w:color w:val="4F46E5"/>
          <w:sz w:val="28"/>
          <w:szCs w:val="28"/>
        </w:rPr>
        <w:t xml:space="preserve">ARTICLE 4 — SECURITY DEPOSIT</w:t>
      </w:r>
    </w:p>
    <w:p>
      <w:pPr>
        <w:spacing w:after="120" w:before="100"/>
        <w:jc w:val="left"/>
      </w:pPr>
      <w:r>
        <w:rPr>
          <w:rFonts w:ascii="Arial" w:cs="Arial" w:eastAsia="Arial" w:hAnsi="Arial"/>
          <w:color w:val="1C1C2E"/>
          <w:sz w:val="22"/>
          <w:szCs w:val="22"/>
        </w:rPr>
        <w:t xml:space="preserve">4.1  Upon execution of this Agreement, the Lessee shall deposit with the Lessor a security deposit in the amount of three (3) months' rent (the "Security Deposit"). The Security Deposit shall be held by the Lessor as security for the faithful performance by the Lessee of all terms and conditions hereof.</w:t>
      </w:r>
    </w:p>
    <w:p>
      <w:pPr>
        <w:spacing w:after="120" w:before="100"/>
        <w:jc w:val="left"/>
      </w:pPr>
      <w:r>
        <w:rPr>
          <w:rFonts w:ascii="Arial" w:cs="Arial" w:eastAsia="Arial" w:hAnsi="Arial"/>
          <w:color w:val="1C1C2E"/>
          <w:sz w:val="22"/>
          <w:szCs w:val="22"/>
        </w:rPr>
        <w:t xml:space="preserve">4.2  The Security Deposit shall be returned to the Lessee within thirty (30) days following the expiration or earlier termination of this Agreement, subject to any deductions for unpaid rent, damages, or other amounts owed by the Lessee under this Agreement.</w:t>
      </w:r>
    </w:p>
    <w:p>
      <w:pPr>
        <w:spacing w:after="100" w:before="100"/>
      </w:pPr>
      <w:r>
        <w:t xml:space="preserve"/>
      </w:r>
    </w:p>
    <w:p>
      <w:pPr>
        <w:pStyle w:val="Heading2"/>
        <w:spacing w:after="160" w:before="320"/>
      </w:pPr>
      <w:r>
        <w:rPr>
          <w:rFonts w:ascii="Arial" w:cs="Arial" w:eastAsia="Arial" w:hAnsi="Arial"/>
          <w:b/>
          <w:bCs/>
          <w:color w:val="4F46E5"/>
          <w:sz w:val="28"/>
          <w:szCs w:val="28"/>
        </w:rPr>
        <w:t xml:space="preserve">ARTICLE 5 — GOVERNING LAW</w:t>
      </w:r>
    </w:p>
    <w:p>
      <w:pPr>
        <w:spacing w:after="120" w:before="100"/>
        <w:jc w:val="left"/>
      </w:pPr>
      <w:r>
        <w:rPr>
          <w:rFonts w:ascii="Arial" w:cs="Arial" w:eastAsia="Arial" w:hAnsi="Arial"/>
          <w:color w:val="1C1C2E"/>
          <w:sz w:val="22"/>
          <w:szCs w:val="22"/>
        </w:rPr>
        <w:t xml:space="preserve">5.1  This Agreement shall be governed by and construed in accordance with the laws of the State of Israel. Any dispute arising out of or in connection with this Agreement shall be submitted to the exclusive jurisdiction of the competent courts of Tel Aviv.</w:t>
      </w:r>
    </w:p>
    <w:p>
      <w:pPr>
        <w:spacing w:after="100" w:before="100"/>
      </w:pPr>
      <w:r>
        <w:t xml:space="preserve"/>
      </w:r>
    </w:p>
    <w:p>
      <w:pPr>
        <w:pBdr>
          <w:bottom w:val="single" w:color="E5E7EB" w:sz="4" w:space="1"/>
        </w:pBdr>
        <w:spacing w:after="200" w:before="200"/>
      </w:pPr>
      <w:r>
        <w:t xml:space="preserve"/>
      </w:r>
    </w:p>
    <w:p>
      <w:pPr>
        <w:spacing w:after="120" w:before="100"/>
        <w:jc w:val="left"/>
      </w:pPr>
      <w:r>
        <w:rPr>
          <w:rFonts w:ascii="Arial" w:cs="Arial" w:eastAsia="Arial" w:hAnsi="Arial"/>
          <w:i/>
          <w:iCs/>
          <w:color w:val="6B7280"/>
          <w:sz w:val="22"/>
          <w:szCs w:val="22"/>
        </w:rPr>
        <w:t xml:space="preserve">Translator's Note: This document has been translated from the original Hebrew text with the aim of maintaining legal accuracy and terminological precision. In any case of discrepancy between the Hebrew original and this English translation, the Hebrew original shall prevail.</w:t>
      </w:r>
    </w:p>
    <w:p>
      <w:pPr>
        <w:spacing w:after="120" w:before="100"/>
        <w:jc w:val="center"/>
      </w:pPr>
      <w:r>
        <w:rPr>
          <w:rFonts w:ascii="Arial" w:cs="Arial" w:eastAsia="Arial" w:hAnsi="Arial"/>
          <w:i/>
          <w:iCs/>
          <w:color w:val="6B7280"/>
          <w:sz w:val="22"/>
          <w:szCs w:val="22"/>
        </w:rPr>
        <w:t xml:space="preserve">Translated by Benjy Alper | benjy@example.com | www.benjyalper.com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jc w:val="center"/>
    </w:pPr>
    <w:r>
      <w:rPr>
        <w:rFonts w:ascii="Arial" w:cs="Arial" w:eastAsia="Arial" w:hAnsi="Arial"/>
        <w:color w:val="9CA3AF"/>
        <w:sz w:val="18"/>
        <w:szCs w:val="18"/>
      </w:rPr>
      <w:t xml:space="preserve">Hebrew → English   |   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r>
      <w:rPr>
        <w:rFonts w:ascii="Arial" w:cs="Arial" w:eastAsia="Arial" w:hAnsi="Arial"/>
        <w:color w:val="9CA3AF"/>
        <w:sz w:val="18"/>
        <w:szCs w:val="18"/>
      </w:rPr>
      <w:t xml:space="preserve">   |   © 2026 Benjy Alper.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1"/>
      </w:pBdr>
    </w:pPr>
    <w:r>
      <w:rPr>
        <w:rFonts w:ascii="Arial" w:cs="Arial" w:eastAsia="Arial" w:hAnsi="Arial"/>
        <w:b/>
        <w:bCs/>
        <w:color w:val="4F46E5"/>
        <w:sz w:val="18"/>
        <w:szCs w:val="18"/>
      </w:rPr>
      <w:t xml:space="preserve">Benjy Alper | Professional Translator</w:t>
    </w:r>
    <w:r>
      <w:rPr>
        <w:rFonts w:ascii="Arial" w:cs="Arial" w:eastAsia="Arial" w:hAnsi="Arial"/>
        <w:color w:val="6B7280"/>
        <w:sz w:val="18"/>
        <w:szCs w:val="18"/>
      </w:rPr>
      <w:t xml:space="preserve">   |   Commercial Lease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4F46E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2026-04-18T18:46:46.210Z</dcterms:created>
  <dcterms:modified xsi:type="dcterms:W3CDTF">2026-04-18T18:46:46.210Z</dcterms:modified>
</cp:coreProperties>
</file>

<file path=docProps/custom.xml><?xml version="1.0" encoding="utf-8"?>
<Properties xmlns="http://schemas.openxmlformats.org/officeDocument/2006/custom-properties" xmlns:vt="http://schemas.openxmlformats.org/officeDocument/2006/docPropsVTypes"/>
</file>