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Arial" w:cs="Arial" w:eastAsia="Arial" w:hAnsi="Arial"/>
          <w:b/>
          <w:bCs/>
          <w:color w:val="0A0A0F"/>
          <w:sz w:val="36"/>
          <w:szCs w:val="36"/>
        </w:rPr>
        <w:t xml:space="preserve">Corporate Annual Report — FY 2025</w:t>
      </w:r>
    </w:p>
    <w:p>
      <w:pPr>
        <w:spacing w:after="120" w:before="100"/>
        <w:jc w:val="left"/>
      </w:pPr>
      <w:r>
        <w:rPr>
          <w:rFonts w:ascii="Arial" w:cs="Arial" w:eastAsia="Arial" w:hAnsi="Arial"/>
          <w:i/>
          <w:iCs/>
          <w:color w:val="6B7280"/>
          <w:sz w:val="22"/>
          <w:szCs w:val="22"/>
        </w:rPr>
        <w:t xml:space="preserve">Alpha Innovations Ltd. | Translated from Hebrew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DE9FE" w:val="clear"/>
            <w:tcMar>
              <w:top w:type="dxa" w:w="80"/>
              <w:left w:type="dxa" w:w="160"/>
              <w:bottom w:type="dxa" w:w="80"/>
              <w:right w:type="dxa" w:w="160"/>
            </w:tcMar>
          </w:tcPr>
          <w:p>
            <w:r>
              <w:rPr>
                <w:rFonts w:ascii="Arial" w:cs="Arial" w:eastAsia="Arial" w:hAnsi="Arial"/>
                <w:b/>
                <w:bCs/>
                <w:color w:val="4F46E5"/>
                <w:sz w:val="20"/>
                <w:szCs w:val="20"/>
              </w:rPr>
              <w:t xml:space="preserve">Document Type</w:t>
            </w:r>
          </w:p>
        </w:tc>
        <w:tc>
          <w:tcPr>
            <w:tcW w:type="dxa" w:w="70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color w:val="1C1C2E"/>
                <w:sz w:val="20"/>
                <w:szCs w:val="20"/>
              </w:rPr>
              <w:t xml:space="preserve">Corporate Annual Report (Excerpt)</w:t>
            </w:r>
          </w:p>
        </w:tc>
      </w:tr>
      <w:tr>
        <w:tc>
          <w:tcPr>
            <w:tcW w:type="dxa" w:w="2340"/>
            <w:tcBorders>
              <w:top w:val="single" w:color="CCCCCC" w:sz="1"/>
              <w:left w:val="single" w:color="CCCCCC" w:sz="1"/>
              <w:bottom w:val="single" w:color="CCCCCC" w:sz="1"/>
              <w:right w:val="single" w:color="CCCCCC" w:sz="1"/>
            </w:tcBorders>
            <w:shd w:fill="EDE9FE" w:val="clear"/>
            <w:tcMar>
              <w:top w:type="dxa" w:w="80"/>
              <w:left w:type="dxa" w:w="160"/>
              <w:bottom w:type="dxa" w:w="80"/>
              <w:right w:type="dxa" w:w="160"/>
            </w:tcMar>
          </w:tcPr>
          <w:p>
            <w:r>
              <w:rPr>
                <w:rFonts w:ascii="Arial" w:cs="Arial" w:eastAsia="Arial" w:hAnsi="Arial"/>
                <w:b/>
                <w:bCs/>
                <w:color w:val="4F46E5"/>
                <w:sz w:val="20"/>
                <w:szCs w:val="20"/>
              </w:rPr>
              <w:t xml:space="preserve">Translation Direction</w:t>
            </w:r>
          </w:p>
        </w:tc>
        <w:tc>
          <w:tcPr>
            <w:tcW w:type="dxa" w:w="70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color w:val="1C1C2E"/>
                <w:sz w:val="20"/>
                <w:szCs w:val="20"/>
              </w:rPr>
              <w:t xml:space="preserve">Hebrew → English</w:t>
            </w:r>
          </w:p>
        </w:tc>
      </w:tr>
      <w:tr>
        <w:tc>
          <w:tcPr>
            <w:tcW w:type="dxa" w:w="2340"/>
            <w:tcBorders>
              <w:top w:val="single" w:color="CCCCCC" w:sz="1"/>
              <w:left w:val="single" w:color="CCCCCC" w:sz="1"/>
              <w:bottom w:val="single" w:color="CCCCCC" w:sz="1"/>
              <w:right w:val="single" w:color="CCCCCC" w:sz="1"/>
            </w:tcBorders>
            <w:shd w:fill="EDE9FE" w:val="clear"/>
            <w:tcMar>
              <w:top w:type="dxa" w:w="80"/>
              <w:left w:type="dxa" w:w="160"/>
              <w:bottom w:type="dxa" w:w="80"/>
              <w:right w:type="dxa" w:w="160"/>
            </w:tcMar>
          </w:tcPr>
          <w:p>
            <w:r>
              <w:rPr>
                <w:rFonts w:ascii="Arial" w:cs="Arial" w:eastAsia="Arial" w:hAnsi="Arial"/>
                <w:b/>
                <w:bCs/>
                <w:color w:val="4F46E5"/>
                <w:sz w:val="20"/>
                <w:szCs w:val="20"/>
              </w:rPr>
              <w:t xml:space="preserve">Fiscal Year</w:t>
            </w:r>
          </w:p>
        </w:tc>
        <w:tc>
          <w:tcPr>
            <w:tcW w:type="dxa" w:w="70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color w:val="1C1C2E"/>
                <w:sz w:val="20"/>
                <w:szCs w:val="20"/>
              </w:rPr>
              <w:t xml:space="preserve">2025</w:t>
            </w:r>
          </w:p>
        </w:tc>
      </w:tr>
      <w:tr>
        <w:tc>
          <w:tcPr>
            <w:tcW w:type="dxa" w:w="2340"/>
            <w:tcBorders>
              <w:top w:val="single" w:color="CCCCCC" w:sz="1"/>
              <w:left w:val="single" w:color="CCCCCC" w:sz="1"/>
              <w:bottom w:val="single" w:color="CCCCCC" w:sz="1"/>
              <w:right w:val="single" w:color="CCCCCC" w:sz="1"/>
            </w:tcBorders>
            <w:shd w:fill="EDE9FE" w:val="clear"/>
            <w:tcMar>
              <w:top w:type="dxa" w:w="80"/>
              <w:left w:type="dxa" w:w="160"/>
              <w:bottom w:type="dxa" w:w="80"/>
              <w:right w:type="dxa" w:w="160"/>
            </w:tcMar>
          </w:tcPr>
          <w:p>
            <w:r>
              <w:rPr>
                <w:rFonts w:ascii="Arial" w:cs="Arial" w:eastAsia="Arial" w:hAnsi="Arial"/>
                <w:b/>
                <w:bCs/>
                <w:color w:val="4F46E5"/>
                <w:sz w:val="20"/>
                <w:szCs w:val="20"/>
              </w:rPr>
              <w:t xml:space="preserve">Translated by</w:t>
            </w:r>
          </w:p>
        </w:tc>
        <w:tc>
          <w:tcPr>
            <w:tcW w:type="dxa" w:w="70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color w:val="1C1C2E"/>
                <w:sz w:val="20"/>
                <w:szCs w:val="20"/>
              </w:rPr>
              <w:t xml:space="preserve">Benjy Alper, Professional Translator</w:t>
            </w:r>
          </w:p>
        </w:tc>
      </w:tr>
      <w:tr>
        <w:tc>
          <w:tcPr>
            <w:tcW w:type="dxa" w:w="2340"/>
            <w:tcBorders>
              <w:top w:val="single" w:color="CCCCCC" w:sz="1"/>
              <w:left w:val="single" w:color="CCCCCC" w:sz="1"/>
              <w:bottom w:val="single" w:color="CCCCCC" w:sz="1"/>
              <w:right w:val="single" w:color="CCCCCC" w:sz="1"/>
            </w:tcBorders>
            <w:shd w:fill="EDE9FE" w:val="clear"/>
            <w:tcMar>
              <w:top w:type="dxa" w:w="80"/>
              <w:left w:type="dxa" w:w="160"/>
              <w:bottom w:type="dxa" w:w="80"/>
              <w:right w:type="dxa" w:w="160"/>
            </w:tcMar>
          </w:tcPr>
          <w:p>
            <w:r>
              <w:rPr>
                <w:rFonts w:ascii="Arial" w:cs="Arial" w:eastAsia="Arial" w:hAnsi="Arial"/>
                <w:b/>
                <w:bCs/>
                <w:color w:val="4F46E5"/>
                <w:sz w:val="20"/>
                <w:szCs w:val="20"/>
              </w:rPr>
              <w:t xml:space="preserve">Date</w:t>
            </w:r>
          </w:p>
        </w:tc>
        <w:tc>
          <w:tcPr>
            <w:tcW w:type="dxa" w:w="70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color w:val="1C1C2E"/>
                <w:sz w:val="20"/>
                <w:szCs w:val="20"/>
              </w:rPr>
              <w:t xml:space="preserve">April 2026</w:t>
            </w:r>
          </w:p>
        </w:tc>
      </w:tr>
    </w:tbl>
    <w:p>
      <w:pPr>
        <w:spacing w:after="100" w:before="100"/>
      </w:pPr>
      <w:r>
        <w:t xml:space="preserve"/>
      </w:r>
    </w:p>
    <w:p>
      <w:pPr>
        <w:pStyle w:val="Heading2"/>
        <w:spacing w:after="160" w:before="320"/>
      </w:pPr>
      <w:r>
        <w:rPr>
          <w:rFonts w:ascii="Arial" w:cs="Arial" w:eastAsia="Arial" w:hAnsi="Arial"/>
          <w:b/>
          <w:bCs/>
          <w:color w:val="4F46E5"/>
          <w:sz w:val="28"/>
          <w:szCs w:val="28"/>
        </w:rPr>
        <w:t xml:space="preserve">Message from the Chief Executive Officer</w:t>
      </w:r>
    </w:p>
    <w:p>
      <w:pPr>
        <w:spacing w:after="120" w:before="100"/>
        <w:jc w:val="left"/>
      </w:pPr>
      <w:r>
        <w:rPr>
          <w:rFonts w:ascii="Arial" w:cs="Arial" w:eastAsia="Arial" w:hAnsi="Arial"/>
          <w:color w:val="1C1C2E"/>
          <w:sz w:val="22"/>
          <w:szCs w:val="22"/>
        </w:rPr>
        <w:t xml:space="preserve">Dear Shareholders, Partners, and Colleagues,</w:t>
      </w:r>
    </w:p>
    <w:p>
      <w:pPr>
        <w:spacing w:after="120" w:before="100"/>
        <w:jc w:val="left"/>
      </w:pPr>
      <w:r>
        <w:rPr>
          <w:rFonts w:ascii="Arial" w:cs="Arial" w:eastAsia="Arial" w:hAnsi="Arial"/>
          <w:color w:val="1C1C2E"/>
          <w:sz w:val="22"/>
          <w:szCs w:val="22"/>
        </w:rPr>
        <w:t xml:space="preserve">It is with great pride and gratitude that I present Alpha Innovations' Annual Report for fiscal year 2025 — a year that demonstrated both the resilience of our business model and the extraordinary commitment of our team.</w:t>
      </w:r>
    </w:p>
    <w:p>
      <w:pPr>
        <w:spacing w:after="120" w:before="100"/>
        <w:jc w:val="left"/>
      </w:pPr>
      <w:r>
        <w:rPr>
          <w:rFonts w:ascii="Arial" w:cs="Arial" w:eastAsia="Arial" w:hAnsi="Arial"/>
          <w:color w:val="1C1C2E"/>
          <w:sz w:val="22"/>
          <w:szCs w:val="22"/>
        </w:rPr>
        <w:t xml:space="preserve">The company recorded a 14% increase in revenue year-over-year, driven primarily by growth in our SaaS division, which expanded its subscriber base by 31% over the prior year, and by the successful integration of two strategic acquisitions completed in Q3 2025. These acquisitions — Orion Analytics and DataFlow Systems — have significantly broadened our product portfolio and strengthened our position in the enterprise data management market.</w:t>
      </w:r>
    </w:p>
    <w:p>
      <w:pPr>
        <w:spacing w:after="100" w:before="100"/>
      </w:pPr>
      <w:r>
        <w:t xml:space="preserve"/>
      </w:r>
    </w:p>
    <w:p>
      <w:pPr>
        <w:pStyle w:val="Heading2"/>
        <w:spacing w:after="160" w:before="320"/>
      </w:pPr>
      <w:r>
        <w:rPr>
          <w:rFonts w:ascii="Arial" w:cs="Arial" w:eastAsia="Arial" w:hAnsi="Arial"/>
          <w:b/>
          <w:bCs/>
          <w:color w:val="4F46E5"/>
          <w:sz w:val="28"/>
          <w:szCs w:val="28"/>
        </w:rPr>
        <w:t xml:space="preserve">Financial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4F46E5"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4F46E5"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FY 2025</w:t>
            </w:r>
          </w:p>
        </w:tc>
        <w:tc>
          <w:tcPr>
            <w:tcW w:type="dxa" w:w="3120"/>
            <w:tcBorders>
              <w:top w:val="single" w:color="CCCCCC" w:sz="1"/>
              <w:left w:val="single" w:color="CCCCCC" w:sz="1"/>
              <w:bottom w:val="single" w:color="CCCCCC" w:sz="1"/>
              <w:right w:val="single" w:color="CCCCCC" w:sz="1"/>
            </w:tcBorders>
            <w:shd w:fill="4F46E5"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FY 2024</w:t>
            </w:r>
          </w:p>
        </w:tc>
      </w:tr>
      <w:tr>
        <w:tc>
          <w:tcPr>
            <w:tcW w:type="dxa" w:w="31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pPr>
              <w:jc w:val="center"/>
            </w:pPr>
            <w:r>
              <w:rPr>
                <w:rFonts w:ascii="Arial" w:cs="Arial" w:eastAsia="Arial" w:hAnsi="Arial"/>
                <w:color w:val="1C1C2E"/>
                <w:sz w:val="20"/>
                <w:szCs w:val="20"/>
              </w:rPr>
              <w:t xml:space="preserve">Total Revenue</w:t>
            </w:r>
          </w:p>
        </w:tc>
        <w:tc>
          <w:tcPr>
            <w:tcW w:type="dxa" w:w="31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pPr>
              <w:jc w:val="center"/>
            </w:pPr>
            <w:r>
              <w:rPr>
                <w:rFonts w:ascii="Arial" w:cs="Arial" w:eastAsia="Arial" w:hAnsi="Arial"/>
                <w:color w:val="1C1C2E"/>
                <w:sz w:val="20"/>
                <w:szCs w:val="20"/>
              </w:rPr>
              <w:t xml:space="preserve">NIS 142M</w:t>
            </w:r>
          </w:p>
        </w:tc>
        <w:tc>
          <w:tcPr>
            <w:tcW w:type="dxa" w:w="31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pPr>
              <w:jc w:val="center"/>
            </w:pPr>
            <w:r>
              <w:rPr>
                <w:rFonts w:ascii="Arial" w:cs="Arial" w:eastAsia="Arial" w:hAnsi="Arial"/>
                <w:color w:val="1C1C2E"/>
                <w:sz w:val="20"/>
                <w:szCs w:val="20"/>
              </w:rPr>
              <w:t xml:space="preserve">NIS 124.6M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C1C2E"/>
                <w:sz w:val="20"/>
                <w:szCs w:val="20"/>
              </w:rPr>
              <w:t xml:space="preserve">Gross Profit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C1C2E"/>
                <w:sz w:val="20"/>
                <w:szCs w:val="20"/>
              </w:rPr>
              <w:t xml:space="preserve">NIS 89.4M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C1C2E"/>
                <w:sz w:val="20"/>
                <w:szCs w:val="20"/>
              </w:rPr>
              <w:t xml:space="preserve">NIS 76.1M</w:t>
            </w:r>
          </w:p>
        </w:tc>
      </w:tr>
      <w:tr>
        <w:tc>
          <w:tcPr>
            <w:tcW w:type="dxa" w:w="31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pPr>
              <w:jc w:val="center"/>
            </w:pPr>
            <w:r>
              <w:rPr>
                <w:rFonts w:ascii="Arial" w:cs="Arial" w:eastAsia="Arial" w:hAnsi="Arial"/>
                <w:color w:val="1C1C2E"/>
                <w:sz w:val="20"/>
                <w:szCs w:val="20"/>
              </w:rPr>
              <w:t xml:space="preserve">Net Income</w:t>
            </w:r>
          </w:p>
        </w:tc>
        <w:tc>
          <w:tcPr>
            <w:tcW w:type="dxa" w:w="31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pPr>
              <w:jc w:val="center"/>
            </w:pPr>
            <w:r>
              <w:rPr>
                <w:rFonts w:ascii="Arial" w:cs="Arial" w:eastAsia="Arial" w:hAnsi="Arial"/>
                <w:color w:val="1C1C2E"/>
                <w:sz w:val="20"/>
                <w:szCs w:val="20"/>
              </w:rPr>
              <w:t xml:space="preserve">NIS 31.2M</w:t>
            </w:r>
          </w:p>
        </w:tc>
        <w:tc>
          <w:tcPr>
            <w:tcW w:type="dxa" w:w="31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pPr>
              <w:jc w:val="center"/>
            </w:pPr>
            <w:r>
              <w:rPr>
                <w:rFonts w:ascii="Arial" w:cs="Arial" w:eastAsia="Arial" w:hAnsi="Arial"/>
                <w:color w:val="1C1C2E"/>
                <w:sz w:val="20"/>
                <w:szCs w:val="20"/>
              </w:rPr>
              <w:t xml:space="preserve">NIS 24.8M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C1C2E"/>
                <w:sz w:val="20"/>
                <w:szCs w:val="20"/>
              </w:rPr>
              <w:t xml:space="preserve">EPS (diluted)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C1C2E"/>
                <w:sz w:val="20"/>
                <w:szCs w:val="20"/>
              </w:rPr>
              <w:t xml:space="preserve">NIS 3.84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C1C2E"/>
                <w:sz w:val="20"/>
                <w:szCs w:val="20"/>
              </w:rPr>
              <w:t xml:space="preserve">NIS 3.05</w:t>
            </w:r>
          </w:p>
        </w:tc>
      </w:tr>
      <w:tr>
        <w:tc>
          <w:tcPr>
            <w:tcW w:type="dxa" w:w="31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pPr>
              <w:jc w:val="center"/>
            </w:pPr>
            <w:r>
              <w:rPr>
                <w:rFonts w:ascii="Arial" w:cs="Arial" w:eastAsia="Arial" w:hAnsi="Arial"/>
                <w:color w:val="1C1C2E"/>
                <w:sz w:val="20"/>
                <w:szCs w:val="20"/>
              </w:rPr>
              <w:t xml:space="preserve">R&amp;D Investment</w:t>
            </w:r>
          </w:p>
        </w:tc>
        <w:tc>
          <w:tcPr>
            <w:tcW w:type="dxa" w:w="31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pPr>
              <w:jc w:val="center"/>
            </w:pPr>
            <w:r>
              <w:rPr>
                <w:rFonts w:ascii="Arial" w:cs="Arial" w:eastAsia="Arial" w:hAnsi="Arial"/>
                <w:color w:val="1C1C2E"/>
                <w:sz w:val="20"/>
                <w:szCs w:val="20"/>
              </w:rPr>
              <w:t xml:space="preserve">NIS 22.1M</w:t>
            </w:r>
          </w:p>
        </w:tc>
        <w:tc>
          <w:tcPr>
            <w:tcW w:type="dxa" w:w="31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pPr>
              <w:jc w:val="center"/>
            </w:pPr>
            <w:r>
              <w:rPr>
                <w:rFonts w:ascii="Arial" w:cs="Arial" w:eastAsia="Arial" w:hAnsi="Arial"/>
                <w:color w:val="1C1C2E"/>
                <w:sz w:val="20"/>
                <w:szCs w:val="20"/>
              </w:rPr>
              <w:t xml:space="preserve">NIS 18.6M</w:t>
            </w:r>
          </w:p>
        </w:tc>
      </w:tr>
    </w:tbl>
    <w:p>
      <w:pPr>
        <w:spacing w:after="100" w:before="100"/>
      </w:pPr>
      <w:r>
        <w:t xml:space="preserve"/>
      </w:r>
    </w:p>
    <w:p>
      <w:pPr>
        <w:pStyle w:val="Heading2"/>
        <w:spacing w:after="160" w:before="320"/>
      </w:pPr>
      <w:r>
        <w:rPr>
          <w:rFonts w:ascii="Arial" w:cs="Arial" w:eastAsia="Arial" w:hAnsi="Arial"/>
          <w:b/>
          <w:bCs/>
          <w:color w:val="4F46E5"/>
          <w:sz w:val="28"/>
          <w:szCs w:val="28"/>
        </w:rPr>
        <w:t xml:space="preserve">Operational Review</w:t>
      </w:r>
    </w:p>
    <w:p>
      <w:pPr>
        <w:spacing w:after="120" w:before="100"/>
        <w:jc w:val="left"/>
      </w:pPr>
      <w:r>
        <w:rPr>
          <w:rFonts w:ascii="Arial" w:cs="Arial" w:eastAsia="Arial" w:hAnsi="Arial"/>
          <w:color w:val="1C1C2E"/>
          <w:sz w:val="22"/>
          <w:szCs w:val="22"/>
        </w:rPr>
        <w:t xml:space="preserve">SaaS Division: Our cloud-based software solutions continued to outperform market expectations, with annual recurring revenue (ARR) reaching NIS 78M, representing a year-on-year increase of 38%. Customer churn was maintained at a historically low rate of 4.2%, reflecting the quality of our onboarding process and customer success initiatives.</w:t>
      </w:r>
    </w:p>
    <w:p>
      <w:pPr>
        <w:spacing w:after="120" w:before="100"/>
        <w:jc w:val="left"/>
      </w:pPr>
      <w:r>
        <w:rPr>
          <w:rFonts w:ascii="Arial" w:cs="Arial" w:eastAsia="Arial" w:hAnsi="Arial"/>
          <w:color w:val="1C1C2E"/>
          <w:sz w:val="22"/>
          <w:szCs w:val="22"/>
        </w:rPr>
        <w:t xml:space="preserve">Enterprise Services: The professional services arm generated NIS 34M in revenue, an 8% improvement over the previous year. Key mandates included a full-scale digital transformation project for a leading Israeli insurance group and a data migration programme for a major municipal authority.</w:t>
      </w:r>
    </w:p>
    <w:p>
      <w:pPr>
        <w:spacing w:after="120" w:before="100"/>
        <w:jc w:val="left"/>
      </w:pPr>
      <w:r>
        <w:rPr>
          <w:rFonts w:ascii="Arial" w:cs="Arial" w:eastAsia="Arial" w:hAnsi="Arial"/>
          <w:color w:val="1C1C2E"/>
          <w:sz w:val="22"/>
          <w:szCs w:val="22"/>
        </w:rPr>
        <w:t xml:space="preserve">Acquisitions: The integrations of Orion Analytics and DataFlow Systems were completed ahead of schedule and within budget. Combined, these entities contributed NIS 18M to consolidated revenue in the second half of 2025. Cross-selling opportunities have already been identified and are being actively pursued.</w:t>
      </w:r>
    </w:p>
    <w:p>
      <w:pPr>
        <w:spacing w:after="100" w:before="100"/>
      </w:pPr>
      <w:r>
        <w:t xml:space="preserve"/>
      </w:r>
    </w:p>
    <w:p>
      <w:pPr>
        <w:pStyle w:val="Heading2"/>
        <w:spacing w:after="160" w:before="320"/>
      </w:pPr>
      <w:r>
        <w:rPr>
          <w:rFonts w:ascii="Arial" w:cs="Arial" w:eastAsia="Arial" w:hAnsi="Arial"/>
          <w:b/>
          <w:bCs/>
          <w:color w:val="4F46E5"/>
          <w:sz w:val="28"/>
          <w:szCs w:val="28"/>
        </w:rPr>
        <w:t xml:space="preserve">Outlook for FY 2026</w:t>
      </w:r>
    </w:p>
    <w:p>
      <w:pPr>
        <w:spacing w:after="120" w:before="100"/>
        <w:jc w:val="left"/>
      </w:pPr>
      <w:r>
        <w:rPr>
          <w:rFonts w:ascii="Arial" w:cs="Arial" w:eastAsia="Arial" w:hAnsi="Arial"/>
          <w:color w:val="1C1C2E"/>
          <w:sz w:val="22"/>
          <w:szCs w:val="22"/>
        </w:rPr>
        <w:t xml:space="preserve">The Board of Directors and executive management team are cautiously optimistic about the year ahead. Global macro conditions remain uncertain, but our diversified revenue base, strong balance sheet, and talented workforce position us well for continued growth. We are targeting revenue growth of 12–16% for FY 2026, with continued investment in product development and international expansion.</w:t>
      </w:r>
    </w:p>
    <w:p>
      <w:pPr>
        <w:spacing w:after="100" w:before="100"/>
      </w:pPr>
      <w:r>
        <w:t xml:space="preserve"/>
      </w:r>
    </w:p>
    <w:p>
      <w:pPr>
        <w:pBdr>
          <w:bottom w:val="single" w:color="E5E7EB" w:sz="4" w:space="1"/>
        </w:pBdr>
        <w:spacing w:after="200" w:before="200"/>
      </w:pPr>
      <w:r>
        <w:t xml:space="preserve"/>
      </w:r>
    </w:p>
    <w:p>
      <w:pPr>
        <w:spacing w:after="120" w:before="100"/>
        <w:jc w:val="left"/>
      </w:pPr>
      <w:r>
        <w:rPr>
          <w:rFonts w:ascii="Arial" w:cs="Arial" w:eastAsia="Arial" w:hAnsi="Arial"/>
          <w:i/>
          <w:iCs/>
          <w:color w:val="6B7280"/>
          <w:sz w:val="22"/>
          <w:szCs w:val="22"/>
        </w:rPr>
        <w:t xml:space="preserve">Translator's Note: Financial figures are as reported in the original Hebrew audited financial statements. All amounts are denominated in New Israeli Shekels (NIS) unless otherwise stated.</w:t>
      </w:r>
    </w:p>
    <w:p>
      <w:pPr>
        <w:spacing w:after="120" w:before="100"/>
        <w:jc w:val="center"/>
      </w:pPr>
      <w:r>
        <w:rPr>
          <w:rFonts w:ascii="Arial" w:cs="Arial" w:eastAsia="Arial" w:hAnsi="Arial"/>
          <w:i/>
          <w:iCs/>
          <w:color w:val="6B7280"/>
          <w:sz w:val="22"/>
          <w:szCs w:val="22"/>
        </w:rPr>
        <w:t xml:space="preserve">Translated by Benjy Alper | benjy@example.com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center"/>
    </w:pPr>
    <w:r>
      <w:rPr>
        <w:rFonts w:ascii="Arial" w:cs="Arial" w:eastAsia="Arial" w:hAnsi="Arial"/>
        <w:color w:val="9CA3AF"/>
        <w:sz w:val="18"/>
        <w:szCs w:val="18"/>
      </w:rPr>
      <w:t xml:space="preserve">Hebrew → English   |   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r>
      <w:rPr>
        <w:rFonts w:ascii="Arial" w:cs="Arial" w:eastAsia="Arial" w:hAnsi="Arial"/>
        <w:color w:val="9CA3AF"/>
        <w:sz w:val="18"/>
        <w:szCs w:val="18"/>
      </w:rPr>
      <w:t xml:space="preserve">   |   © 2026 Benjy Alper.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1"/>
      </w:pBdr>
    </w:pPr>
    <w:r>
      <w:rPr>
        <w:rFonts w:ascii="Arial" w:cs="Arial" w:eastAsia="Arial" w:hAnsi="Arial"/>
        <w:b/>
        <w:bCs/>
        <w:color w:val="4F46E5"/>
        <w:sz w:val="18"/>
        <w:szCs w:val="18"/>
      </w:rPr>
      <w:t xml:space="preserve">Benjy Alper | Professional Translator</w:t>
    </w:r>
    <w:r>
      <w:rPr>
        <w:rFonts w:ascii="Arial" w:cs="Arial" w:eastAsia="Arial" w:hAnsi="Arial"/>
        <w:color w:val="6B7280"/>
        <w:sz w:val="18"/>
        <w:szCs w:val="18"/>
      </w:rPr>
      <w:t xml:space="preserve">   |   Corporate Annual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4F46E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2026-04-18T18:46:46.295Z</dcterms:created>
  <dcterms:modified xsi:type="dcterms:W3CDTF">2026-04-18T18:46:46.295Z</dcterms:modified>
</cp:coreProperties>
</file>

<file path=docProps/custom.xml><?xml version="1.0" encoding="utf-8"?>
<Properties xmlns="http://schemas.openxmlformats.org/officeDocument/2006/custom-properties" xmlns:vt="http://schemas.openxmlformats.org/officeDocument/2006/docPropsVTypes"/>
</file>