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0A0A0F"/>
          <w:sz w:val="36"/>
          <w:szCs w:val="36"/>
        </w:rPr>
        <w:t xml:space="preserve">SecureConnect Pro — User Manual</w:t>
      </w:r>
    </w:p>
    <w:p>
      <w:pPr>
        <w:spacing w:after="120" w:before="100"/>
        <w:jc w:val="left"/>
      </w:pPr>
      <w:r>
        <w:rPr>
          <w:rFonts w:ascii="Arial" w:cs="Arial" w:eastAsia="Arial" w:hAnsi="Arial"/>
          <w:i/>
          <w:iCs/>
          <w:color w:val="6B7280"/>
          <w:sz w:val="22"/>
          <w:szCs w:val="22"/>
        </w:rPr>
        <w:t xml:space="preserve">Version 4.2 | Translated from English to Hebrew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Document Type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Software User Manual</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Translation Direction</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English → Hebrew</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Product</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SecureConnect Pro v4.2 (name fictionalised)</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Translated by</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Benjy Alper, Professional Translator</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Date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April 2026</w:t>
            </w:r>
          </w:p>
        </w:tc>
      </w:tr>
    </w:tbl>
    <w:p>
      <w:pPr>
        <w:spacing w:after="100" w:before="100"/>
      </w:pPr>
      <w:r>
        <w:t xml:space="preserve"/>
      </w:r>
    </w:p>
    <w:p>
      <w:pPr>
        <w:pStyle w:val="Heading2"/>
        <w:spacing w:after="160" w:before="320"/>
      </w:pPr>
      <w:r>
        <w:rPr>
          <w:rFonts w:ascii="Arial" w:cs="Arial" w:eastAsia="Arial" w:hAnsi="Arial"/>
          <w:b/>
          <w:bCs/>
          <w:color w:val="4F46E5"/>
          <w:sz w:val="28"/>
          <w:szCs w:val="28"/>
        </w:rPr>
        <w:t xml:space="preserve">Chapter 4: Account Security Settings</w:t>
      </w:r>
    </w:p>
    <w:p>
      <w:pPr>
        <w:spacing w:after="120" w:before="100"/>
        <w:jc w:val="left"/>
      </w:pPr>
      <w:r>
        <w:rPr>
          <w:rFonts w:ascii="Arial" w:cs="Arial" w:eastAsia="Arial" w:hAnsi="Arial"/>
          <w:color w:val="1C1C2E"/>
          <w:sz w:val="22"/>
          <w:szCs w:val="22"/>
        </w:rPr>
        <w:t xml:space="preserve">This chapter explains how to configure the security features available in SecureConnect Pro, including multi-factor authentication (MFA), session management, and access permissions. We strongly recommend that all users review and configure these settings upon first login.</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4.1 Enabling Multi-Factor Authentication (MFA)</w:t>
      </w:r>
    </w:p>
    <w:p>
      <w:pPr>
        <w:spacing w:after="120" w:before="100"/>
        <w:jc w:val="left"/>
      </w:pPr>
      <w:r>
        <w:rPr>
          <w:rFonts w:ascii="Arial" w:cs="Arial" w:eastAsia="Arial" w:hAnsi="Arial"/>
          <w:color w:val="1C1C2E"/>
          <w:sz w:val="22"/>
          <w:szCs w:val="22"/>
        </w:rPr>
        <w:t xml:space="preserve">Multi-factor authentication adds a critical additional layer of protection to your account by requiring a second form of verification in addition to your password. To configure MFA, follow these steps:</w:t>
      </w:r>
    </w:p>
    <w:p>
      <w:pPr>
        <w:pStyle w:val="ListParagraph"/>
        <w:numPr>
          <w:ilvl w:val="0"/>
          <w:numId w:val="2"/>
        </w:numPr>
        <w:spacing w:after="80" w:before="80"/>
      </w:pPr>
      <w:r>
        <w:rPr>
          <w:rFonts w:ascii="Arial" w:cs="Arial" w:eastAsia="Arial" w:hAnsi="Arial"/>
          <w:color w:val="1C1C2E"/>
          <w:sz w:val="22"/>
          <w:szCs w:val="22"/>
        </w:rPr>
        <w:t xml:space="preserve">Navigate to Account Settings by clicking on your profile icon in the top-right corner of the dashboard.</w:t>
      </w:r>
    </w:p>
    <w:p>
      <w:pPr>
        <w:pStyle w:val="ListParagraph"/>
        <w:numPr>
          <w:ilvl w:val="0"/>
          <w:numId w:val="2"/>
        </w:numPr>
        <w:spacing w:after="80" w:before="80"/>
      </w:pPr>
      <w:r>
        <w:rPr>
          <w:rFonts w:ascii="Arial" w:cs="Arial" w:eastAsia="Arial" w:hAnsi="Arial"/>
          <w:color w:val="1C1C2E"/>
          <w:sz w:val="22"/>
          <w:szCs w:val="22"/>
        </w:rPr>
        <w:t xml:space="preserve">Select the Security tab from the left-hand navigation panel.</w:t>
      </w:r>
    </w:p>
    <w:p>
      <w:pPr>
        <w:pStyle w:val="ListParagraph"/>
        <w:numPr>
          <w:ilvl w:val="0"/>
          <w:numId w:val="2"/>
        </w:numPr>
        <w:spacing w:after="80" w:before="80"/>
      </w:pPr>
      <w:r>
        <w:rPr>
          <w:rFonts w:ascii="Arial" w:cs="Arial" w:eastAsia="Arial" w:hAnsi="Arial"/>
          <w:color w:val="1C1C2E"/>
          <w:sz w:val="22"/>
          <w:szCs w:val="22"/>
        </w:rPr>
        <w:t xml:space="preserve">Under the Two-Factor Authentication section, click Enable MFA.</w:t>
      </w:r>
    </w:p>
    <w:p>
      <w:pPr>
        <w:pStyle w:val="ListParagraph"/>
        <w:numPr>
          <w:ilvl w:val="0"/>
          <w:numId w:val="2"/>
        </w:numPr>
        <w:spacing w:after="80" w:before="80"/>
      </w:pPr>
      <w:r>
        <w:rPr>
          <w:rFonts w:ascii="Arial" w:cs="Arial" w:eastAsia="Arial" w:hAnsi="Arial"/>
          <w:color w:val="1C1C2E"/>
          <w:sz w:val="22"/>
          <w:szCs w:val="22"/>
        </w:rPr>
        <w:t xml:space="preserve">You will be prompted to scan a QR code using an authenticator app of your choice. Compatible apps include Google Authenticator, Microsoft Authenticator, and Authy.</w:t>
      </w:r>
    </w:p>
    <w:p>
      <w:pPr>
        <w:pStyle w:val="ListParagraph"/>
        <w:numPr>
          <w:ilvl w:val="0"/>
          <w:numId w:val="2"/>
        </w:numPr>
        <w:spacing w:after="80" w:before="80"/>
      </w:pPr>
      <w:r>
        <w:rPr>
          <w:rFonts w:ascii="Arial" w:cs="Arial" w:eastAsia="Arial" w:hAnsi="Arial"/>
          <w:color w:val="1C1C2E"/>
          <w:sz w:val="22"/>
          <w:szCs w:val="22"/>
        </w:rPr>
        <w:t xml:space="preserve">Open your authenticator app and scan the QR code displayed on screen. If you are unable to scan the QR code, click Enter code manually and type the provided key into your app.</w:t>
      </w:r>
    </w:p>
    <w:p>
      <w:pPr>
        <w:pStyle w:val="ListParagraph"/>
        <w:numPr>
          <w:ilvl w:val="0"/>
          <w:numId w:val="2"/>
        </w:numPr>
        <w:spacing w:after="80" w:before="80"/>
      </w:pPr>
      <w:r>
        <w:rPr>
          <w:rFonts w:ascii="Arial" w:cs="Arial" w:eastAsia="Arial" w:hAnsi="Arial"/>
          <w:color w:val="1C1C2E"/>
          <w:sz w:val="22"/>
          <w:szCs w:val="22"/>
        </w:rPr>
        <w:t xml:space="preserve">Once the QR code has been scanned, your authenticator app will display a six-digit verification code. Enter this code in the Verification Code field on screen and click Confirm.</w:t>
      </w:r>
    </w:p>
    <w:p>
      <w:pPr>
        <w:pStyle w:val="ListParagraph"/>
        <w:numPr>
          <w:ilvl w:val="0"/>
          <w:numId w:val="2"/>
        </w:numPr>
        <w:spacing w:after="80" w:before="80"/>
      </w:pPr>
      <w:r>
        <w:rPr>
          <w:rFonts w:ascii="Arial" w:cs="Arial" w:eastAsia="Arial" w:hAnsi="Arial"/>
          <w:color w:val="1C1C2E"/>
          <w:sz w:val="22"/>
          <w:szCs w:val="22"/>
        </w:rPr>
        <w:t xml:space="preserve">MFA is now enabled. You will be required to enter a verification code from your authenticator app each time you log in from an unrecognised device.</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4.2 Backup Codes</w:t>
      </w:r>
    </w:p>
    <w:p>
      <w:pPr>
        <w:spacing w:after="120" w:before="100"/>
        <w:jc w:val="left"/>
      </w:pPr>
      <w:r>
        <w:rPr>
          <w:rFonts w:ascii="Arial" w:cs="Arial" w:eastAsia="Arial" w:hAnsi="Arial"/>
          <w:color w:val="1C1C2E"/>
          <w:sz w:val="22"/>
          <w:szCs w:val="22"/>
        </w:rPr>
        <w:t xml:space="preserve">Upon enabling MFA, the system will generate ten single-use backup codes. These codes can be used to access your account in the event that you lose access to your authenticator app. Store your backup codes in a secure location.</w:t>
      </w:r>
    </w:p>
    <w:p>
      <w:pPr>
        <w:spacing w:after="120" w:before="100"/>
        <w:jc w:val="left"/>
      </w:pPr>
      <w:r>
        <w:rPr>
          <w:rFonts w:ascii="Arial" w:cs="Arial" w:eastAsia="Arial" w:hAnsi="Arial"/>
          <w:b/>
          <w:bCs/>
          <w:color w:val="1C1C2E"/>
          <w:sz w:val="22"/>
          <w:szCs w:val="22"/>
        </w:rPr>
        <w:t xml:space="preserve">Important: Each backup code can be used only once. Once all backup codes have been used, you may generate a new set from the Security settings page.</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4.3 Session Management</w:t>
      </w:r>
    </w:p>
    <w:p>
      <w:pPr>
        <w:spacing w:after="120" w:before="100"/>
        <w:jc w:val="left"/>
      </w:pPr>
      <w:r>
        <w:rPr>
          <w:rFonts w:ascii="Arial" w:cs="Arial" w:eastAsia="Arial" w:hAnsi="Arial"/>
          <w:color w:val="1C1C2E"/>
          <w:sz w:val="22"/>
          <w:szCs w:val="22"/>
        </w:rPr>
        <w:t xml:space="preserve">The Session Management panel allows you to view all active sessions associated with your account and terminate any sessions you do not recognise. To access this panel:</w:t>
      </w:r>
    </w:p>
    <w:p>
      <w:pPr>
        <w:pStyle w:val="ListParagraph"/>
        <w:numPr>
          <w:ilvl w:val="0"/>
          <w:numId w:val="3"/>
        </w:numPr>
        <w:spacing w:after="80" w:before="80"/>
      </w:pPr>
      <w:r>
        <w:rPr>
          <w:rFonts w:ascii="Arial" w:cs="Arial" w:eastAsia="Arial" w:hAnsi="Arial"/>
          <w:color w:val="1C1C2E"/>
          <w:sz w:val="22"/>
          <w:szCs w:val="22"/>
        </w:rPr>
        <w:t xml:space="preserve">Go to Account Settings &gt; Security &gt; Active Sessions.</w:t>
      </w:r>
    </w:p>
    <w:p>
      <w:pPr>
        <w:pStyle w:val="ListParagraph"/>
        <w:numPr>
          <w:ilvl w:val="0"/>
          <w:numId w:val="3"/>
        </w:numPr>
        <w:spacing w:after="80" w:before="80"/>
      </w:pPr>
      <w:r>
        <w:rPr>
          <w:rFonts w:ascii="Arial" w:cs="Arial" w:eastAsia="Arial" w:hAnsi="Arial"/>
          <w:color w:val="1C1C2E"/>
          <w:sz w:val="22"/>
          <w:szCs w:val="22"/>
        </w:rPr>
        <w:t xml:space="preserve">A list of all currently active sessions will be displayed, including device type, operating system, IP address, and last activity timestamp.</w:t>
      </w:r>
    </w:p>
    <w:p>
      <w:pPr>
        <w:pStyle w:val="ListParagraph"/>
        <w:numPr>
          <w:ilvl w:val="0"/>
          <w:numId w:val="3"/>
        </w:numPr>
        <w:spacing w:after="80" w:before="80"/>
      </w:pPr>
      <w:r>
        <w:rPr>
          <w:rFonts w:ascii="Arial" w:cs="Arial" w:eastAsia="Arial" w:hAnsi="Arial"/>
          <w:color w:val="1C1C2E"/>
          <w:sz w:val="22"/>
          <w:szCs w:val="22"/>
        </w:rPr>
        <w:t xml:space="preserve">To terminate a specific session, click the Revoke button next to the relevant session entry.</w:t>
      </w:r>
    </w:p>
    <w:p>
      <w:pPr>
        <w:pStyle w:val="ListParagraph"/>
        <w:numPr>
          <w:ilvl w:val="0"/>
          <w:numId w:val="3"/>
        </w:numPr>
        <w:spacing w:after="80" w:before="80"/>
      </w:pPr>
      <w:r>
        <w:rPr>
          <w:rFonts w:ascii="Arial" w:cs="Arial" w:eastAsia="Arial" w:hAnsi="Arial"/>
          <w:color w:val="1C1C2E"/>
          <w:sz w:val="22"/>
          <w:szCs w:val="22"/>
        </w:rPr>
        <w:t xml:space="preserve">To terminate all sessions simultaneously (except your current session), click Revoke All Other Sessions.</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4.4 Role-Based Access Permissions</w:t>
      </w:r>
    </w:p>
    <w:p>
      <w:pPr>
        <w:spacing w:after="120" w:before="100"/>
        <w:jc w:val="left"/>
      </w:pPr>
      <w:r>
        <w:rPr>
          <w:rFonts w:ascii="Arial" w:cs="Arial" w:eastAsia="Arial" w:hAnsi="Arial"/>
          <w:color w:val="1C1C2E"/>
          <w:sz w:val="22"/>
          <w:szCs w:val="22"/>
        </w:rPr>
        <w:t xml:space="preserve">SecureConnect Pro supports granular, role-based access control (RBAC) for team accounts. Administrators can assign one of the following predefined roles to each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Role</w:t>
            </w:r>
          </w:p>
        </w:tc>
        <w:tc>
          <w:tcPr>
            <w:tcW w:type="dxa" w:w="6760"/>
            <w:tcBorders>
              <w:top w:val="single" w:color="CCCCCC" w:sz="1"/>
              <w:left w:val="single" w:color="CCCCCC" w:sz="1"/>
              <w:bottom w:val="single" w:color="CCCCCC" w:sz="1"/>
              <w:right w:val="single" w:color="CCCCCC"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Permissions</w:t>
            </w:r>
          </w:p>
        </w:tc>
      </w:tr>
      <w:tr>
        <w:tc>
          <w:tcPr>
            <w:tcW w:type="dxa" w:w="260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b/>
                <w:bCs/>
                <w:color w:val="1C1C2E"/>
                <w:sz w:val="20"/>
                <w:szCs w:val="20"/>
              </w:rPr>
              <w:t xml:space="preserve">Owner</w:t>
            </w:r>
          </w:p>
        </w:tc>
        <w:tc>
          <w:tcPr>
            <w:tcW w:type="dxa" w:w="676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b w:val="false"/>
                <w:bCs w:val="false"/>
                <w:color w:val="1C1C2E"/>
                <w:sz w:val="20"/>
                <w:szCs w:val="20"/>
              </w:rPr>
              <w:t xml:space="preserve">Full access to all settings, billing, and user management. Cannot be removed.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C1C2E"/>
                <w:sz w:val="20"/>
                <w:szCs w:val="20"/>
              </w:rPr>
              <w:t xml:space="preserve">Administrator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C1C2E"/>
                <w:sz w:val="20"/>
                <w:szCs w:val="20"/>
              </w:rPr>
              <w:t xml:space="preserve">Full access to settings and user management. Cannot modify billing information.</w:t>
            </w:r>
          </w:p>
        </w:tc>
      </w:tr>
      <w:tr>
        <w:tc>
          <w:tcPr>
            <w:tcW w:type="dxa" w:w="260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b/>
                <w:bCs/>
                <w:color w:val="1C1C2E"/>
                <w:sz w:val="20"/>
                <w:szCs w:val="20"/>
              </w:rPr>
              <w:t xml:space="preserve">Editor</w:t>
            </w:r>
          </w:p>
        </w:tc>
        <w:tc>
          <w:tcPr>
            <w:tcW w:type="dxa" w:w="676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b w:val="false"/>
                <w:bCs w:val="false"/>
                <w:color w:val="1C1C2E"/>
                <w:sz w:val="20"/>
                <w:szCs w:val="20"/>
              </w:rPr>
              <w:t xml:space="preserve">Can create, edit, and delete content. Cannot access settings or user management.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C1C2E"/>
                <w:sz w:val="20"/>
                <w:szCs w:val="20"/>
              </w:rPr>
              <w:t xml:space="preserve">Viewer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C1C2E"/>
                <w:sz w:val="20"/>
                <w:szCs w:val="20"/>
              </w:rPr>
              <w:t xml:space="preserve">Read-only access to shared content. Cannot make any changes.</w:t>
            </w:r>
          </w:p>
        </w:tc>
      </w:tr>
    </w:tbl>
    <w:p>
      <w:pPr>
        <w:spacing w:after="100" w:before="100"/>
      </w:pPr>
      <w:r>
        <w:t xml:space="preserve"/>
      </w:r>
    </w:p>
    <w:p>
      <w:pPr>
        <w:pBdr>
          <w:bottom w:val="single" w:color="E5E7EB" w:sz="4" w:space="1"/>
        </w:pBdr>
        <w:spacing w:after="200" w:before="200"/>
      </w:pPr>
      <w:r>
        <w:t xml:space="preserve"/>
      </w:r>
    </w:p>
    <w:p>
      <w:pPr>
        <w:spacing w:after="120" w:before="100"/>
        <w:jc w:val="left"/>
      </w:pPr>
      <w:r>
        <w:rPr>
          <w:rFonts w:ascii="Arial" w:cs="Arial" w:eastAsia="Arial" w:hAnsi="Arial"/>
          <w:i/>
          <w:iCs/>
          <w:color w:val="6B7280"/>
          <w:sz w:val="22"/>
          <w:szCs w:val="22"/>
        </w:rPr>
        <w:t xml:space="preserve">Translator's Note: Technical terminology, UI element names, and navigation paths have been translated in accordance with the Hebrew localisation guidelines for the product. Where no established Hebrew term exists, the English term is retained in parentheses upon first use.</w:t>
      </w:r>
    </w:p>
    <w:p>
      <w:pPr>
        <w:spacing w:after="120" w:before="100"/>
        <w:jc w:val="center"/>
      </w:pPr>
      <w:r>
        <w:rPr>
          <w:rFonts w:ascii="Arial" w:cs="Arial" w:eastAsia="Arial" w:hAnsi="Arial"/>
          <w:i/>
          <w:iCs/>
          <w:color w:val="6B7280"/>
          <w:sz w:val="22"/>
          <w:szCs w:val="22"/>
        </w:rPr>
        <w:t xml:space="preserve">Translated by Benjy Alper | benjy@example.com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9CA3AF"/>
        <w:sz w:val="18"/>
        <w:szCs w:val="18"/>
      </w:rPr>
      <w:t xml:space="preserve">English → Hebrew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r>
      <w:rPr>
        <w:rFonts w:ascii="Arial" w:cs="Arial" w:eastAsia="Arial" w:hAnsi="Arial"/>
        <w:color w:val="9CA3AF"/>
        <w:sz w:val="18"/>
        <w:szCs w:val="18"/>
      </w:rPr>
      <w:t xml:space="preserve">   |   © 2026 Benjy Alper.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pPr>
    <w:r>
      <w:rPr>
        <w:rFonts w:ascii="Arial" w:cs="Arial" w:eastAsia="Arial" w:hAnsi="Arial"/>
        <w:b/>
        <w:bCs/>
        <w:color w:val="4F46E5"/>
        <w:sz w:val="18"/>
        <w:szCs w:val="18"/>
      </w:rPr>
      <w:t xml:space="preserve">Benjy Alper | Professional Translator</w:t>
    </w:r>
    <w:r>
      <w:rPr>
        <w:rFonts w:ascii="Arial" w:cs="Arial" w:eastAsia="Arial" w:hAnsi="Arial"/>
        <w:color w:val="6B7280"/>
        <w:sz w:val="18"/>
        <w:szCs w:val="18"/>
      </w:rPr>
      <w:t xml:space="preserve">   |   Software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4F46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2026-04-18T18:46:46.350Z</dcterms:created>
  <dcterms:modified xsi:type="dcterms:W3CDTF">2026-04-18T18:46:46.350Z</dcterms:modified>
</cp:coreProperties>
</file>

<file path=docProps/custom.xml><?xml version="1.0" encoding="utf-8"?>
<Properties xmlns="http://schemas.openxmlformats.org/officeDocument/2006/custom-properties" xmlns:vt="http://schemas.openxmlformats.org/officeDocument/2006/docPropsVTypes"/>
</file>