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0A0A0F"/>
          <w:sz w:val="36"/>
          <w:szCs w:val="36"/>
        </w:rPr>
        <w:t xml:space="preserve">Bilingualism and Executive Function in School-Age Children: A Longitudinal Study</w:t>
      </w:r>
    </w:p>
    <w:p>
      <w:pPr>
        <w:spacing w:after="120" w:before="100"/>
        <w:jc w:val="left"/>
      </w:pPr>
      <w:r>
        <w:rPr>
          <w:rFonts w:ascii="Arial" w:cs="Arial" w:eastAsia="Arial" w:hAnsi="Arial"/>
          <w:i/>
          <w:iCs/>
          <w:color w:val="6B7280"/>
          <w:sz w:val="22"/>
          <w:szCs w:val="22"/>
        </w:rPr>
        <w:t xml:space="preserve">Published in: Journal of Developmental Psychology (Hebrew edition) — Translated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Document Type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Academic Research Paper (Excerpt)</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Translation Direction</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Hebrew → English</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Field</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Developmental Psychology / Cognitive Science</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Translated by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Benjy Alper, Professional Translator</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Date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Note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Author names and institutional affiliations have been anonymised.</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Abstract</w:t>
      </w:r>
    </w:p>
    <w:p>
      <w:pPr>
        <w:spacing w:after="120" w:before="100"/>
        <w:jc w:val="left"/>
      </w:pPr>
      <w:r>
        <w:rPr>
          <w:rFonts w:ascii="Arial" w:cs="Arial" w:eastAsia="Arial" w:hAnsi="Arial"/>
          <w:color w:val="1C1C2E"/>
          <w:sz w:val="22"/>
          <w:szCs w:val="22"/>
        </w:rPr>
        <w:t xml:space="preserve">The relationship between bilingualism and cognitive development remains a subject of active scholarly inquiry. While early studies proposed a ‘bilingual advantage’ in executive function, subsequent research has yielded mixed results, underscoring the need for well-controlled longitudinal designs. This study examined whether early exposure to a bilingual environment predicts superior executive function outcomes in children aged 7 to 11 years. Participants (N = 214) were recruited from Hebrew-English bilingual and Hebrew-monolingual elementary school programmes across central Israel. Executive function was assessed using three standardised measures: the Flanker Task (inhibitory control), the Dimensional Change Card Sort (cognitive flexibility), and the Corsi Block Task (working memory). The findings suggest a statistically significant correlation between early bilingual exposure and enhanced executive function in school-age children (p &lt; 0.01), with effect sizes consistent with prior meta-analyses. The implications for early childhood education policy are discussed.</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1. Introduction</w:t>
      </w:r>
    </w:p>
    <w:p>
      <w:pPr>
        <w:spacing w:after="120" w:before="100"/>
        <w:jc w:val="left"/>
      </w:pPr>
      <w:r>
        <w:rPr>
          <w:rFonts w:ascii="Arial" w:cs="Arial" w:eastAsia="Arial" w:hAnsi="Arial"/>
          <w:color w:val="1C1C2E"/>
          <w:sz w:val="22"/>
          <w:szCs w:val="22"/>
        </w:rPr>
        <w:t xml:space="preserve">The question of whether managing two languages confers cognitive advantages beyond the linguistic domain has occupied researchers in psychology, neuroscience, and education for over four decades (Bialystok, 2001; Bialystok et al., 2009; Paap et al., 2015). The ‘bilingual advantage’ hypothesis posits that the constant cognitive demand of managing two competing linguistic systems exercises domain-general executive control mechanisms, resulting in superior performance on tasks requiring inhibitory control, attentional shifting, and working memory (Bialystok &amp; Viswanathan, 2009).</w:t>
      </w:r>
    </w:p>
    <w:p>
      <w:pPr>
        <w:spacing w:after="120" w:before="100"/>
        <w:jc w:val="left"/>
      </w:pPr>
      <w:r>
        <w:rPr>
          <w:rFonts w:ascii="Arial" w:cs="Arial" w:eastAsia="Arial" w:hAnsi="Arial"/>
          <w:color w:val="1C1C2E"/>
          <w:sz w:val="22"/>
          <w:szCs w:val="22"/>
        </w:rPr>
        <w:t xml:space="preserve">However, a number of high-powered replication studies have failed to reproduce the advantage under more tightly controlled conditions (Paap &amp; Greenberg, 2013; Gunnerud et al., 2020), raising important questions about publication bias, the operationalisation of bilingualism, and the ecological validity of laboratory-based executive function measures. The present study addresses several of these methodological limitations through a longitudinal design that tracks the same cohort over three academic years.</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2. Method</w:t>
      </w:r>
    </w:p>
    <w:p>
      <w:pPr>
        <w:spacing w:after="120" w:before="100"/>
        <w:jc w:val="left"/>
      </w:pPr>
      <w:r>
        <w:rPr>
          <w:rFonts w:ascii="Arial" w:cs="Arial" w:eastAsia="Arial" w:hAnsi="Arial"/>
          <w:b/>
          <w:bCs/>
          <w:color w:val="1C1C2E"/>
          <w:sz w:val="22"/>
          <w:szCs w:val="22"/>
        </w:rPr>
        <w:t xml:space="preserve">2.1 Participants</w:t>
      </w:r>
    </w:p>
    <w:p>
      <w:pPr>
        <w:spacing w:after="120" w:before="100"/>
        <w:jc w:val="left"/>
      </w:pPr>
      <w:r>
        <w:rPr>
          <w:rFonts w:ascii="Arial" w:cs="Arial" w:eastAsia="Arial" w:hAnsi="Arial"/>
          <w:color w:val="1C1C2E"/>
          <w:sz w:val="22"/>
          <w:szCs w:val="22"/>
        </w:rPr>
        <w:t xml:space="preserve">A total of 214 children (107 bilingual, 107 monolingual) aged 7–8 years at the time of initial assessment were recruited from six elementary schools in the greater Tel Aviv metropolitan area. Bilingual participants were defined as those who had been exposed to both Hebrew and English in the home environment from birth, with parental report of consistent daily use of both languages. Monolingual participants were native Hebrew speakers with no regular exposure to a second language. Groups were matched for age, sex, and parental socioeconomic status.</w:t>
      </w:r>
    </w:p>
    <w:p>
      <w:pPr>
        <w:spacing w:after="120" w:before="100"/>
        <w:jc w:val="left"/>
      </w:pPr>
      <w:r>
        <w:rPr>
          <w:rFonts w:ascii="Arial" w:cs="Arial" w:eastAsia="Arial" w:hAnsi="Arial"/>
          <w:b/>
          <w:bCs/>
          <w:color w:val="1C1C2E"/>
          <w:sz w:val="22"/>
          <w:szCs w:val="22"/>
        </w:rPr>
        <w:t xml:space="preserve">2.2 Measures</w:t>
      </w:r>
    </w:p>
    <w:p>
      <w:pPr>
        <w:spacing w:after="120" w:before="100"/>
        <w:jc w:val="left"/>
      </w:pPr>
      <w:r>
        <w:rPr>
          <w:rFonts w:ascii="Arial" w:cs="Arial" w:eastAsia="Arial" w:hAnsi="Arial"/>
          <w:color w:val="1C1C2E"/>
          <w:sz w:val="22"/>
          <w:szCs w:val="22"/>
        </w:rPr>
        <w:t xml:space="preserve">Executive function was assessed at three time points (T1: ages 7–8; T2: ages 9–10; T3: ages 10–11) using the following instruments:</w:t>
      </w:r>
    </w:p>
    <w:p>
      <w:pPr>
        <w:pStyle w:val="ListParagraph"/>
        <w:numPr>
          <w:ilvl w:val="0"/>
          <w:numId w:val="2"/>
        </w:numPr>
        <w:spacing w:after="80" w:before="80"/>
      </w:pPr>
      <w:r>
        <w:rPr>
          <w:rFonts w:ascii="Arial" w:cs="Arial" w:eastAsia="Arial" w:hAnsi="Arial"/>
          <w:color w:val="1C1C2E"/>
          <w:sz w:val="22"/>
          <w:szCs w:val="22"/>
        </w:rPr>
        <w:t xml:space="preserve">Flanker Task (Eriksen &amp; Eriksen, 1974): measures inhibitory control and selective attention.</w:t>
      </w:r>
    </w:p>
    <w:p>
      <w:pPr>
        <w:pStyle w:val="ListParagraph"/>
        <w:numPr>
          <w:ilvl w:val="0"/>
          <w:numId w:val="2"/>
        </w:numPr>
        <w:spacing w:after="80" w:before="80"/>
      </w:pPr>
      <w:r>
        <w:rPr>
          <w:rFonts w:ascii="Arial" w:cs="Arial" w:eastAsia="Arial" w:hAnsi="Arial"/>
          <w:color w:val="1C1C2E"/>
          <w:sz w:val="22"/>
          <w:szCs w:val="22"/>
        </w:rPr>
        <w:t xml:space="preserve">Dimensional Change Card Sort (DCCS; Zelazo, 2006): measures cognitive flexibility and rule-switching ability.</w:t>
      </w:r>
    </w:p>
    <w:p>
      <w:pPr>
        <w:pStyle w:val="ListParagraph"/>
        <w:numPr>
          <w:ilvl w:val="0"/>
          <w:numId w:val="2"/>
        </w:numPr>
        <w:spacing w:after="80" w:before="80"/>
      </w:pPr>
      <w:r>
        <w:rPr>
          <w:rFonts w:ascii="Arial" w:cs="Arial" w:eastAsia="Arial" w:hAnsi="Arial"/>
          <w:color w:val="1C1C2E"/>
          <w:sz w:val="22"/>
          <w:szCs w:val="22"/>
        </w:rPr>
        <w:t xml:space="preserve">Corsi Block Task (Milner, 1971): measures visuospatial working memory span.</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3. Results</w:t>
      </w:r>
    </w:p>
    <w:p>
      <w:pPr>
        <w:spacing w:after="120" w:before="100"/>
        <w:jc w:val="left"/>
      </w:pPr>
      <w:r>
        <w:rPr>
          <w:rFonts w:ascii="Arial" w:cs="Arial" w:eastAsia="Arial" w:hAnsi="Arial"/>
          <w:color w:val="1C1C2E"/>
          <w:sz w:val="22"/>
          <w:szCs w:val="22"/>
        </w:rPr>
        <w:t xml:space="preserve">Repeated-measures ANOVA revealed a significant main effect of bilingual status on composite executive function score across all three time points, F(1, 212) = 14.37, p &lt; 0.001, ηp² = 0.063. Bilingual children consistently outperformed their monolingual peers on the Flanker Task and DCCS, with the advantage strengthening between T2 and T3. No significant group difference was observed for the Corsi Block Task at T1; however, a significant bilingual advantage emerged at T2 (p = 0.03) and was maintained at T3 (p = 0.01). Effect sizes were in the small-to-moderate range (Cohen’s d = 0.32–0.51), consistent with prior meta-analytic estimates.</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4. Discussion and Conclusion</w:t>
      </w:r>
    </w:p>
    <w:p>
      <w:pPr>
        <w:spacing w:after="120" w:before="100"/>
        <w:jc w:val="left"/>
      </w:pPr>
      <w:r>
        <w:rPr>
          <w:rFonts w:ascii="Arial" w:cs="Arial" w:eastAsia="Arial" w:hAnsi="Arial"/>
          <w:color w:val="1C1C2E"/>
          <w:sz w:val="22"/>
          <w:szCs w:val="22"/>
        </w:rPr>
        <w:t xml:space="preserve">The present findings lend support to the view that early and sustained bilingual exposure is associated with enhanced executive function in middle childhood, at least as measured by the instruments employed here. The longitudinal design strengthens causal inference relative to cross-sectional studies, though limitations including potential self-selection bias and reliance on parent-reported language use should be acknowledged.</w:t>
      </w:r>
    </w:p>
    <w:p>
      <w:pPr>
        <w:spacing w:after="120" w:before="100"/>
        <w:jc w:val="left"/>
      </w:pPr>
      <w:r>
        <w:rPr>
          <w:rFonts w:ascii="Arial" w:cs="Arial" w:eastAsia="Arial" w:hAnsi="Arial"/>
          <w:color w:val="1C1C2E"/>
          <w:sz w:val="22"/>
          <w:szCs w:val="22"/>
        </w:rPr>
        <w:t xml:space="preserve">These results carry practical implications for early childhood education policy. Investment in bilingual education programmes may offer cognitive benefits that extend beyond linguistic competence, contributing to school readiness and academic achievement more broadly. Future research should examine whether the observed advantages persist into adolescence and adulthood, and whether they generalise across different language pairs and sociolinguistic contexts.</w:t>
      </w:r>
    </w:p>
    <w:p>
      <w:pPr>
        <w:spacing w:after="100" w:before="100"/>
      </w:pPr>
      <w:r>
        <w:t xml:space="preserve"/>
      </w:r>
    </w:p>
    <w:p>
      <w:pPr>
        <w:pBdr>
          <w:bottom w:val="single" w:color="E5E7EB" w:sz="4" w:space="1"/>
        </w:pBdr>
        <w:spacing w:after="200" w:before="200"/>
      </w:pPr>
      <w:r>
        <w:t xml:space="preserve"/>
      </w:r>
    </w:p>
    <w:p>
      <w:pPr>
        <w:spacing w:after="120" w:before="100"/>
        <w:jc w:val="left"/>
      </w:pPr>
      <w:r>
        <w:rPr>
          <w:rFonts w:ascii="Arial" w:cs="Arial" w:eastAsia="Arial" w:hAnsi="Arial"/>
          <w:i/>
          <w:iCs/>
          <w:color w:val="6B7280"/>
          <w:sz w:val="22"/>
          <w:szCs w:val="22"/>
        </w:rPr>
        <w:t xml:space="preserve">Translator’s Note: Psychological and statistical terminology has been translated in accordance with standard APA conventions and the accepted Hebrew-language glossary for developmental psychology. All statistical notation (p-values, effect sizes, F-statistics) has been preserved as per the original. Citations have been retained in their original English-language format.</w:t>
      </w:r>
    </w:p>
    <w:p>
      <w:pPr>
        <w:spacing w:after="120" w:before="100"/>
        <w:jc w:val="center"/>
      </w:pPr>
      <w:r>
        <w:rPr>
          <w:rFonts w:ascii="Arial" w:cs="Arial" w:eastAsia="Arial" w:hAnsi="Arial"/>
          <w:i/>
          <w:iCs/>
          <w:color w:val="6B7280"/>
          <w:sz w:val="22"/>
          <w:szCs w:val="22"/>
        </w:rPr>
        <w:t xml:space="preserve">Translated by Benjy Alper | benjy@example.com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Hebrew → English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2026 Benjy Alper.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bCs/>
        <w:color w:val="4F46E5"/>
        <w:sz w:val="18"/>
        <w:szCs w:val="18"/>
      </w:rPr>
      <w:t xml:space="preserve">Benjy Alper | Professional Translator</w:t>
    </w:r>
    <w:r>
      <w:rPr>
        <w:rFonts w:ascii="Arial" w:cs="Arial" w:eastAsia="Arial" w:hAnsi="Arial"/>
        <w:color w:val="6B7280"/>
        <w:sz w:val="18"/>
        <w:szCs w:val="18"/>
      </w:rPr>
      <w:t xml:space="preserve">   |   Academic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2026-04-18T18:46:46.391Z</dcterms:created>
  <dcterms:modified xsi:type="dcterms:W3CDTF">2026-04-18T18:46:46.391Z</dcterms:modified>
</cp:coreProperties>
</file>

<file path=docProps/custom.xml><?xml version="1.0" encoding="utf-8"?>
<Properties xmlns="http://schemas.openxmlformats.org/officeDocument/2006/custom-properties" xmlns:vt="http://schemas.openxmlformats.org/officeDocument/2006/docPropsVTypes"/>
</file>