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44EB5B" w14:textId="77777777" w:rsidR="00A851D6" w:rsidRDefault="00A851D6">
      <w:pPr>
        <w:spacing w:after="320"/>
        <w:jc w:val="center"/>
        <w:rPr>
          <w:b/>
          <w:bCs/>
          <w:color w:val="1F3864"/>
          <w:sz w:val="36"/>
          <w:szCs w:val="36"/>
        </w:rPr>
      </w:pPr>
    </w:p>
    <w:p w14:paraId="6D78C7BC" w14:textId="77777777" w:rsidR="00A851D6" w:rsidRDefault="00A851D6">
      <w:pPr>
        <w:spacing w:after="320"/>
        <w:jc w:val="center"/>
        <w:rPr>
          <w:b/>
          <w:bCs/>
          <w:color w:val="1F3864"/>
          <w:sz w:val="36"/>
          <w:szCs w:val="36"/>
        </w:rPr>
      </w:pPr>
    </w:p>
    <w:p w14:paraId="2BA2FF10" w14:textId="77777777" w:rsidR="00A851D6" w:rsidRDefault="00A851D6">
      <w:pPr>
        <w:spacing w:after="320"/>
        <w:jc w:val="center"/>
        <w:rPr>
          <w:b/>
          <w:bCs/>
          <w:color w:val="1F3864"/>
          <w:sz w:val="36"/>
          <w:szCs w:val="36"/>
        </w:rPr>
      </w:pPr>
    </w:p>
    <w:p w14:paraId="0ACBAEED" w14:textId="77777777" w:rsidR="00A851D6" w:rsidRDefault="00A851D6">
      <w:pPr>
        <w:spacing w:after="320"/>
        <w:jc w:val="center"/>
        <w:rPr>
          <w:b/>
          <w:bCs/>
          <w:color w:val="1F3864"/>
          <w:sz w:val="36"/>
          <w:szCs w:val="36"/>
        </w:rPr>
      </w:pPr>
    </w:p>
    <w:p w14:paraId="7A1ED159" w14:textId="4C33996E" w:rsidR="00A851D6" w:rsidRDefault="003762E5">
      <w:pPr>
        <w:spacing w:after="320"/>
        <w:jc w:val="center"/>
        <w:rPr>
          <w:b/>
          <w:bCs/>
          <w:color w:val="1F3864"/>
          <w:sz w:val="36"/>
          <w:szCs w:val="36"/>
        </w:rPr>
      </w:pPr>
      <w:r>
        <w:rPr>
          <w:b/>
          <w:bCs/>
          <w:color w:val="1F3864"/>
          <w:sz w:val="36"/>
          <w:szCs w:val="36"/>
        </w:rPr>
        <w:t>What could be cool for results page is each of your countries on the y axis and the amount of questions that are correct, FP, and abstained for each on x stacked</w:t>
      </w:r>
    </w:p>
    <w:p w14:paraId="6DE4714A" w14:textId="77777777" w:rsidR="00A851D6" w:rsidRDefault="00A851D6">
      <w:pPr>
        <w:spacing w:after="320"/>
        <w:jc w:val="center"/>
        <w:rPr>
          <w:b/>
          <w:bCs/>
          <w:color w:val="1F3864"/>
          <w:sz w:val="36"/>
          <w:szCs w:val="36"/>
        </w:rPr>
      </w:pPr>
    </w:p>
    <w:p w14:paraId="75A76F7E" w14:textId="13441094" w:rsidR="007855DC" w:rsidRDefault="007855DC">
      <w:pPr>
        <w:spacing w:after="320"/>
        <w:jc w:val="center"/>
        <w:rPr>
          <w:b/>
          <w:bCs/>
          <w:color w:val="1F3864"/>
          <w:sz w:val="36"/>
          <w:szCs w:val="36"/>
        </w:rPr>
      </w:pPr>
      <w:r>
        <w:rPr>
          <w:b/>
          <w:bCs/>
          <w:color w:val="1F3864"/>
          <w:sz w:val="36"/>
          <w:szCs w:val="36"/>
        </w:rPr>
        <w:t>And interesting confounding thing to look into is, % of yes answers = score, so high maturity countries show very little in terms of no FPs. So you want higher no% countries, but they will have hard to find evidence (often non falsifiable) so abstention will then go up.</w:t>
      </w:r>
      <w:commentRangeStart w:id="22"/>
      <w:commentRangeEnd w:id="22"/>
      <w:r>
        <w:rPr>
          <w:rStyle w:val="CommentReference"/>
        </w:rPr>
        <w:commentReference w:id="22"/>
      </w:r>
    </w:p>
    <w:p w14:paraId="43F31DF3" w14:textId="77777777" w:rsidR="00A851D6" w:rsidRDefault="00A851D6">
      <w:pPr>
        <w:spacing w:after="320"/>
        <w:jc w:val="center"/>
        <w:rPr>
          <w:b/>
          <w:bCs/>
          <w:color w:val="1F3864"/>
          <w:sz w:val="36"/>
          <w:szCs w:val="36"/>
        </w:rPr>
      </w:pPr>
    </w:p>
    <w:p w14:paraId="46793CA3" w14:textId="77777777" w:rsidR="00A851D6" w:rsidRDefault="00A851D6">
      <w:pPr>
        <w:spacing w:after="320"/>
        <w:jc w:val="center"/>
        <w:rPr>
          <w:b/>
          <w:bCs/>
          <w:color w:val="1F3864"/>
          <w:sz w:val="36"/>
          <w:szCs w:val="36"/>
        </w:rPr>
      </w:pPr>
    </w:p>
    <w:p w14:paraId="4C384754" w14:textId="60D0D49C" w:rsidR="00F72AFB" w:rsidRDefault="00000000">
      <w:pPr>
        <w:spacing w:after="320"/>
        <w:jc w:val="center"/>
      </w:pPr>
      <w:r>
        <w:rPr>
          <w:b/>
          <w:bCs/>
          <w:color w:val="1F3864"/>
          <w:sz w:val="36"/>
          <w:szCs w:val="36"/>
        </w:rPr>
        <w:t>Automating the EU Open Data Maturity Index with an LLM Agent Swarm</w:t>
      </w:r>
    </w:p>
    <w:p w14:paraId="2615325D" w14:textId="79F13083" w:rsidR="00F72AFB" w:rsidRDefault="00000000">
      <w:pPr>
        <w:spacing w:after="800"/>
        <w:jc w:val="center"/>
      </w:pPr>
      <w:r>
        <w:rPr>
          <w:color w:val="555555"/>
        </w:rPr>
        <w:t>MSc Advanced Computing - Preliminary Project Report</w:t>
      </w:r>
    </w:p>
    <w:p w14:paraId="1639F341" w14:textId="77777777" w:rsidR="00F72AFB" w:rsidRDefault="00000000">
      <w:pPr>
        <w:spacing w:after="160"/>
        <w:jc w:val="center"/>
      </w:pPr>
      <w:r>
        <w:rPr>
          <w:b/>
          <w:bCs/>
          <w:sz w:val="26"/>
          <w:szCs w:val="26"/>
        </w:rPr>
        <w:t>Benjamin Bream</w:t>
      </w:r>
    </w:p>
    <w:p w14:paraId="4835B371" w14:textId="77777777" w:rsidR="00F72AFB" w:rsidRDefault="00000000">
      <w:pPr>
        <w:spacing w:after="160"/>
        <w:jc w:val="center"/>
      </w:pPr>
      <w:r>
        <w:t>King’s College London</w:t>
      </w:r>
    </w:p>
    <w:p w14:paraId="4F31E40B" w14:textId="77777777" w:rsidR="00F72AFB" w:rsidRDefault="00000000">
      <w:pPr>
        <w:spacing w:after="160"/>
        <w:jc w:val="center"/>
      </w:pPr>
      <w:r>
        <w:t>Department of Informatics</w:t>
      </w:r>
    </w:p>
    <w:p w14:paraId="48066CB6" w14:textId="365BC32B" w:rsidR="00F72AFB" w:rsidRDefault="00000000">
      <w:pPr>
        <w:spacing w:after="160"/>
        <w:jc w:val="center"/>
      </w:pPr>
      <w:r>
        <w:rPr>
          <w:i/>
          <w:iCs/>
          <w:color w:val="888888"/>
        </w:rPr>
        <w:t>Supervisor: Dr Johanna Walker</w:t>
      </w:r>
    </w:p>
    <w:p w14:paraId="39855F7B" w14:textId="77777777" w:rsidR="00F72AFB" w:rsidRDefault="00000000">
      <w:pPr>
        <w:spacing w:after="160"/>
        <w:jc w:val="center"/>
      </w:pPr>
      <w:r>
        <w:t>June 2026</w:t>
      </w:r>
    </w:p>
    <w:p w14:paraId="4CACB199" w14:textId="77777777" w:rsidR="00F72AFB" w:rsidRDefault="00000000">
      <w:r>
        <w:br w:type="page"/>
      </w:r>
    </w:p>
    <w:p w14:paraId="1826121A" w14:textId="77777777" w:rsidR="00F72AFB" w:rsidRDefault="00000000">
      <w:pPr>
        <w:pStyle w:val="Heading1"/>
      </w:pPr>
      <w:r>
        <w:lastRenderedPageBreak/>
        <w:t>Introduction</w:t>
      </w:r>
    </w:p>
    <w:p w14:paraId="2B1FACE4" w14:textId="06B61C54" w:rsidR="001A6C29" w:rsidRDefault="00CB47B8">
      <w:pPr>
        <w:spacing w:before="40" w:after="220"/>
        <w:rPr>
          <w:sz w:val="22"/>
          <w:szCs w:val="22"/>
        </w:rPr>
      </w:pPr>
      <w:commentRangeStart w:id="0"/>
      <w:r>
        <w:rPr>
          <w:sz w:val="22"/>
          <w:szCs w:val="22"/>
        </w:rPr>
        <w:t>The Open Data Maturity Index is an EU-wide report, published each year, that measures how well every participating country approaches its public data: whether the data is available, whether it is well formatted, and what reuse and impact it goes on to have. The assessment evaluates against 143 questions, currently hand-marked by a human. This project asks whether a swarm of agents can do this work instead, saving manhours without compromising accuracy. The design of the architecture aims to improve a known weakness of large language models, their tendency towards over-answering under uncertainty, and instead come to an evidenced answer or abstention.</w:t>
      </w:r>
      <w:commentRangeEnd w:id="0"/>
      <w:r>
        <w:rPr>
          <w:rStyle w:val="CommentReference"/>
          <w:sz w:val="22"/>
          <w:szCs w:val="22"/>
        </w:rPr>
        <w:commentReference w:id="0"/>
      </w:r>
      <w:r>
        <w:rPr>
          <w:sz w:val="22"/>
          <w:szCs w:val="22"/>
        </w:rPr>
        <w:t xml:space="preserve">  The core contribution of this report is two-fold: a proposed method for reliable self-verification on open-web retrieval questions, and a characterisation of where such a system fails and why.</w:t>
      </w:r>
    </w:p>
    <w:p w14:paraId="66DB7F0F" w14:textId="77777777" w:rsidR="00F72AFB" w:rsidRDefault="00000000">
      <w:pPr>
        <w:pStyle w:val="Heading2"/>
      </w:pPr>
      <w:r>
        <w:t>Domain and Problem</w:t>
      </w:r>
    </w:p>
    <w:p w14:paraId="40F6314A" w14:textId="43C49E70" w:rsidR="004352E5" w:rsidRPr="008C5BFE" w:rsidRDefault="004352E5" w:rsidP="008C5BFE">
      <w:pPr>
        <w:spacing w:before="40" w:after="220"/>
        <w:rPr>
          <w:i/>
          <w:iCs/>
          <w:color w:val="C00000"/>
          <w:sz w:val="22"/>
          <w:szCs w:val="22"/>
        </w:rPr>
      </w:pPr>
      <w:commentRangeStart w:id="1"/>
      <w:r>
        <w:rPr>
          <w:sz w:val="22"/>
          <w:szCs w:val="22"/>
        </w:rPr>
        <w:t xml:space="preserve">The Open Data Maturity Index is an annual European Commission assessment that measures how effectively EU states publish and reuse public-sector data. The report evaluates against four dimensions: Policy, Portal, Quality and Impact. Countries tend to improve year on year, with average maturity rising from 46% in 2015 to 83% in 2024, driven by wider adoption of regulations, APIs and metadata management. The report argues open data maturity is important as part of the wider European digital strategy as it supports areas like AI, research, government strategy and improved public services. Currently, countries are assessed by humans at the digital services company Capgemini. </w:t>
      </w:r>
      <w:commentRangeEnd w:id="1"/>
      <w:r>
        <w:rPr>
          <w:rStyle w:val="CommentReference"/>
          <w:i/>
          <w:iCs/>
          <w:color w:val="C00000"/>
          <w:sz w:val="22"/>
          <w:szCs w:val="22"/>
        </w:rPr>
        <w:commentReference w:id="1"/>
      </w:r>
    </w:p>
    <w:p w14:paraId="3FA85A6E" w14:textId="77777777" w:rsidR="00F72AFB" w:rsidRDefault="00000000">
      <w:pPr>
        <w:pStyle w:val="Heading2"/>
      </w:pPr>
      <w:r>
        <w:t>Motivation</w:t>
      </w:r>
    </w:p>
    <w:p w14:paraId="6D4F359E" w14:textId="7B886E31" w:rsidR="00EF56C0" w:rsidRPr="008C5BFE" w:rsidRDefault="002851D7">
      <w:pPr>
        <w:spacing w:before="40" w:after="220"/>
        <w:rPr>
          <w:b/>
          <w:bCs/>
          <w:sz w:val="22"/>
          <w:szCs w:val="22"/>
        </w:rPr>
      </w:pPr>
      <w:commentRangeStart w:id="2"/>
      <w:commentRangeStart w:id="3"/>
      <w:r>
        <w:rPr>
          <w:sz w:val="22"/>
          <w:szCs w:val="22"/>
        </w:rPr>
        <w:t xml:space="preserve">With 143 question across 36 countries, there are 5,148 questions to answer, and this seems like an area which could be massively improved by AI, especially 124 of 143 questions require simple, binary answers. The model laid out in this project offers to improve the manual scoring bottleneck in both cost and scale. A subset of the questions require countries to self-report answers which may also be affected by subjectivity and human bias. If an agentic system could automate this entire process for a fraction of the time and cost, not only does it free up human labour, it may also lead to future automations in other domains. </w:t>
      </w:r>
      <w:commentRangeEnd w:id="3"/>
      <w:r>
        <w:rPr>
          <w:rStyle w:val="CommentReference"/>
          <w:b/>
          <w:bCs/>
          <w:sz w:val="22"/>
          <w:szCs w:val="22"/>
        </w:rPr>
        <w:commentReference w:id="3"/>
      </w:r>
      <w:commentRangeEnd w:id="2"/>
      <w:r>
        <w:rPr>
          <w:rStyle w:val="CommentReference"/>
          <w:b/>
          <w:bCs/>
          <w:sz w:val="22"/>
          <w:szCs w:val="22"/>
        </w:rPr>
        <w:commentReference w:id="2"/>
      </w:r>
    </w:p>
    <w:p w14:paraId="3CBB8201" w14:textId="77777777" w:rsidR="00F72AFB" w:rsidRDefault="00000000">
      <w:pPr>
        <w:pStyle w:val="Heading2"/>
      </w:pPr>
      <w:r>
        <w:t>Research Questions</w:t>
      </w:r>
    </w:p>
    <w:p w14:paraId="56901300" w14:textId="6956644D" w:rsidR="00441125" w:rsidRDefault="00441125">
      <w:pPr>
        <w:spacing w:before="40" w:after="220"/>
        <w:rPr>
          <w:sz w:val="22"/>
          <w:szCs w:val="22"/>
        </w:rPr>
      </w:pPr>
      <w:r>
        <w:rPr>
          <w:sz w:val="22"/>
          <w:szCs w:val="22"/>
        </w:rPr>
        <w:t>RQ1: Can a swarm of agents, with adversarial verification, reliably answer the ODMI questionnaire comparable to the current human process?</w:t>
      </w:r>
    </w:p>
    <w:p w14:paraId="4071C049" w14:textId="1E412E6C" w:rsidR="00D10D09" w:rsidRDefault="00D10D09">
      <w:pPr>
        <w:spacing w:before="40" w:after="220"/>
        <w:rPr>
          <w:sz w:val="22"/>
          <w:szCs w:val="22"/>
        </w:rPr>
      </w:pPr>
      <w:r>
        <w:rPr>
          <w:sz w:val="22"/>
          <w:szCs w:val="22"/>
        </w:rPr>
        <w:t>RQ2: How does answer quality vary across the four ODMI dimensions?</w:t>
      </w:r>
    </w:p>
    <w:p w14:paraId="0A7D2083" w14:textId="71272658" w:rsidR="007E7A6A" w:rsidRDefault="007E7A6A">
      <w:pPr>
        <w:spacing w:before="40" w:after="220"/>
        <w:rPr>
          <w:sz w:val="22"/>
          <w:szCs w:val="22"/>
        </w:rPr>
      </w:pPr>
      <w:r>
        <w:rPr>
          <w:sz w:val="22"/>
          <w:szCs w:val="22"/>
        </w:rPr>
        <w:t>RQ3: How does answer quality vary across language and maturity regimes?</w:t>
      </w:r>
    </w:p>
    <w:p w14:paraId="7F0CC646" w14:textId="2BDD9F39" w:rsidR="00E77345" w:rsidRDefault="00E77345">
      <w:pPr>
        <w:spacing w:before="40" w:after="220"/>
        <w:rPr>
          <w:sz w:val="22"/>
          <w:szCs w:val="22"/>
        </w:rPr>
      </w:pPr>
      <w:commentRangeStart w:id="4"/>
      <w:r>
        <w:rPr>
          <w:sz w:val="22"/>
          <w:szCs w:val="22"/>
        </w:rPr>
        <w:t>RQ4: What ODMI questions are systematically out of reach for such a system?</w:t>
      </w:r>
      <w:commentRangeEnd w:id="4"/>
      <w:r>
        <w:rPr>
          <w:rStyle w:val="CommentReference"/>
          <w:sz w:val="22"/>
          <w:szCs w:val="22"/>
        </w:rPr>
        <w:commentReference w:id="4"/>
      </w:r>
    </w:p>
    <w:p w14:paraId="761BCFB1" w14:textId="18D2E23D" w:rsidR="00B87AC7" w:rsidRDefault="00B87AC7">
      <w:pPr>
        <w:spacing w:before="40" w:after="220"/>
        <w:rPr>
          <w:sz w:val="22"/>
          <w:szCs w:val="22"/>
        </w:rPr>
      </w:pPr>
      <w:r>
        <w:rPr>
          <w:sz w:val="22"/>
          <w:szCs w:val="22"/>
        </w:rPr>
        <w:t xml:space="preserve">The primary contribution of this paper will be in where the system consistently fails and why. </w:t>
      </w:r>
    </w:p>
    <w:p w14:paraId="32D46BE2" w14:textId="77777777" w:rsidR="003962AC" w:rsidRDefault="00000000">
      <w:pPr>
        <w:pBdr>
          <w:left w:val="single" w:sz="18" w:space="6" w:color="E0A000"/>
        </w:pBdr>
        <w:shd w:val="clear" w:color="auto" w:fill="FFF6D5"/>
        <w:spacing w:before="40" w:after="160"/>
        <w:ind w:left="144"/>
        <w:rPr>
          <w:sz w:val="20"/>
          <w:szCs w:val="20"/>
        </w:rPr>
      </w:pPr>
      <w:r>
        <w:rPr>
          <w:b/>
          <w:bCs/>
          <w:color w:val="1E7D1E"/>
          <w:sz w:val="20"/>
          <w:szCs w:val="20"/>
        </w:rPr>
        <w:t>+[ The scaffold now has 5 research questions, not 4: RQ5 is the answer-quality vs compute-cost trade-off (promoted from objective 4), and RQ3 is reframed as a two-stratum held-out language contrast, low/mid-resource A vs higher-resource B (D47). ]</w:t>
      </w:r>
    </w:p>
    <w:p w14:paraId="7984E89C" w14:textId="77777777" w:rsidR="00F72AFB" w:rsidRDefault="00000000">
      <w:pPr>
        <w:pStyle w:val="Heading2"/>
      </w:pPr>
      <w:r>
        <w:t>Aims and Objectives</w:t>
      </w:r>
    </w:p>
    <w:p w14:paraId="5054E8B3" w14:textId="6ECF0487" w:rsidR="00A96611" w:rsidRPr="00A96611" w:rsidRDefault="00A96611">
      <w:pPr>
        <w:spacing w:before="40" w:after="220"/>
      </w:pPr>
      <w:r>
        <w:rPr>
          <w:sz w:val="22"/>
          <w:szCs w:val="22"/>
        </w:rPr>
        <w:t>There are four main objectives for this project: (1) implement a three-agent LLM swarm for ODMI assessment; (2) evaluate accuracy against the published 2025 ODMI ground truth; (3) build a taxonomy of the failure-modes, classifying systemic failure categories; (4) characterise the accuracy-cost trade-off across experimental conditions.</w:t>
      </w:r>
    </w:p>
    <w:p w14:paraId="1A3B8C01" w14:textId="77777777" w:rsidR="003962AC" w:rsidRDefault="00000000">
      <w:pPr>
        <w:pBdr>
          <w:left w:val="single" w:sz="18" w:space="6" w:color="E0A000"/>
        </w:pBdr>
        <w:shd w:val="clear" w:color="auto" w:fill="FFF6D5"/>
        <w:spacing w:before="40" w:after="160"/>
        <w:ind w:left="144"/>
        <w:rPr>
          <w:sz w:val="20"/>
          <w:szCs w:val="20"/>
        </w:rPr>
      </w:pPr>
      <w:r>
        <w:rPr>
          <w:b/>
          <w:bCs/>
          <w:color w:val="1E7D1E"/>
          <w:sz w:val="20"/>
          <w:szCs w:val="20"/>
        </w:rPr>
        <w:t>+[ Objectives now also include a deterministic, leakage-free catalogue pathway for the 9 computable Quality questions (D30) plus automated portal discovery (D46), and a base-rate-stratified held-out evaluation across 8 countries (D47). ]</w:t>
      </w:r>
    </w:p>
    <w:p w14:paraId="7E8C7367" w14:textId="77777777" w:rsidR="00F72AFB" w:rsidRDefault="00000000">
      <w:pPr>
        <w:pStyle w:val="Heading2"/>
      </w:pPr>
      <w:r>
        <w:t>Dataset</w:t>
      </w:r>
    </w:p>
    <w:p w14:paraId="4D540D6E" w14:textId="2490FD65" w:rsidR="00A305A3" w:rsidRPr="006949B2" w:rsidRDefault="00EE415A">
      <w:pPr>
        <w:spacing w:before="40" w:after="220"/>
        <w:rPr>
          <w:sz w:val="22"/>
          <w:szCs w:val="22"/>
        </w:rPr>
      </w:pPr>
      <w:commentRangeStart w:id="5"/>
      <w:r>
        <w:rPr>
          <w:sz w:val="22"/>
          <w:szCs w:val="22"/>
        </w:rPr>
        <w:lastRenderedPageBreak/>
        <w:t xml:space="preserve">The 2025 ODMI </w:t>
      </w:r>
      <w:r>
        <w:rPr>
          <w:i/>
          <w:iCs/>
          <w:sz w:val="22"/>
          <w:szCs w:val="22"/>
        </w:rPr>
        <w:t>merged_responses</w:t>
      </w:r>
      <w:r>
        <w:rPr>
          <w:sz w:val="22"/>
          <w:szCs w:val="22"/>
        </w:rPr>
        <w:t xml:space="preserve"> dataset contains all 5,148 question-answer pairs and is used as our ground-truth, accuracy is based on reaching the same conclusion as the humans. However, where our system diverges may lead to interesting avenues of research, especially in the subsection of the Quality dimension which asks countries to self-mark without necessitating evidence. The 2024 cycle is held back as a potential external validity test set, though countries may have updated their open data in the previous two years so divergences will be scrutinised.</w:t>
      </w:r>
      <w:commentRangeEnd w:id="5"/>
      <w:r>
        <w:rPr>
          <w:rStyle w:val="CommentReference"/>
          <w:sz w:val="22"/>
          <w:szCs w:val="22"/>
        </w:rPr>
        <w:commentReference w:id="5"/>
      </w:r>
    </w:p>
    <w:p w14:paraId="084B3610" w14:textId="77777777" w:rsidR="00F72AFB" w:rsidRDefault="00000000">
      <w:pPr>
        <w:pStyle w:val="Heading2"/>
      </w:pPr>
      <w:r>
        <w:t>Methodology Summary</w:t>
      </w:r>
    </w:p>
    <w:p w14:paraId="3E183088" w14:textId="1C93865F" w:rsidR="00EE415A" w:rsidRPr="003A6148" w:rsidRDefault="003A6148">
      <w:pPr>
        <w:spacing w:before="40" w:after="220"/>
        <w:rPr>
          <w:sz w:val="22"/>
          <w:szCs w:val="22"/>
        </w:rPr>
      </w:pPr>
      <w:r>
        <w:rPr>
          <w:sz w:val="22"/>
          <w:szCs w:val="22"/>
        </w:rPr>
        <w:t xml:space="preserve">The system is built from Claude-based subtrios: for each question-country pair, three subagents are deployed, a Researcher, a Verifier and an Adjudicator, coordinated by a Python state machine. </w:t>
      </w:r>
      <w:commentRangeStart w:id="6"/>
      <w:r>
        <w:rPr>
          <w:sz w:val="22"/>
          <w:szCs w:val="22"/>
        </w:rPr>
        <w:t>The Researcher agent is fed a question-country prompt and gathers evidence from the web, the Verifier challenges this claim with the hopes of disproving it. If the Verifier believes it has substantial evidence to refute the claim, the Researcher is triggered again with the Verifier’s feedback. This happens three times, and if they still disagree the Adjudicator agent settles the dispute. This result is then compared to the ground-truth dataset to measure accuracy.</w:t>
      </w:r>
      <w:commentRangeEnd w:id="6"/>
      <w:r>
        <w:rPr>
          <w:rStyle w:val="CommentReference"/>
          <w:sz w:val="22"/>
          <w:szCs w:val="22"/>
        </w:rPr>
        <w:commentReference w:id="6"/>
      </w:r>
    </w:p>
    <w:p w14:paraId="3A60B8C7" w14:textId="77777777" w:rsidR="003962AC" w:rsidRDefault="00000000">
      <w:pPr>
        <w:pBdr>
          <w:left w:val="single" w:sz="18" w:space="6" w:color="E0A000"/>
        </w:pBdr>
        <w:shd w:val="clear" w:color="auto" w:fill="FFF6D5"/>
        <w:spacing w:before="40" w:after="40"/>
        <w:ind w:left="144"/>
        <w:rPr>
          <w:sz w:val="20"/>
          <w:szCs w:val="20"/>
        </w:rPr>
      </w:pPr>
      <w:r>
        <w:rPr>
          <w:b/>
          <w:bCs/>
          <w:color w:val="1E7D1E"/>
          <w:sz w:val="20"/>
          <w:szCs w:val="20"/>
        </w:rPr>
        <w:t>+[ The Coordinator is a plain Python state machine, not a graph framework (D3 amended); the retry cap is 3. ]</w:t>
      </w:r>
      <w:r>
        <w:rPr>
          <w:sz w:val="20"/>
          <w:szCs w:val="20"/>
        </w:rPr>
        <w:br/>
      </w:r>
      <w:r>
        <w:rPr>
          <w:b/>
          <w:bCs/>
          <w:color w:val="1E7D1E"/>
          <w:sz w:val="20"/>
          <w:szCs w:val="20"/>
        </w:rPr>
        <w:t>+[ Honesty layer now explicit: inconclusive is an abstain-then-retry label (D35), and a 0.65 commit-confidence floor downgrades any sub-floor commit to an abstention rather than forcing a guess (D37). ]</w:t>
      </w:r>
    </w:p>
    <w:p w14:paraId="0135638F" w14:textId="77777777" w:rsidR="00F72AFB" w:rsidRDefault="00000000">
      <w:pPr>
        <w:pStyle w:val="Heading2"/>
      </w:pPr>
      <w:r>
        <w:t>Report Structure</w:t>
      </w:r>
    </w:p>
    <w:p w14:paraId="2B9D8C73" w14:textId="77777777" w:rsidR="003962AC" w:rsidRDefault="00000000">
      <w:pPr>
        <w:pBdr>
          <w:left w:val="single" w:sz="18" w:space="6" w:color="E0A000"/>
        </w:pBdr>
        <w:shd w:val="clear" w:color="auto" w:fill="FFF6D5"/>
        <w:spacing w:before="40" w:after="160"/>
        <w:ind w:left="144"/>
        <w:rPr>
          <w:sz w:val="20"/>
          <w:szCs w:val="20"/>
        </w:rPr>
      </w:pPr>
      <w:r>
        <w:rPr>
          <w:b/>
          <w:bCs/>
          <w:color w:val="1E7D1E"/>
          <w:sz w:val="20"/>
          <w:szCs w:val="20"/>
        </w:rPr>
        <w:t>+[ Section empty. Add a one-paragraph roadmap of the report, or delete this heading. ]</w:t>
      </w:r>
    </w:p>
    <w:p w14:paraId="4159A00C" w14:textId="77777777" w:rsidR="00F72AFB" w:rsidRDefault="00F72AFB">
      <w:pPr>
        <w:pBdr>
          <w:bottom w:val="single" w:sz="4" w:space="4" w:color="CCCCCC"/>
        </w:pBdr>
        <w:spacing w:before="200" w:after="200"/>
      </w:pPr>
    </w:p>
    <w:p w14:paraId="265DC3A7" w14:textId="77777777" w:rsidR="00F72AFB" w:rsidRDefault="00000000">
      <w:pPr>
        <w:pStyle w:val="Heading1"/>
      </w:pPr>
      <w:r>
        <w:t>Background and Related Work</w:t>
      </w:r>
    </w:p>
    <w:p w14:paraId="67C24918" w14:textId="1C97CBBF" w:rsidR="003A6148" w:rsidRPr="003A6148" w:rsidRDefault="003A6148">
      <w:pPr>
        <w:spacing w:before="40" w:after="220"/>
        <w:rPr>
          <w:sz w:val="22"/>
          <w:szCs w:val="22"/>
        </w:rPr>
      </w:pPr>
      <w:r>
        <w:rPr>
          <w:sz w:val="22"/>
          <w:szCs w:val="22"/>
        </w:rPr>
        <w:t xml:space="preserve">This project spans two fields: using agentic LLM systems which can plan, retrieve and act in an online environment, and automated policy assessment, where expert-marking is industry standard. Current work on agentic systems by Fumega &amp; Gao’s and Yao et al, both evaluate in curated, English-only environments often with a single verifiable source and human-in-the-loop for reliability. However the ODMI is inherently world web wide and multilingual, with data being pulled across fragmented government websites. Furthermore, can this system perform in this landscape without the need for human verification? </w:t>
      </w:r>
    </w:p>
    <w:p w14:paraId="6A7BC1A2" w14:textId="77777777" w:rsidR="00F72AFB" w:rsidRDefault="00000000">
      <w:pPr>
        <w:pStyle w:val="Heading2"/>
      </w:pPr>
      <w:r>
        <w:t>The EU Open Data Maturity Index</w:t>
      </w:r>
    </w:p>
    <w:p w14:paraId="47037ACB" w14:textId="77777777" w:rsidR="0048243F" w:rsidRDefault="00B85F03">
      <w:pPr>
        <w:spacing w:before="40" w:after="220"/>
        <w:rPr>
          <w:sz w:val="22"/>
          <w:szCs w:val="22"/>
        </w:rPr>
      </w:pPr>
      <w:r>
        <w:rPr>
          <w:sz w:val="22"/>
          <w:szCs w:val="22"/>
        </w:rPr>
        <w:t xml:space="preserve">The EU Open Data Maturity report was created by the European Commission in 2015, taking its current four-dimensional approach in 2018. It was created to assess how effectively European countries publish, manage and encourage reuse of their public-sector data. The framework is frequently updated to reflect changing technologies and refine measurement. Significant progress has been achieved since the inception of the report; average data maturity in 2015 was 46%, rising to 83% in 2024. </w:t>
      </w:r>
    </w:p>
    <w:p w14:paraId="2B7006E5" w14:textId="28383E01" w:rsidR="00B85F03" w:rsidRPr="0048243F" w:rsidRDefault="00D413E0">
      <w:pPr>
        <w:spacing w:before="40" w:after="220"/>
        <w:rPr>
          <w:sz w:val="22"/>
          <w:szCs w:val="22"/>
        </w:rPr>
      </w:pPr>
      <w:r>
        <w:rPr>
          <w:sz w:val="22"/>
          <w:szCs w:val="22"/>
        </w:rPr>
        <w:t>A critique of the report is that the uses self-reporting by national open-data teams, which may lead to misinterpreted questions, reporting inconsistencies and self-reporting bias. Many of these questions don’t require evidence, and countries often answer “yes” with no explanation, skewing the score. Countries input their answer and Capgemini’s role in the ODMI report is as a verifier, confirming their answer 63% of the time, complementing with added evidence 27% of the time, or in 10% of cases overriding answer.</w:t>
      </w:r>
    </w:p>
    <w:p w14:paraId="3BA14AA7" w14:textId="7B433583" w:rsidR="009B6C11" w:rsidRDefault="00A72B23">
      <w:pPr>
        <w:spacing w:before="40" w:after="220"/>
        <w:rPr>
          <w:sz w:val="22"/>
          <w:szCs w:val="22"/>
        </w:rPr>
      </w:pPr>
      <w:r>
        <w:rPr>
          <w:sz w:val="22"/>
          <w:szCs w:val="22"/>
        </w:rPr>
        <w:t xml:space="preserve">The four dimensions of the report aim to measure the entire open-data lifecycle, from creating policy to delivering real-world benefits. </w:t>
      </w:r>
      <w:r>
        <w:rPr>
          <w:b/>
          <w:bCs/>
          <w:sz w:val="22"/>
          <w:szCs w:val="22"/>
        </w:rPr>
        <w:t xml:space="preserve">Policy </w:t>
      </w:r>
      <w:r>
        <w:rPr>
          <w:sz w:val="22"/>
          <w:szCs w:val="22"/>
        </w:rPr>
        <w:t xml:space="preserve">measures open-data strategies, government structures, laws and implementation measures. </w:t>
      </w:r>
      <w:r>
        <w:rPr>
          <w:b/>
          <w:bCs/>
          <w:sz w:val="22"/>
          <w:szCs w:val="22"/>
        </w:rPr>
        <w:t>Portal</w:t>
      </w:r>
      <w:r>
        <w:rPr>
          <w:sz w:val="22"/>
          <w:szCs w:val="22"/>
        </w:rPr>
        <w:t xml:space="preserve"> measures the functionality and usability of the national open data portal. </w:t>
      </w:r>
      <w:r>
        <w:rPr>
          <w:b/>
          <w:bCs/>
          <w:sz w:val="22"/>
          <w:szCs w:val="22"/>
        </w:rPr>
        <w:t>Quality</w:t>
      </w:r>
      <w:r>
        <w:rPr>
          <w:sz w:val="22"/>
          <w:szCs w:val="22"/>
        </w:rPr>
        <w:t xml:space="preserve"> measures metadata standards, compliance, monitoring and data deployment quality, 43% of Quality questions are self-reported. </w:t>
      </w:r>
      <w:r>
        <w:rPr>
          <w:b/>
          <w:bCs/>
          <w:sz w:val="22"/>
          <w:szCs w:val="22"/>
        </w:rPr>
        <w:t xml:space="preserve">Impact </w:t>
      </w:r>
      <w:r>
        <w:rPr>
          <w:sz w:val="22"/>
          <w:szCs w:val="22"/>
        </w:rPr>
        <w:t xml:space="preserve">measures the reuse of open data and benefits caused by it. These dimensions perform sequential roles, with Policy informing decisions on open data, </w:t>
        <w:lastRenderedPageBreak/>
        <w:t>the Portal providing access to data, Quality assuring it is of a usable standard, and Impact measuring the value of this data.</w:t>
      </w:r>
    </w:p>
    <w:p>
      <w:pPr>
        <w:spacing w:before="160" w:after="60"/>
        <w:rPr>
          <w:b/>
          <w:sz w:val="22"/>
          <w:szCs w:val="22"/>
        </w:rPr>
      </w:pPr>
      <w:r>
        <w:rPr>
          <w:b/>
          <w:sz w:val="22"/>
          <w:szCs w:val="22"/>
        </w:rPr>
        <w:t xml:space="preserve">ODMI assessor decisions, 2025 cycle:</w:t>
      </w:r>
    </w:p>
    <w:tbl>
      <w:tblPr>
        <w:tblW w:w="102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108" w:type="dxa"/>
          <w:bottom w:w="40" w:type="dxa"/>
          <w:right w:w="108" w:type="dxa"/>
        </w:tblCellMar>
        <w:tblLook w:val="04A0" w:firstRow="1" w:lastRow="0" w:firstColumn="1" w:lastColumn="0" w:noHBand="0" w:noVBand="1"/>
      </w:tblPr>
      <w:tblGrid>
        <w:gridCol w:w="1900"/>
        <w:gridCol w:w="2100"/>
        <w:gridCol w:w="6200"/>
      </w:tblGrid>
      <w:tr>
        <w:trPr>
          <w:cantSplit/>
        </w:trPr>
        <w:tc>
          <w:tcPr>
            <w:tcW w:w="1900" w:type="dxa"/>
            <w:shd w:val="clear" w:color="auto" w:fill="1F3864"/>
            <w:vAlign w:val="center"/>
          </w:tcPr>
          <w:p>
            <w:pPr>
              <w:spacing w:before="20" w:after="20" w:line="240" w:lineRule="auto"/>
              <w:jc w:val="left"/>
              <w:rPr>
                <w:b/>
                <w:color w:val="FFFFFF"/>
                <w:sz w:val="20"/>
                <w:szCs w:val="20"/>
              </w:rPr>
            </w:pPr>
            <w:r>
              <w:rPr>
                <w:b/>
                <w:color w:val="FFFFFF"/>
                <w:sz w:val="20"/>
                <w:szCs w:val="20"/>
              </w:rPr>
              <w:t xml:space="preserve">Decision</w:t>
            </w:r>
          </w:p>
        </w:tc>
        <w:tc>
          <w:tcPr>
            <w:tcW w:w="2100" w:type="dxa"/>
            <w:shd w:val="clear" w:color="auto" w:fill="1F3864"/>
            <w:vAlign w:val="center"/>
          </w:tcPr>
          <w:p>
            <w:pPr>
              <w:spacing w:before="20" w:after="20" w:line="240" w:lineRule="auto"/>
              <w:jc w:val="center"/>
              <w:rPr>
                <w:b/>
                <w:color w:val="FFFFFF"/>
                <w:sz w:val="20"/>
                <w:szCs w:val="20"/>
              </w:rPr>
            </w:pPr>
            <w:r>
              <w:rPr>
                <w:b/>
                <w:color w:val="FFFFFF"/>
                <w:sz w:val="20"/>
                <w:szCs w:val="20"/>
              </w:rPr>
              <w:t xml:space="preserve">Count (share)</w:t>
            </w:r>
          </w:p>
        </w:tc>
        <w:tc>
          <w:tcPr>
            <w:tcW w:w="6200" w:type="dxa"/>
            <w:shd w:val="clear" w:color="auto" w:fill="1F3864"/>
            <w:vAlign w:val="center"/>
          </w:tcPr>
          <w:p>
            <w:pPr>
              <w:spacing w:before="20" w:after="20" w:line="240" w:lineRule="auto"/>
              <w:jc w:val="left"/>
              <w:rPr>
                <w:b/>
                <w:color w:val="FFFFFF"/>
                <w:sz w:val="20"/>
                <w:szCs w:val="20"/>
              </w:rPr>
            </w:pPr>
            <w:r>
              <w:rPr>
                <w:b/>
                <w:color w:val="FFFFFF"/>
                <w:sz w:val="20"/>
                <w:szCs w:val="20"/>
              </w:rPr>
              <w:t xml:space="preserve">Meaning</w:t>
            </w:r>
          </w:p>
        </w:tc>
      </w:tr>
      <w:tr>
        <w:trPr>
          <w:cantSplit/>
        </w:trPr>
        <w:tc>
          <w:tcPr>
            <w:tcW w:w="1900" w:type="dxa"/>
            <w:vAlign w:val="center"/>
          </w:tcPr>
          <w:p>
            <w:pPr>
              <w:spacing w:before="20" w:after="20" w:line="240" w:lineRule="auto"/>
              <w:jc w:val="left"/>
              <w:rPr>
                <w:sz w:val="20"/>
                <w:szCs w:val="20"/>
              </w:rPr>
            </w:pPr>
            <w:r>
              <w:rPr>
                <w:sz w:val="20"/>
                <w:szCs w:val="20"/>
              </w:rPr>
              <w:t xml:space="preserve">confirm</w:t>
            </w:r>
          </w:p>
        </w:tc>
        <w:tc>
          <w:tcPr>
            <w:tcW w:w="2100" w:type="dxa"/>
            <w:vAlign w:val="center"/>
          </w:tcPr>
          <w:p>
            <w:pPr>
              <w:spacing w:before="20" w:after="20" w:line="240" w:lineRule="auto"/>
              <w:jc w:val="center"/>
              <w:rPr>
                <w:sz w:val="20"/>
                <w:szCs w:val="20"/>
              </w:rPr>
            </w:pPr>
            <w:r>
              <w:rPr>
                <w:sz w:val="20"/>
                <w:szCs w:val="20"/>
              </w:rPr>
              <w:t xml:space="preserve">3,249 (63%)</w:t>
            </w:r>
          </w:p>
        </w:tc>
        <w:tc>
          <w:tcPr>
            <w:tcW w:w="6200" w:type="dxa"/>
            <w:vAlign w:val="center"/>
          </w:tcPr>
          <w:p>
            <w:pPr>
              <w:spacing w:before="20" w:after="20" w:line="240" w:lineRule="auto"/>
              <w:jc w:val="left"/>
              <w:rPr>
                <w:sz w:val="20"/>
                <w:szCs w:val="20"/>
              </w:rPr>
            </w:pPr>
            <w:r>
              <w:rPr>
                <w:sz w:val="20"/>
                <w:szCs w:val="20"/>
              </w:rPr>
              <w:t xml:space="preserve">Capgemini accepted the country's self-reported answer</w:t>
            </w:r>
          </w:p>
        </w:tc>
      </w:tr>
      <w:tr>
        <w:trPr>
          <w:cantSplit/>
        </w:trPr>
        <w:tc>
          <w:tcPr>
            <w:tcW w:w="1900" w:type="dxa"/>
            <w:vAlign w:val="center"/>
          </w:tcPr>
          <w:p>
            <w:pPr>
              <w:spacing w:before="20" w:after="20" w:line="240" w:lineRule="auto"/>
              <w:jc w:val="left"/>
              <w:rPr>
                <w:sz w:val="20"/>
                <w:szCs w:val="20"/>
              </w:rPr>
            </w:pPr>
            <w:r>
              <w:rPr>
                <w:sz w:val="20"/>
                <w:szCs w:val="20"/>
              </w:rPr>
              <w:t xml:space="preserve">complement</w:t>
            </w:r>
          </w:p>
        </w:tc>
        <w:tc>
          <w:tcPr>
            <w:tcW w:w="2100" w:type="dxa"/>
            <w:vAlign w:val="center"/>
          </w:tcPr>
          <w:p>
            <w:pPr>
              <w:spacing w:before="20" w:after="20" w:line="240" w:lineRule="auto"/>
              <w:jc w:val="center"/>
              <w:rPr>
                <w:sz w:val="20"/>
                <w:szCs w:val="20"/>
              </w:rPr>
            </w:pPr>
            <w:r>
              <w:rPr>
                <w:sz w:val="20"/>
                <w:szCs w:val="20"/>
              </w:rPr>
              <w:t xml:space="preserve">1,385 (27%)</w:t>
            </w:r>
          </w:p>
        </w:tc>
        <w:tc>
          <w:tcPr>
            <w:tcW w:w="6200" w:type="dxa"/>
            <w:vAlign w:val="center"/>
          </w:tcPr>
          <w:p>
            <w:pPr>
              <w:spacing w:before="20" w:after="20" w:line="240" w:lineRule="auto"/>
              <w:jc w:val="left"/>
              <w:rPr>
                <w:sz w:val="20"/>
                <w:szCs w:val="20"/>
              </w:rPr>
            </w:pPr>
            <w:r>
              <w:rPr>
                <w:sz w:val="20"/>
                <w:szCs w:val="20"/>
              </w:rPr>
              <w:t xml:space="preserve">Kept the country's answer, added evidence</w:t>
            </w:r>
          </w:p>
        </w:tc>
      </w:tr>
      <w:tr>
        <w:trPr>
          <w:cantSplit/>
        </w:trPr>
        <w:tc>
          <w:tcPr>
            <w:tcW w:w="1900" w:type="dxa"/>
            <w:vAlign w:val="center"/>
          </w:tcPr>
          <w:p>
            <w:pPr>
              <w:spacing w:before="20" w:after="20" w:line="240" w:lineRule="auto"/>
              <w:jc w:val="left"/>
              <w:rPr>
                <w:sz w:val="20"/>
                <w:szCs w:val="20"/>
              </w:rPr>
            </w:pPr>
            <w:r>
              <w:rPr>
                <w:sz w:val="20"/>
                <w:szCs w:val="20"/>
              </w:rPr>
              <w:t xml:space="preserve">change</w:t>
            </w:r>
          </w:p>
        </w:tc>
        <w:tc>
          <w:tcPr>
            <w:tcW w:w="2100" w:type="dxa"/>
            <w:vAlign w:val="center"/>
          </w:tcPr>
          <w:p>
            <w:pPr>
              <w:spacing w:before="20" w:after="20" w:line="240" w:lineRule="auto"/>
              <w:jc w:val="center"/>
              <w:rPr>
                <w:sz w:val="20"/>
                <w:szCs w:val="20"/>
              </w:rPr>
            </w:pPr>
            <w:r>
              <w:rPr>
                <w:sz w:val="20"/>
                <w:szCs w:val="20"/>
              </w:rPr>
              <w:t xml:space="preserve">514 (10%)</w:t>
            </w:r>
          </w:p>
        </w:tc>
        <w:tc>
          <w:tcPr>
            <w:tcW w:w="6200" w:type="dxa"/>
            <w:vAlign w:val="center"/>
          </w:tcPr>
          <w:p>
            <w:pPr>
              <w:spacing w:before="20" w:after="20" w:line="240" w:lineRule="auto"/>
              <w:jc w:val="left"/>
              <w:rPr>
                <w:sz w:val="20"/>
                <w:szCs w:val="20"/>
              </w:rPr>
            </w:pPr>
            <w:r>
              <w:rPr>
                <w:sz w:val="20"/>
                <w:szCs w:val="20"/>
              </w:rPr>
              <w:t xml:space="preserve">Capgemini overrode the country's answer</w:t>
            </w:r>
          </w:p>
        </w:tc>
      </w:tr>
      <w:tr>
        <w:trPr>
          <w:cantSplit/>
        </w:trPr>
        <w:tc>
          <w:tcPr>
            <w:tcW w:w="1900" w:type="dxa"/>
            <w:shd w:val="clear" w:color="auto" w:fill="DCE3F0"/>
            <w:vAlign w:val="center"/>
          </w:tcPr>
          <w:p>
            <w:pPr>
              <w:spacing w:before="20" w:after="20" w:line="240" w:lineRule="auto"/>
              <w:jc w:val="left"/>
              <w:rPr>
                <w:b/>
                <w:sz w:val="20"/>
                <w:szCs w:val="20"/>
              </w:rPr>
            </w:pPr>
            <w:r>
              <w:rPr>
                <w:b/>
                <w:sz w:val="20"/>
                <w:szCs w:val="20"/>
              </w:rPr>
              <w:t xml:space="preserve">Total</w:t>
            </w:r>
          </w:p>
        </w:tc>
        <w:tc>
          <w:tcPr>
            <w:tcW w:w="2100" w:type="dxa"/>
            <w:shd w:val="clear" w:color="auto" w:fill="DCE3F0"/>
            <w:vAlign w:val="center"/>
          </w:tcPr>
          <w:p>
            <w:pPr>
              <w:spacing w:before="20" w:after="20" w:line="240" w:lineRule="auto"/>
              <w:jc w:val="center"/>
              <w:rPr>
                <w:b/>
                <w:sz w:val="20"/>
                <w:szCs w:val="20"/>
              </w:rPr>
            </w:pPr>
            <w:r>
              <w:rPr>
                <w:b/>
                <w:sz w:val="20"/>
                <w:szCs w:val="20"/>
              </w:rPr>
              <w:t xml:space="preserve">5,148 (100%)</w:t>
            </w:r>
          </w:p>
        </w:tc>
        <w:tc>
          <w:tcPr>
            <w:tcW w:w="6200" w:type="dxa"/>
            <w:shd w:val="clear" w:color="auto" w:fill="DCE3F0"/>
            <w:vAlign w:val="center"/>
          </w:tcPr>
          <w:p>
            <w:pPr>
              <w:spacing w:before="20" w:after="20" w:line="240" w:lineRule="auto"/>
              <w:jc w:val="left"/>
              <w:rPr>
                <w:b/>
                <w:sz w:val="20"/>
                <w:szCs w:val="20"/>
              </w:rPr>
            </w:pPr>
            <w:r>
              <w:rPr>
                <w:b/>
                <w:sz w:val="20"/>
                <w:szCs w:val="20"/>
              </w:rPr>
              <w:t xml:space="preserve"/>
            </w:r>
          </w:p>
        </w:tc>
      </w:tr>
    </w:tbl>
    <w:p>
      <w:pPr>
        <w:spacing w:before="0" w:after="120"/>
        <w:rPr>
          <w:sz w:val="22"/>
          <w:szCs w:val="22"/>
        </w:rPr>
      </w:pPr>
    </w:p>
    <w:p>
      <w:pPr>
        <w:spacing w:before="160" w:after="60"/>
        <w:rPr>
          <w:b/>
          <w:sz w:val="22"/>
          <w:szCs w:val="22"/>
        </w:rPr>
      </w:pPr>
      <w:r>
        <w:rPr>
          <w:b/>
          <w:sz w:val="22"/>
          <w:szCs w:val="22"/>
        </w:rPr>
        <w:t xml:space="preserve">False positives concentrate on confirm golds (swarm runs to date):</w:t>
      </w:r>
    </w:p>
    <w:tbl>
      <w:tblPr>
        <w:tblW w:w="102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108" w:type="dxa"/>
          <w:bottom w:w="40" w:type="dxa"/>
          <w:right w:w="108" w:type="dxa"/>
        </w:tblCellMar>
        <w:tblLook w:val="04A0" w:firstRow="1" w:lastRow="0" w:firstColumn="1" w:lastColumn="0" w:noHBand="0" w:noVBand="1"/>
      </w:tblPr>
      <w:tblGrid>
        <w:gridCol w:w="3600"/>
        <w:gridCol w:w="2200"/>
        <w:gridCol w:w="2200"/>
        <w:gridCol w:w="2200"/>
      </w:tblGrid>
      <w:tr>
        <w:trPr>
          <w:cantSplit/>
        </w:trPr>
        <w:tc>
          <w:tcPr>
            <w:tcW w:w="3600" w:type="dxa"/>
            <w:shd w:val="clear" w:color="auto" w:fill="1F3864"/>
            <w:vAlign w:val="center"/>
          </w:tcPr>
          <w:p>
            <w:pPr>
              <w:spacing w:before="20" w:after="20" w:line="240" w:lineRule="auto"/>
              <w:jc w:val="left"/>
              <w:rPr>
                <w:b/>
                <w:color w:val="FFFFFF"/>
                <w:sz w:val="20"/>
                <w:szCs w:val="20"/>
              </w:rPr>
            </w:pPr>
            <w:r>
              <w:rPr>
                <w:b/>
                <w:color w:val="FFFFFF"/>
                <w:sz w:val="20"/>
                <w:szCs w:val="20"/>
              </w:rPr>
              <w:t xml:space="preserve">ODMI decision</w:t>
            </w:r>
          </w:p>
        </w:tc>
        <w:tc>
          <w:tcPr>
            <w:tcW w:w="2200" w:type="dxa"/>
            <w:shd w:val="clear" w:color="auto" w:fill="1F3864"/>
            <w:vAlign w:val="center"/>
          </w:tcPr>
          <w:p>
            <w:pPr>
              <w:spacing w:before="20" w:after="20" w:line="240" w:lineRule="auto"/>
              <w:jc w:val="center"/>
              <w:rPr>
                <w:b/>
                <w:color w:val="FFFFFF"/>
                <w:sz w:val="20"/>
                <w:szCs w:val="20"/>
              </w:rPr>
            </w:pPr>
            <w:r>
              <w:rPr>
                <w:b/>
                <w:color w:val="FFFFFF"/>
                <w:sz w:val="20"/>
                <w:szCs w:val="20"/>
              </w:rPr>
              <w:t xml:space="preserve">n (deduped)</w:t>
            </w:r>
          </w:p>
        </w:tc>
        <w:tc>
          <w:tcPr>
            <w:tcW w:w="2200" w:type="dxa"/>
            <w:shd w:val="clear" w:color="auto" w:fill="1F3864"/>
            <w:vAlign w:val="center"/>
          </w:tcPr>
          <w:p>
            <w:pPr>
              <w:spacing w:before="20" w:after="20" w:line="240" w:lineRule="auto"/>
              <w:jc w:val="center"/>
              <w:rPr>
                <w:b/>
                <w:color w:val="FFFFFF"/>
                <w:sz w:val="20"/>
                <w:szCs w:val="20"/>
              </w:rPr>
            </w:pPr>
            <w:r>
              <w:rPr>
                <w:b/>
                <w:color w:val="FFFFFF"/>
                <w:sz w:val="20"/>
                <w:szCs w:val="20"/>
              </w:rPr>
              <w:t xml:space="preserve">Swarm accuracy</w:t>
            </w:r>
          </w:p>
        </w:tc>
        <w:tc>
          <w:tcPr>
            <w:tcW w:w="2200" w:type="dxa"/>
            <w:shd w:val="clear" w:color="auto" w:fill="1F3864"/>
            <w:vAlign w:val="center"/>
          </w:tcPr>
          <w:p>
            <w:pPr>
              <w:spacing w:before="20" w:after="20" w:line="240" w:lineRule="auto"/>
              <w:jc w:val="center"/>
              <w:rPr>
                <w:b/>
                <w:color w:val="FFFFFF"/>
                <w:sz w:val="20"/>
                <w:szCs w:val="20"/>
              </w:rPr>
            </w:pPr>
            <w:r>
              <w:rPr>
                <w:b/>
                <w:color w:val="FFFFFF"/>
                <w:sz w:val="20"/>
                <w:szCs w:val="20"/>
              </w:rPr>
              <w:t xml:space="preserve">False positives</w:t>
            </w:r>
          </w:p>
        </w:tc>
      </w:tr>
      <w:tr>
        <w:trPr>
          <w:cantSplit/>
        </w:trPr>
        <w:tc>
          <w:tcPr>
            <w:tcW w:w="3600" w:type="dxa"/>
            <w:vAlign w:val="center"/>
          </w:tcPr>
          <w:p>
            <w:pPr>
              <w:spacing w:before="20" w:after="20" w:line="240" w:lineRule="auto"/>
              <w:jc w:val="left"/>
              <w:rPr>
                <w:sz w:val="20"/>
                <w:szCs w:val="20"/>
              </w:rPr>
            </w:pPr>
            <w:r>
              <w:rPr>
                <w:sz w:val="20"/>
                <w:szCs w:val="20"/>
              </w:rPr>
              <w:t xml:space="preserve">complement (Capgemini added web evidence)</w:t>
            </w:r>
          </w:p>
        </w:tc>
        <w:tc>
          <w:tcPr>
            <w:tcW w:w="2200" w:type="dxa"/>
            <w:vAlign w:val="center"/>
          </w:tcPr>
          <w:p>
            <w:pPr>
              <w:spacing w:before="20" w:after="20" w:line="240" w:lineRule="auto"/>
              <w:jc w:val="center"/>
              <w:rPr>
                <w:sz w:val="20"/>
                <w:szCs w:val="20"/>
              </w:rPr>
            </w:pPr>
            <w:r>
              <w:rPr>
                <w:sz w:val="20"/>
                <w:szCs w:val="20"/>
              </w:rPr>
              <w:t xml:space="preserve">189</w:t>
            </w:r>
          </w:p>
        </w:tc>
        <w:tc>
          <w:tcPr>
            <w:tcW w:w="2200" w:type="dxa"/>
            <w:vAlign w:val="center"/>
          </w:tcPr>
          <w:p>
            <w:pPr>
              <w:spacing w:before="20" w:after="20" w:line="240" w:lineRule="auto"/>
              <w:jc w:val="center"/>
              <w:rPr>
                <w:sz w:val="20"/>
                <w:szCs w:val="20"/>
              </w:rPr>
            </w:pPr>
            <w:r>
              <w:rPr>
                <w:sz w:val="20"/>
                <w:szCs w:val="20"/>
              </w:rPr>
              <w:t xml:space="preserve">92%</w:t>
            </w:r>
          </w:p>
        </w:tc>
        <w:tc>
          <w:tcPr>
            <w:tcW w:w="2200" w:type="dxa"/>
            <w:vAlign w:val="center"/>
          </w:tcPr>
          <w:p>
            <w:pPr>
              <w:spacing w:before="20" w:after="20" w:line="240" w:lineRule="auto"/>
              <w:jc w:val="center"/>
              <w:rPr>
                <w:sz w:val="20"/>
                <w:szCs w:val="20"/>
              </w:rPr>
            </w:pPr>
            <w:r>
              <w:rPr>
                <w:sz w:val="20"/>
                <w:szCs w:val="20"/>
              </w:rPr>
              <w:t xml:space="preserve">1</w:t>
            </w:r>
          </w:p>
        </w:tc>
      </w:tr>
      <w:tr>
        <w:trPr>
          <w:cantSplit/>
        </w:trPr>
        <w:tc>
          <w:tcPr>
            <w:tcW w:w="3600" w:type="dxa"/>
            <w:vAlign w:val="center"/>
          </w:tcPr>
          <w:p>
            <w:pPr>
              <w:spacing w:before="20" w:after="20" w:line="240" w:lineRule="auto"/>
              <w:jc w:val="left"/>
              <w:rPr>
                <w:sz w:val="20"/>
                <w:szCs w:val="20"/>
              </w:rPr>
            </w:pPr>
            <w:r>
              <w:rPr>
                <w:sz w:val="20"/>
                <w:szCs w:val="20"/>
              </w:rPr>
              <w:t xml:space="preserve">confirm (country's answer accepted as-is)</w:t>
            </w:r>
          </w:p>
        </w:tc>
        <w:tc>
          <w:tcPr>
            <w:tcW w:w="2200" w:type="dxa"/>
            <w:vAlign w:val="center"/>
          </w:tcPr>
          <w:p>
            <w:pPr>
              <w:spacing w:before="20" w:after="20" w:line="240" w:lineRule="auto"/>
              <w:jc w:val="center"/>
              <w:rPr>
                <w:sz w:val="20"/>
                <w:szCs w:val="20"/>
              </w:rPr>
            </w:pPr>
            <w:r>
              <w:rPr>
                <w:sz w:val="20"/>
                <w:szCs w:val="20"/>
              </w:rPr>
              <w:t xml:space="preserve">282</w:t>
            </w:r>
          </w:p>
        </w:tc>
        <w:tc>
          <w:tcPr>
            <w:tcW w:w="2200" w:type="dxa"/>
            <w:vAlign w:val="center"/>
          </w:tcPr>
          <w:p>
            <w:pPr>
              <w:spacing w:before="20" w:after="20" w:line="240" w:lineRule="auto"/>
              <w:jc w:val="center"/>
              <w:rPr>
                <w:sz w:val="20"/>
                <w:szCs w:val="20"/>
              </w:rPr>
            </w:pPr>
            <w:r>
              <w:rPr>
                <w:sz w:val="20"/>
                <w:szCs w:val="20"/>
              </w:rPr>
              <w:t xml:space="preserve">76%</w:t>
            </w:r>
          </w:p>
        </w:tc>
        <w:tc>
          <w:tcPr>
            <w:tcW w:w="2200" w:type="dxa"/>
            <w:vAlign w:val="center"/>
          </w:tcPr>
          <w:p>
            <w:pPr>
              <w:spacing w:before="20" w:after="20" w:line="240" w:lineRule="auto"/>
              <w:jc w:val="center"/>
              <w:rPr>
                <w:sz w:val="20"/>
                <w:szCs w:val="20"/>
              </w:rPr>
            </w:pPr>
            <w:r>
              <w:rPr>
                <w:sz w:val="20"/>
                <w:szCs w:val="20"/>
              </w:rPr>
              <w:t xml:space="preserve">44</w:t>
            </w:r>
          </w:p>
        </w:tc>
      </w:tr>
      <w:tr>
        <w:trPr>
          <w:cantSplit/>
        </w:trPr>
        <w:tc>
          <w:tcPr>
            <w:tcW w:w="3600" w:type="dxa"/>
            <w:vAlign w:val="center"/>
          </w:tcPr>
          <w:p>
            <w:pPr>
              <w:spacing w:before="20" w:after="20" w:line="240" w:lineRule="auto"/>
              <w:jc w:val="left"/>
              <w:rPr>
                <w:sz w:val="20"/>
                <w:szCs w:val="20"/>
              </w:rPr>
            </w:pPr>
            <w:r>
              <w:rPr>
                <w:sz w:val="20"/>
                <w:szCs w:val="20"/>
              </w:rPr>
              <w:t xml:space="preserve">change (Capgemini overrode the country)</w:t>
            </w:r>
          </w:p>
        </w:tc>
        <w:tc>
          <w:tcPr>
            <w:tcW w:w="2200" w:type="dxa"/>
            <w:vAlign w:val="center"/>
          </w:tcPr>
          <w:p>
            <w:pPr>
              <w:spacing w:before="20" w:after="20" w:line="240" w:lineRule="auto"/>
              <w:jc w:val="center"/>
              <w:rPr>
                <w:sz w:val="20"/>
                <w:szCs w:val="20"/>
              </w:rPr>
            </w:pPr>
            <w:r>
              <w:rPr>
                <w:sz w:val="20"/>
                <w:szCs w:val="20"/>
              </w:rPr>
              <w:t xml:space="preserve">36</w:t>
            </w:r>
          </w:p>
        </w:tc>
        <w:tc>
          <w:tcPr>
            <w:tcW w:w="2200" w:type="dxa"/>
            <w:vAlign w:val="center"/>
          </w:tcPr>
          <w:p>
            <w:pPr>
              <w:spacing w:before="20" w:after="20" w:line="240" w:lineRule="auto"/>
              <w:jc w:val="center"/>
              <w:rPr>
                <w:sz w:val="20"/>
                <w:szCs w:val="20"/>
              </w:rPr>
            </w:pPr>
            <w:r>
              <w:rPr>
                <w:sz w:val="20"/>
                <w:szCs w:val="20"/>
              </w:rPr>
              <w:t xml:space="preserve">61%</w:t>
            </w:r>
          </w:p>
        </w:tc>
        <w:tc>
          <w:tcPr>
            <w:tcW w:w="2200" w:type="dxa"/>
            <w:vAlign w:val="center"/>
          </w:tcPr>
          <w:p>
            <w:pPr>
              <w:spacing w:before="20" w:after="20" w:line="240" w:lineRule="auto"/>
              <w:jc w:val="center"/>
              <w:rPr>
                <w:sz w:val="20"/>
                <w:szCs w:val="20"/>
              </w:rPr>
            </w:pPr>
            <w:r>
              <w:rPr>
                <w:sz w:val="20"/>
                <w:szCs w:val="20"/>
              </w:rPr>
              <w:t xml:space="preserve">10</w:t>
            </w:r>
          </w:p>
        </w:tc>
      </w:tr>
      <w:tr>
        <w:trPr>
          <w:cantSplit/>
        </w:trPr>
        <w:tc>
          <w:tcPr>
            <w:tcW w:w="3600" w:type="dxa"/>
            <w:shd w:val="clear" w:color="auto" w:fill="DCE3F0"/>
            <w:vAlign w:val="center"/>
          </w:tcPr>
          <w:p>
            <w:pPr>
              <w:spacing w:before="20" w:after="20" w:line="240" w:lineRule="auto"/>
              <w:jc w:val="left"/>
              <w:rPr>
                <w:b/>
                <w:sz w:val="20"/>
                <w:szCs w:val="20"/>
              </w:rPr>
            </w:pPr>
            <w:r>
              <w:rPr>
                <w:b/>
                <w:sz w:val="20"/>
                <w:szCs w:val="20"/>
              </w:rPr>
              <w:t xml:space="preserve">Total</w:t>
            </w:r>
          </w:p>
        </w:tc>
        <w:tc>
          <w:tcPr>
            <w:tcW w:w="2200" w:type="dxa"/>
            <w:shd w:val="clear" w:color="auto" w:fill="DCE3F0"/>
            <w:vAlign w:val="center"/>
          </w:tcPr>
          <w:p>
            <w:pPr>
              <w:spacing w:before="20" w:after="20" w:line="240" w:lineRule="auto"/>
              <w:jc w:val="center"/>
              <w:rPr>
                <w:b/>
                <w:sz w:val="20"/>
                <w:szCs w:val="20"/>
              </w:rPr>
            </w:pPr>
            <w:r>
              <w:rPr>
                <w:b/>
                <w:sz w:val="20"/>
                <w:szCs w:val="20"/>
              </w:rPr>
              <w:t xml:space="preserve">507</w:t>
            </w:r>
          </w:p>
        </w:tc>
        <w:tc>
          <w:tcPr>
            <w:tcW w:w="2200" w:type="dxa"/>
            <w:shd w:val="clear" w:color="auto" w:fill="DCE3F0"/>
            <w:vAlign w:val="center"/>
          </w:tcPr>
          <w:p>
            <w:pPr>
              <w:spacing w:before="20" w:after="20" w:line="240" w:lineRule="auto"/>
              <w:jc w:val="center"/>
              <w:rPr>
                <w:b/>
                <w:sz w:val="20"/>
                <w:szCs w:val="20"/>
              </w:rPr>
            </w:pPr>
            <w:r>
              <w:rPr>
                <w:b/>
                <w:sz w:val="20"/>
                <w:szCs w:val="20"/>
              </w:rPr>
              <w:t xml:space="preserve">--</w:t>
            </w:r>
          </w:p>
        </w:tc>
        <w:tc>
          <w:tcPr>
            <w:tcW w:w="2200" w:type="dxa"/>
            <w:shd w:val="clear" w:color="auto" w:fill="DCE3F0"/>
            <w:vAlign w:val="center"/>
          </w:tcPr>
          <w:p>
            <w:pPr>
              <w:spacing w:before="20" w:after="20" w:line="240" w:lineRule="auto"/>
              <w:jc w:val="center"/>
              <w:rPr>
                <w:b/>
                <w:sz w:val="20"/>
                <w:szCs w:val="20"/>
              </w:rPr>
            </w:pPr>
            <w:r>
              <w:rPr>
                <w:b/>
                <w:sz w:val="20"/>
                <w:szCs w:val="20"/>
              </w:rPr>
              <w:t xml:space="preserve">55</w:t>
            </w:r>
          </w:p>
        </w:tc>
      </w:tr>
    </w:tbl>
    <w:p>
      <w:pPr>
        <w:spacing w:before="0" w:after="120"/>
        <w:rPr>
          <w:sz w:val="22"/>
          <w:szCs w:val="22"/>
        </w:rPr>
      </w:pPr>
    </w:p>
    <w:p w14:paraId="1E890447" w14:textId="77777777" w:rsidR="00A851D6" w:rsidRPr="0048243F" w:rsidRDefault="00A851D6">
      <w:pPr>
        <w:spacing w:before="40" w:after="220"/>
        <w:rPr>
          <w:sz w:val="22"/>
          <w:szCs w:val="22"/>
        </w:rPr>
      </w:pPr>
    </w:p>
    <w:p w14:paraId="7427E8A8" w14:textId="77777777" w:rsidR="00F72AFB" w:rsidRDefault="00000000">
      <w:pPr>
        <w:pStyle w:val="Heading2"/>
      </w:pPr>
      <w:r>
        <w:t>Agentic LLM Systems</w:t>
      </w:r>
    </w:p>
    <w:p w14:paraId="26DC85F4" w14:textId="56B2DE03" w:rsidR="00040E21" w:rsidRDefault="002C2738">
      <w:pPr>
        <w:spacing w:before="40" w:after="220"/>
        <w:rPr>
          <w:sz w:val="22"/>
          <w:szCs w:val="22"/>
        </w:rPr>
      </w:pPr>
      <w:r>
        <w:rPr>
          <w:sz w:val="22"/>
          <w:szCs w:val="22"/>
        </w:rPr>
        <w:t xml:space="preserve">The concept of using agentic LLMs for research isn’t new, Yao et al [] designed a Reason + Act (ReAct) framework to ‘generate both reasoning traces and task-specific actions’, interleaving thoughts, observations and actions. Chain-of-thought (CoT) reasoning lays out the agent’s thought process but it is essentially in a sandbox, the model can be confidently wrong with a seemingly sound explanation with no input from the outside world. Action-based agents can interact with the environment, clicking and fetching, but without reason or planning. The combination allows for a truly agentic system, meshing planning and interaction so that an agent can confidently know what information it’s looking for, find it, and ensure it is correct. We build on this system by decomposing the thought-act-observation loop into two separate agents, Researcher and Verifier, with the added defence of trying to refute any evidence gathered. This added level of anti-hallucination security is necessary as unlike ReAct - which was tested just on the Wikipedia API, 3 actions, and in English - our system utilises the entire internet in a multi-lingual setting, </w:t>
      </w:r>
    </w:p>
    <w:p w14:paraId="55E145E3" w14:textId="7067AF0D" w:rsidR="00B64BC0" w:rsidRPr="00B64BC0" w:rsidRDefault="00B64BC0">
      <w:pPr>
        <w:spacing w:before="40" w:after="220"/>
        <w:rPr>
          <w:b/>
          <w:bCs/>
          <w:sz w:val="22"/>
          <w:szCs w:val="22"/>
        </w:rPr>
      </w:pPr>
      <w:commentRangeStart w:id="7"/>
      <w:commentRangeStart w:id="8"/>
      <w:r>
        <w:rPr>
          <w:sz w:val="22"/>
          <w:szCs w:val="22"/>
        </w:rPr>
        <w:t xml:space="preserve">Fumega &amp; Gao take this idea a step closer, and use an deep-research agents to perform information retrieval for the Global Data Barometer assessment. The paper details how automation with AI research agents promise scalability and lower costs, at the risk of opacity and interpretability. This is a core idea to keep in mind; in environments with little human verification, how can we set up sufficient guardrails so AI can self-monitor? As Fumega states, how does this alter the “conditions under which benchmarking remains accountable and credible”. Harnessing the productivity increases of AI whilst maintaining trust in outputs is central to the success of this project. </w:t>
      </w:r>
      <w:commentRangeEnd w:id="8"/>
      <w:r>
        <w:rPr>
          <w:rStyle w:val="CommentReference"/>
          <w:b/>
          <w:bCs/>
          <w:sz w:val="22"/>
          <w:szCs w:val="22"/>
        </w:rPr>
        <w:commentReference w:id="8"/>
      </w:r>
      <w:commentRangeEnd w:id="7"/>
      <w:r>
        <w:rPr>
          <w:rStyle w:val="CommentReference"/>
          <w:b/>
          <w:bCs/>
          <w:sz w:val="22"/>
          <w:szCs w:val="22"/>
        </w:rPr>
        <w:commentReference w:id="7"/>
      </w:r>
    </w:p>
    <w:p w14:paraId="567CD229" w14:textId="6CEE0DDD" w:rsidR="008C3A7B" w:rsidRPr="00EF0912" w:rsidRDefault="00EF0912">
      <w:pPr>
        <w:spacing w:before="40" w:after="220"/>
        <w:rPr>
          <w:sz w:val="22"/>
          <w:szCs w:val="22"/>
        </w:rPr>
      </w:pPr>
      <w:r>
        <w:rPr>
          <w:sz w:val="22"/>
          <w:szCs w:val="22"/>
        </w:rPr>
        <w:t xml:space="preserve">Fumega &amp; Gao pitted three commercial deep-research agents against each other and found differing results due to their inherent research styles. This has an interesting implication for our system which is purely based on Claude, and potential claims about the success of all agentic frameworks being muddied by provider choice. </w:t>
      </w:r>
    </w:p>
    <w:p w14:paraId="3F0B4BB5" w14:textId="2F6441E3" w:rsidR="00026895" w:rsidRDefault="00026895" w:rsidP="00026895">
      <w:pPr>
        <w:pStyle w:val="Heading2"/>
      </w:pPr>
      <w:r>
        <w:t>LLM evaluation on real-world tasks</w:t>
      </w:r>
    </w:p>
    <w:p w14:paraId="4E4140CB" w14:textId="1F67E797" w:rsidR="00E44C33" w:rsidRDefault="00886FA4">
      <w:pPr>
        <w:spacing w:before="40" w:after="220"/>
        <w:rPr>
          <w:sz w:val="22"/>
          <w:szCs w:val="22"/>
        </w:rPr>
      </w:pPr>
      <w:commentRangeStart w:id="9"/>
      <w:r>
        <w:rPr>
          <w:sz w:val="22"/>
          <w:szCs w:val="22"/>
        </w:rPr>
        <w:lastRenderedPageBreak/>
        <w:t xml:space="preserve">Fumega &amp; Gao achieved an average match rate of 61.76% between the AI-researched answers and the original expert GDB data, which serves as a comparator target. As expected they found varying success dependent on the style of question; foundational questions scored over 85.55% compared to advanced at 31%. Similarly, the four ODMI dimensions demand the agents find fundamentally distinctive information, ranging from factual checks to broad analysis, so a similar variance in success may be expected. </w:t>
      </w:r>
      <w:commentRangeEnd w:id="9"/>
      <w:r>
        <w:rPr>
          <w:rStyle w:val="CommentReference"/>
          <w:sz w:val="22"/>
          <w:szCs w:val="22"/>
        </w:rPr>
        <w:commentReference w:id="9"/>
      </w:r>
    </w:p>
    <w:p w14:paraId="08421D8D" w14:textId="3035F4F0" w:rsidR="00CB713B" w:rsidRDefault="001B4CCE">
      <w:pPr>
        <w:spacing w:before="40" w:after="220"/>
      </w:pPr>
      <w:r>
        <w:rPr>
          <w:sz w:val="22"/>
          <w:szCs w:val="22"/>
        </w:rPr>
        <w:t>They note, however, a mismatch between AI and expert doesn’t necessarily mean the model is wrong, and a detailed review revealed cases in which the AI’s assessment was more accurate than the human’s. The implication of this to our system is substantial, using the human answers to the ODMI questionnaire may be a flawed test set, and cases in which the two disagree must be evaluated in depth. This especially relates to the less evidenced self-report section, where each country’s own national data team offers an answer based on internal reporting. The agentic system uses a deterministic computation tool to calculate information from portal metadata, and often disagrees with the ‘ground-truth’.</w:t>
      </w:r>
    </w:p>
    <w:p w14:paraId="3D509A2C" w14:textId="77777777" w:rsidR="00F72AFB" w:rsidRDefault="00000000">
      <w:pPr>
        <w:pStyle w:val="Heading2"/>
      </w:pPr>
      <w:r>
        <w:t>Hallucination and Self-Verification</w:t>
      </w:r>
    </w:p>
    <w:p w14:paraId="5D3A0C90" w14:textId="7D4BF91F" w:rsidR="00876D8D" w:rsidRDefault="006A052D">
      <w:pPr>
        <w:spacing w:before="40" w:after="220"/>
        <w:rPr>
          <w:color w:val="000000" w:themeColor="text1"/>
          <w:sz w:val="22"/>
          <w:szCs w:val="22"/>
        </w:rPr>
      </w:pPr>
      <w:r>
        <w:rPr>
          <w:color w:val="000000" w:themeColor="text1"/>
          <w:sz w:val="22"/>
          <w:szCs w:val="22"/>
        </w:rPr>
        <w:t xml:space="preserve">Though it’s easy to believe AI as having human-level intelligence, in fact these systems have a fundamentally different understanding of the world, learning facts implicitly through backpropagation rather than being trained for truth-seeking or verification. </w:t>
      </w:r>
    </w:p>
    <w:p w14:paraId="344087A9" w14:textId="60328535" w:rsidR="00604507" w:rsidRDefault="00EC39A1">
      <w:pPr>
        <w:spacing w:before="40" w:after="220"/>
        <w:rPr>
          <w:color w:val="000000" w:themeColor="text1"/>
          <w:sz w:val="22"/>
          <w:szCs w:val="22"/>
        </w:rPr>
      </w:pPr>
      <w:commentRangeStart w:id="10"/>
      <w:r>
        <w:rPr>
          <w:color w:val="000000" w:themeColor="text1"/>
          <w:sz w:val="22"/>
          <w:szCs w:val="22"/>
        </w:rPr>
        <w:t xml:space="preserve">Furthermore, it’s well-documented [][][] that AI systems exhibit a measurable tendency to over-answer under uncertainty, generating plausible sounding answers that lack evidence. This failure to appropriately represent epistemic uncertainty is what our system flips around and uses for its core architecture. </w:t>
      </w:r>
      <w:commentRangeEnd w:id="10"/>
      <w:r>
        <w:rPr>
          <w:rStyle w:val="CommentReference"/>
          <w:color w:val="000000" w:themeColor="text1"/>
          <w:sz w:val="22"/>
          <w:szCs w:val="22"/>
        </w:rPr>
        <w:commentReference w:id="10"/>
      </w:r>
    </w:p>
    <w:p w14:paraId="402C62F8" w14:textId="3D023124" w:rsidR="00EF0912" w:rsidRPr="00604507" w:rsidRDefault="00EF0912">
      <w:pPr>
        <w:spacing w:before="40" w:after="220"/>
        <w:rPr>
          <w:color w:val="000000" w:themeColor="text1"/>
          <w:sz w:val="22"/>
          <w:szCs w:val="22"/>
        </w:rPr>
      </w:pPr>
      <w:r>
        <w:rPr>
          <w:color w:val="000000" w:themeColor="text1"/>
          <w:sz w:val="22"/>
          <w:szCs w:val="22"/>
        </w:rPr>
        <w:t xml:space="preserve">Papers here reference self consistency versus how our system searches externally for counter evidence. </w:t>
      </w:r>
      <w:commentRangeStart w:id="30"/>
      <w:commentRangeEnd w:id="30"/>
      <w:r>
        <w:rPr>
          <w:rStyle w:val="CommentReference"/>
        </w:rPr>
        <w:commentReference w:id="30"/>
      </w:r>
    </w:p>
    <w:p w14:paraId="18720C06" w14:textId="610AEB24" w:rsidR="00EF0912" w:rsidRDefault="00000000" w:rsidP="00EF0912">
      <w:pPr>
        <w:pStyle w:val="Heading2"/>
      </w:pPr>
      <w:r>
        <w:t>Multilingual Evidence Retrieval</w:t>
      </w:r>
    </w:p>
    <w:p w14:paraId="40AE22F8" w14:textId="77777777" w:rsidR="003962AC" w:rsidRDefault="00000000">
      <w:pPr>
        <w:pBdr>
          <w:left w:val="single" w:sz="18" w:space="6" w:color="E0A000"/>
        </w:pBdr>
        <w:shd w:val="clear" w:color="auto" w:fill="FFF6D5"/>
        <w:spacing w:before="40" w:after="160"/>
        <w:ind w:left="144"/>
        <w:rPr>
          <w:sz w:val="20"/>
          <w:szCs w:val="20"/>
        </w:rPr>
      </w:pPr>
      <w:r>
        <w:rPr>
          <w:b/>
          <w:bCs/>
          <w:color w:val="1E7D1E"/>
          <w:sz w:val="20"/>
          <w:szCs w:val="20"/>
        </w:rPr>
        <w:t>+[ Section empty. Needs the multilingual-retrieval literature, plus the project line that multilingual recall is treated as a DIY-internal retrieval question, not a provider comparison (D43). ]</w:t>
      </w:r>
    </w:p>
    <w:p w14:paraId="1A530B96" w14:textId="411E42FE" w:rsidR="006A052D" w:rsidRPr="009425BB" w:rsidRDefault="006A052D">
      <w:pPr>
        <w:spacing w:before="40" w:after="220"/>
        <w:rPr>
          <w:sz w:val="22"/>
          <w:szCs w:val="22"/>
        </w:rPr>
      </w:pPr>
    </w:p>
    <w:p w14:paraId="5D7775A2" w14:textId="77777777" w:rsidR="00F72AFB" w:rsidRDefault="00000000">
      <w:pPr>
        <w:pStyle w:val="Heading2"/>
      </w:pPr>
      <w:r>
        <w:t>Automated Policy and Document Analysis</w:t>
      </w:r>
    </w:p>
    <w:p w14:paraId="73804A99" w14:textId="77777777" w:rsidR="003962AC" w:rsidRDefault="00000000">
      <w:pPr>
        <w:pBdr>
          <w:left w:val="single" w:sz="18" w:space="6" w:color="E0A000"/>
        </w:pBdr>
        <w:shd w:val="clear" w:color="auto" w:fill="FFF6D5"/>
        <w:spacing w:before="40" w:after="160"/>
        <w:ind w:left="144"/>
        <w:rPr>
          <w:sz w:val="20"/>
          <w:szCs w:val="20"/>
        </w:rPr>
      </w:pPr>
      <w:r>
        <w:rPr>
          <w:b/>
          <w:bCs/>
          <w:color w:val="1E7D1E"/>
          <w:sz w:val="20"/>
          <w:szCs w:val="20"/>
        </w:rPr>
        <w:t>+[ Section empty. Needs drafting: AI for civic and policy analysis, and prior attempts to automate index-style benchmarks. ]</w:t>
      </w:r>
    </w:p>
    <w:p w14:paraId="01B31165" w14:textId="4A9156FF" w:rsidR="009425BB" w:rsidRDefault="009425BB">
      <w:pPr>
        <w:spacing w:before="40" w:after="220"/>
      </w:pPr>
    </w:p>
    <w:p w14:paraId="5A226E60" w14:textId="77777777" w:rsidR="00F72AFB" w:rsidRDefault="00000000">
      <w:pPr>
        <w:pStyle w:val="Heading2"/>
      </w:pPr>
      <w:r>
        <w:t>Research Gap</w:t>
      </w:r>
    </w:p>
    <w:p w14:paraId="6F2DF3BD" w14:textId="77777777" w:rsidR="004F70BC" w:rsidRDefault="0008316C" w:rsidP="00445C0F">
      <w:pPr>
        <w:spacing w:before="40" w:after="220"/>
        <w:rPr>
          <w:sz w:val="22"/>
          <w:szCs w:val="22"/>
        </w:rPr>
      </w:pPr>
      <w:r>
        <w:rPr>
          <w:sz w:val="22"/>
          <w:szCs w:val="22"/>
        </w:rPr>
        <w:t>AI performs well on structured tasks with simple outcomes, but falters when it gets to nuanced ones (Fumega &amp; Gao), and comes under 100% match-rate with experts across the board. Of the three necessary elements of a web-retrieval pipeline – search, reason and verify – the former two are increasingly well handled by Agentic systems (Yao et al). It’s verification where the biggest improvement is necessary for overall success: knowing whether a plausible answer is verifiably supported by evidence.</w:t>
      </w:r>
    </w:p>
    <w:p w14:paraId="02B654A7" w14:textId="7E7692FE" w:rsidR="0008316C" w:rsidRDefault="004F70BC" w:rsidP="00445C0F">
      <w:pPr>
        <w:spacing w:before="40" w:after="220"/>
        <w:rPr>
          <w:sz w:val="22"/>
          <w:szCs w:val="22"/>
        </w:rPr>
      </w:pPr>
      <w:r>
        <w:rPr>
          <w:sz w:val="22"/>
          <w:szCs w:val="22"/>
        </w:rPr>
        <w:t xml:space="preserve">Prior systems use various methods for verification; </w:t>
        <w:tab/>
        <w:t xml:space="preserve">Fumega &amp; Gao use deep research agents at the cost of opacity, Heseltine and AI Pluralism papers [] [] use human verification. </w:t>
      </w:r>
    </w:p>
    <w:p w14:paraId="5430A904" w14:textId="5AEF26F3" w:rsidR="004F70BC" w:rsidRDefault="004F70BC" w:rsidP="00445C0F">
      <w:pPr>
        <w:spacing w:before="40" w:after="220"/>
        <w:rPr>
          <w:sz w:val="22"/>
          <w:szCs w:val="22"/>
        </w:rPr>
      </w:pPr>
      <w:r>
        <w:rPr>
          <w:sz w:val="22"/>
          <w:szCs w:val="22"/>
        </w:rPr>
        <w:t xml:space="preserve">The gap this papers fills is using an adversarial verifier to find the counter-evidence as an external source of validation, rather than relying on the Researchers self-consistency. A second layer of defence is the Adjudicator, whose sole job is to weigh up both bodies of evidence, either answering correctly or abstaining, aiming to reduce human intervention. The contribution to the literature is a concrete method of agentic self-validation in low-human oversight settings. </w:t>
      </w:r>
    </w:p>
    <w:p w14:paraId="59F96F18" w14:textId="77777777" w:rsidR="00F72AFB" w:rsidRDefault="00000000">
      <w:pPr>
        <w:pStyle w:val="Heading1"/>
      </w:pPr>
      <w:r>
        <w:t>Approach and Methodology</w:t>
      </w:r>
    </w:p>
    <w:p w14:paraId="683CBE41" w14:textId="77777777" w:rsidR="00647063" w:rsidRDefault="00000000">
      <w:pPr>
        <w:pStyle w:val="Heading2"/>
      </w:pPr>
      <w:r>
        <w:lastRenderedPageBreak/>
        <w:t>System Architecture</w:t>
      </w:r>
    </w:p>
    <w:p w14:paraId="49B4EE17" w14:textId="77777777" w:rsidR="00242095" w:rsidRDefault="00242095" w:rsidP="00961149">
      <w:pPr>
        <w:spacing w:before="40" w:after="40"/>
        <w:rPr>
          <w:sz w:val="22"/>
          <w:szCs w:val="22"/>
        </w:rPr>
      </w:pPr>
    </w:p>
    <w:p w14:paraId="0A5597AB" w14:textId="44DC8C1C" w:rsidR="00961149" w:rsidRPr="00961149" w:rsidRDefault="00961149" w:rsidP="00961149">
      <w:pPr>
        <w:spacing w:before="40" w:after="40"/>
        <w:rPr>
          <w:sz w:val="22"/>
          <w:szCs w:val="22"/>
        </w:rPr>
      </w:pPr>
      <w:commentRangeStart w:id="11"/>
      <w:r>
        <w:rPr>
          <w:sz w:val="22"/>
          <w:szCs w:val="22"/>
        </w:rPr>
        <w:t xml:space="preserve">The architecture opposes a Researcher agent with an Adversarial Verifier whose job is to disprove, so claims are scrutinised alongside their evidence before they’re committed. A third agent, the Adjudicator, settles unresolved cases. In some cases, questions ask for a deterministic answer, e.g. what proportion of datasets conform to DCAT-AP (EU metadata standard).  In this case, a deterministic catalogue tool parses portal metadata and answers reliably. The trio of agents are orchestrated using a Python state machine in a bounded loop of up to three retries, at which point the Adjudicator is called. All three agents run on Claude Sonnet 4.6 via a local proxy on a Claude Max subscription, averting the need for separate, billable Anthropic API credits. Every LLM call records model, prompt version, input and output tokens, latency and cost. </w:t>
      </w:r>
      <w:commentRangeEnd w:id="11"/>
      <w:r>
        <w:rPr>
          <w:rStyle w:val="CommentReference"/>
          <w:sz w:val="22"/>
          <w:szCs w:val="22"/>
        </w:rPr>
        <w:commentReference w:id="11"/>
      </w:r>
    </w:p>
    <w:p w14:paraId="49E06748" w14:textId="6DDB5372" w:rsidR="00647063" w:rsidRDefault="00000000">
      <w:pPr>
        <w:pStyle w:val="Heading2"/>
      </w:pPr>
      <w:r>
        <w:t>The Agent Loop</w:t>
      </w:r>
    </w:p>
    <w:p w14:paraId="5FE1ABC6" w14:textId="60E14431" w:rsidR="00242095" w:rsidRDefault="00242095" w:rsidP="00242095">
      <w:pPr>
        <w:spacing w:before="40" w:after="40"/>
        <w:rPr>
          <w:sz w:val="22"/>
          <w:szCs w:val="22"/>
        </w:rPr>
      </w:pPr>
      <w:r>
        <w:rPr>
          <w:sz w:val="22"/>
          <w:szCs w:val="22"/>
        </w:rPr>
        <w:t xml:space="preserve">The Researcher: Firstly, for computable questions the pipeline routes to a deterministic catalogue tool which returns the figure with no LLM reasoning. Otherwise it generates three search queries for the Search pipeline, reads the retrieved snippets, and returns a structured answer: A label, a quoted evidence passage, a source URL and a confidence score. </w:t>
      </w:r>
    </w:p>
    <w:p w14:paraId="3E411502" w14:textId="77777777" w:rsidR="00242095" w:rsidRDefault="00242095" w:rsidP="00242095">
      <w:pPr>
        <w:spacing w:before="40" w:after="40"/>
        <w:rPr>
          <w:sz w:val="22"/>
          <w:szCs w:val="22"/>
        </w:rPr>
      </w:pPr>
    </w:p>
    <w:p w14:paraId="30AFBFF1" w14:textId="32A700F0" w:rsidR="00242095" w:rsidRDefault="00242095" w:rsidP="00242095">
      <w:pPr>
        <w:spacing w:before="40" w:after="40"/>
        <w:rPr>
          <w:sz w:val="22"/>
          <w:szCs w:val="22"/>
        </w:rPr>
      </w:pPr>
      <w:r>
        <w:rPr>
          <w:sz w:val="22"/>
          <w:szCs w:val="22"/>
        </w:rPr>
        <w:t>The Verifier: the verification system is built from many deterministic and probabilistic components, starting with a deterministic offline gate which checks the cited quote appears in the snippet, and if the URL is from the deny-list. It then reasons if the evidence proves the claim, with a pessimistic, sceptical bias. It has the option to run its own adversarial counter-search, however this only applies to questions that are falsifiable. The Verifier either passes the answer or hands back a rejection with counter evidence.</w:t>
      </w:r>
    </w:p>
    <w:p w14:paraId="17B32C31" w14:textId="77777777" w:rsidR="00B60BB7" w:rsidRDefault="00B60BB7" w:rsidP="00242095">
      <w:pPr>
        <w:spacing w:before="40" w:after="40"/>
        <w:rPr>
          <w:sz w:val="22"/>
          <w:szCs w:val="22"/>
        </w:rPr>
      </w:pPr>
    </w:p>
    <w:p w14:paraId="0948E5F5" w14:textId="3C0A52C2" w:rsidR="00B60BB7" w:rsidRDefault="00B60BB7" w:rsidP="00242095">
      <w:pPr>
        <w:spacing w:before="40" w:after="40"/>
        <w:rPr>
          <w:sz w:val="22"/>
          <w:szCs w:val="22"/>
        </w:rPr>
      </w:pPr>
      <w:r>
        <w:rPr>
          <w:sz w:val="22"/>
          <w:szCs w:val="22"/>
        </w:rPr>
        <w:t xml:space="preserve">Retry: A rejected answer, or one that sits below the confidence floor is handed back to the Researcher with the added adversarial feedback, and is forced to generate diverged queries from earlier attemps. This retry loop is allowed three times, with added entropy each round to improve chances of landing on the correct answer. </w:t>
      </w:r>
    </w:p>
    <w:p w14:paraId="1FA61DDA" w14:textId="77777777" w:rsidR="00B60BB7" w:rsidRDefault="00B60BB7" w:rsidP="00242095">
      <w:pPr>
        <w:spacing w:before="40" w:after="40"/>
        <w:rPr>
          <w:sz w:val="22"/>
          <w:szCs w:val="22"/>
        </w:rPr>
      </w:pPr>
    </w:p>
    <w:p w14:paraId="52ED5027" w14:textId="2F12CF2D" w:rsidR="00B60BB7" w:rsidRDefault="00B60BB7" w:rsidP="00242095">
      <w:pPr>
        <w:spacing w:before="40" w:after="40"/>
        <w:rPr>
          <w:sz w:val="22"/>
          <w:szCs w:val="22"/>
        </w:rPr>
      </w:pPr>
      <w:r>
        <w:rPr>
          <w:sz w:val="22"/>
          <w:szCs w:val="22"/>
        </w:rPr>
        <w:t xml:space="preserve">The Adjudicator: if after three retries the two previous agents still disagree, the Adjudicator weighs the accumulated arguments offline, and either commits or abstains. </w:t>
      </w:r>
    </w:p>
    <w:p w14:paraId="2231AF6F" w14:textId="77777777" w:rsidR="00B60BB7" w:rsidRDefault="00B60BB7" w:rsidP="00242095">
      <w:pPr>
        <w:spacing w:before="40" w:after="40"/>
        <w:rPr>
          <w:sz w:val="22"/>
          <w:szCs w:val="22"/>
        </w:rPr>
      </w:pPr>
    </w:p>
    <w:p w14:paraId="67F74E85" w14:textId="7C986512" w:rsidR="00B60BB7" w:rsidRDefault="00B60BB7" w:rsidP="00242095">
      <w:pPr>
        <w:spacing w:before="40" w:after="40"/>
        <w:rPr>
          <w:sz w:val="22"/>
          <w:szCs w:val="22"/>
        </w:rPr>
      </w:pPr>
      <w:commentRangeStart w:id="12"/>
      <w:r>
        <w:rPr>
          <w:sz w:val="22"/>
          <w:szCs w:val="22"/>
        </w:rPr>
        <w:t xml:space="preserve">The goal of the system is to either answer correctly or abstain under inconclusive evidence, reducing false positives </w:t>
      </w:r>
      <w:commentRangeEnd w:id="12"/>
      <w:r>
        <w:rPr>
          <w:rStyle w:val="CommentReference"/>
          <w:sz w:val="22"/>
          <w:szCs w:val="22"/>
        </w:rPr>
        <w:commentReference w:id="12"/>
      </w:r>
      <w:r>
        <w:rPr>
          <w:sz w:val="22"/>
          <w:szCs w:val="22"/>
        </w:rPr>
        <w:t>by only committing answers above a confidence threshold. This confidence threshold determines precision far more than the reasoning done by agents, as both agents can rank how likely the evidence is to prove the claim far easier than find definitive evidence either way.</w:t>
      </w:r>
      <w:commentRangeStart w:id="26"/>
      <w:commentRangeEnd w:id="26"/>
      <w:r>
        <w:rPr>
          <w:rStyle w:val="CommentReference"/>
        </w:rPr>
        <w:commentReference w:id="26"/>
      </w:r>
    </w:p>
    <w:p w14:paraId="0CB643EB" w14:textId="77777777" w:rsidR="00B60BB7" w:rsidRDefault="00B60BB7" w:rsidP="00242095">
      <w:pPr>
        <w:spacing w:before="40" w:after="40"/>
        <w:rPr>
          <w:sz w:val="22"/>
          <w:szCs w:val="22"/>
        </w:rPr>
      </w:pPr>
    </w:p>
    <w:p w14:paraId="1F0E3D14" w14:textId="77777777" w:rsidR="00B60BB7" w:rsidRPr="00242095" w:rsidRDefault="00B60BB7" w:rsidP="00242095">
      <w:pPr>
        <w:spacing w:before="40" w:after="40"/>
        <w:rPr>
          <w:sz w:val="22"/>
          <w:szCs w:val="22"/>
        </w:rPr>
      </w:pPr>
    </w:p>
    <w:p w14:paraId="2A558446" w14:textId="77777777" w:rsidR="00647063" w:rsidRDefault="00000000">
      <w:pPr>
        <w:pStyle w:val="Heading2"/>
      </w:pPr>
      <w:commentRangeStart w:id="13"/>
      <w:r>
        <w:t>Retrieval</w:t>
      </w:r>
      <w:commentRangeEnd w:id="13"/>
      <w:r>
        <w:rPr>
          <w:rStyle w:val="CommentReference"/>
          <w:sz w:val="26"/>
          <w:szCs w:val="26"/>
        </w:rPr>
        <w:commentReference w:id="13"/>
      </w:r>
    </w:p>
    <w:p w14:paraId="6572D521" w14:textId="57F5029E" w:rsidR="00755C80" w:rsidRDefault="00755C80" w:rsidP="00755C80">
      <w:pPr>
        <w:spacing w:before="40" w:after="40"/>
        <w:rPr>
          <w:sz w:val="22"/>
          <w:szCs w:val="22"/>
        </w:rPr>
      </w:pPr>
      <w:r>
        <w:rPr>
          <w:sz w:val="22"/>
          <w:szCs w:val="22"/>
        </w:rPr>
        <w:t xml:space="preserve">The success of the Researcher depends entirely on the quality of information it can reason over, and as such the Search pipeline requires as much thought as the swarm architecture. A bespoke DIY pipeline was created for this use case. When the Researcher receives the (question, country) pair, a small LLM call generates 3 likely search queries in English and the native language that may surface the answer. </w:t>
      </w:r>
    </w:p>
    <w:p w14:paraId="259DF27E" w14:textId="66390F91" w:rsidR="00755C80" w:rsidRDefault="00755C80" w:rsidP="00755C80">
      <w:pPr>
        <w:spacing w:before="40" w:after="40"/>
        <w:rPr>
          <w:sz w:val="22"/>
          <w:szCs w:val="22"/>
        </w:rPr>
      </w:pPr>
      <w:r>
        <w:rPr>
          <w:sz w:val="22"/>
          <w:szCs w:val="22"/>
        </w:rPr>
        <w:t>Initially, two commercial search APIs were trialled, Tavily and Brave, but were quickly superseded for two reasons: the free tier quota for each was wildly undersized for the demand of this project, and experiments found the evidence extracted by each led to a lower success rate than that of our DIY pipeline.</w:t>
      </w:r>
    </w:p>
    <w:p w14:paraId="6F90AC68" w14:textId="5AABDC85" w:rsidR="00755C80" w:rsidRPr="00755C80" w:rsidRDefault="00755C80" w:rsidP="00755C80">
      <w:pPr>
        <w:spacing w:before="40" w:after="40"/>
        <w:rPr>
          <w:sz w:val="22"/>
          <w:szCs w:val="22"/>
        </w:rPr>
      </w:pPr>
      <w:r>
        <w:rPr>
          <w:sz w:val="22"/>
          <w:szCs w:val="22"/>
        </w:rPr>
        <w:t xml:space="preserve">The DIY pipeline consists of a Google SerpAPI call, a httpx page fetch with Playwright fallback for JavaScript or WAF-protected pages, main-text extraction using the trafilatura python package on the raw HTML, then a Claude snippet picker. The Researcher agent passes 3 potential search queries in both English and the native language to the pipeline, and allows for 5 results per query. The search is narrow-then-wide, first on a set of trusted national domains such as the country’s open data portal, then a wide fallback if that fails. The page text is capped at 16,000 characters, the picker keeps up to three passages </w:t>
        <w:lastRenderedPageBreak/>
        <w:t xml:space="preserve">which it then truncates to 600 characters for the answer prompt. Through experimentation this truncation had negligible effect on the accuracy, but reduced time-per-run significantly. </w:t>
      </w:r>
    </w:p>
    <w:p w14:paraId="0CC05246" w14:textId="35E744C1" w:rsidR="00647063" w:rsidRDefault="00000000">
      <w:pPr>
        <w:pStyle w:val="Heading2"/>
      </w:pPr>
      <w:r>
        <w:t>Deterministic Catalogue Pathway Finding</w:t>
      </w:r>
    </w:p>
    <w:p w14:paraId="70ED4E3C" w14:textId="42A0ED07" w:rsidR="00E920EA" w:rsidRDefault="00E920EA" w:rsidP="00E920EA">
      <w:pPr>
        <w:spacing w:before="200" w:after="100"/>
        <w:rPr>
          <w:sz w:val="22"/>
          <w:szCs w:val="22"/>
        </w:rPr>
      </w:pPr>
      <w:commentRangeStart w:id="14"/>
      <w:r>
        <w:rPr>
          <w:sz w:val="22"/>
          <w:szCs w:val="22"/>
        </w:rPr>
        <w:t>Nine Quality questions ask for a proportion of the national catalogue, for example the share of datasets conforming to DCAT-AP, which is directly computable with our deterministic catalogue tool. The only pooled public source for this data is the Metadata Quality Assessment on data.europa.eu which is deny-listed as it’s the basis of the ODMI’s own numbers. The tool harvests each country’s live catalogue metadata without the need for LLM reasoning. The recompute exposes several self-report gaps; many countries self-reported much higher values than their metadata suggest. France reports &gt;90% on licence coverage and conformance, despite the recompute finding only 38% and 32%, and Germany's mandatory conformance recomputes to 4.2% against a self-reported figure above 90%.</w:t>
      </w:r>
      <w:commentRangeEnd w:id="14"/>
      <w:r>
        <w:rPr>
          <w:rStyle w:val="CommentReference"/>
          <w:sz w:val="22"/>
          <w:szCs w:val="22"/>
        </w:rPr>
        <w:commentReference w:id="14"/>
      </w:r>
    </w:p>
    <w:p w14:paraId="3CAB9781" w14:textId="05254B54" w:rsidR="00EC2011" w:rsidRPr="00E920EA" w:rsidRDefault="00EC2011" w:rsidP="00E920EA">
      <w:pPr>
        <w:spacing w:before="200" w:after="100"/>
        <w:rPr>
          <w:sz w:val="22"/>
          <w:szCs w:val="22"/>
        </w:rPr>
      </w:pPr>
      <w:r>
        <w:rPr>
          <w:sz w:val="22"/>
          <w:szCs w:val="22"/>
        </w:rPr>
        <w:t>The divergence between reported figures and the verifiable truth further proves match-rate is only a proxy for success, and in some cases where the model disagrees with the ODMI, we must take seriously the idea that the system is correct. This puts an added pressure on the failure mode analysis, we are now no longer asking simply why did the model get an answer ‘wrong’, but now we understand that any evidence the system supplies must be scrutinised for whether it is actually correct. Issues of concurrency, tangential evidence, proving adjacent claims and more must be thoroughly checked before accepting the system’s answer as correct on non-computable questions.</w:t>
      </w:r>
      <w:commentRangeStart w:id="28"/>
      <w:commentRangeEnd w:id="28"/>
      <w:r>
        <w:rPr>
          <w:rStyle w:val="CommentReference"/>
        </w:rPr>
        <w:commentReference w:id="28"/>
      </w:r>
    </w:p>
    <w:p w14:paraId="56C75D7E" w14:textId="77777777" w:rsidR="00647063" w:rsidRDefault="00000000">
      <w:pPr>
        <w:spacing w:before="200" w:after="100"/>
        <w:rPr>
          <w:sz w:val="22"/>
          <w:szCs w:val="22"/>
        </w:rPr>
      </w:pPr>
      <w:r>
        <w:rPr>
          <w:b/>
          <w:sz w:val="22"/>
          <w:szCs w:val="22"/>
        </w:rPr>
        <w:t>Catalogue recompute against self-reported values (development-set sample):</w:t>
      </w:r>
    </w:p>
    <w:tbl>
      <w:tblPr>
        <w:tblW w:w="102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040"/>
        <w:gridCol w:w="3061"/>
        <w:gridCol w:w="1632"/>
        <w:gridCol w:w="1836"/>
        <w:gridCol w:w="1635"/>
      </w:tblGrid>
      <w:tr w:rsidR="00647063" w14:paraId="33968610" w14:textId="77777777">
        <w:trPr>
          <w:tblHeader/>
        </w:trPr>
        <w:tc>
          <w:tcPr>
            <w:tcW w:w="2040" w:type="dxa"/>
            <w:shd w:val="clear" w:color="auto" w:fill="D9E2F3"/>
          </w:tcPr>
          <w:p w14:paraId="395A99E5" w14:textId="77777777" w:rsidR="00647063" w:rsidRDefault="00000000">
            <w:pPr>
              <w:spacing w:before="20" w:after="20"/>
              <w:rPr>
                <w:b/>
                <w:sz w:val="18"/>
                <w:szCs w:val="18"/>
              </w:rPr>
            </w:pPr>
            <w:r>
              <w:rPr>
                <w:b/>
                <w:sz w:val="18"/>
                <w:szCs w:val="18"/>
              </w:rPr>
              <w:t>Country</w:t>
            </w:r>
          </w:p>
        </w:tc>
        <w:tc>
          <w:tcPr>
            <w:tcW w:w="3061" w:type="dxa"/>
            <w:shd w:val="clear" w:color="auto" w:fill="D9E2F3"/>
          </w:tcPr>
          <w:p w14:paraId="63CEBEFB" w14:textId="77777777" w:rsidR="00647063" w:rsidRDefault="00000000">
            <w:pPr>
              <w:spacing w:before="20" w:after="20"/>
              <w:rPr>
                <w:b/>
                <w:sz w:val="18"/>
                <w:szCs w:val="18"/>
              </w:rPr>
            </w:pPr>
            <w:r>
              <w:rPr>
                <w:b/>
                <w:sz w:val="18"/>
                <w:szCs w:val="18"/>
              </w:rPr>
              <w:t>Datasets assessed</w:t>
            </w:r>
          </w:p>
        </w:tc>
        <w:tc>
          <w:tcPr>
            <w:tcW w:w="1632" w:type="dxa"/>
            <w:shd w:val="clear" w:color="auto" w:fill="D9E2F3"/>
          </w:tcPr>
          <w:p w14:paraId="0D818664" w14:textId="77777777" w:rsidR="00647063" w:rsidRDefault="00000000">
            <w:pPr>
              <w:spacing w:before="20" w:after="20"/>
              <w:rPr>
                <w:b/>
                <w:sz w:val="18"/>
                <w:szCs w:val="18"/>
              </w:rPr>
            </w:pPr>
            <w:r>
              <w:rPr>
                <w:b/>
                <w:sz w:val="18"/>
                <w:szCs w:val="18"/>
              </w:rPr>
              <w:t>Exact</w:t>
            </w:r>
          </w:p>
        </w:tc>
        <w:tc>
          <w:tcPr>
            <w:tcW w:w="1836" w:type="dxa"/>
            <w:shd w:val="clear" w:color="auto" w:fill="D9E2F3"/>
          </w:tcPr>
          <w:p w14:paraId="3D0D70B0" w14:textId="77777777" w:rsidR="00647063" w:rsidRDefault="00000000">
            <w:pPr>
              <w:spacing w:before="20" w:after="20"/>
              <w:rPr>
                <w:b/>
                <w:sz w:val="18"/>
                <w:szCs w:val="18"/>
              </w:rPr>
            </w:pPr>
            <w:r>
              <w:rPr>
                <w:b/>
                <w:sz w:val="18"/>
                <w:szCs w:val="18"/>
              </w:rPr>
              <w:t>Near-match</w:t>
            </w:r>
          </w:p>
        </w:tc>
        <w:tc>
          <w:tcPr>
            <w:tcW w:w="1635" w:type="dxa"/>
            <w:shd w:val="clear" w:color="auto" w:fill="D9E2F3"/>
          </w:tcPr>
          <w:p w14:paraId="47A8D8EB" w14:textId="77777777" w:rsidR="00647063" w:rsidRDefault="00000000">
            <w:pPr>
              <w:spacing w:before="20" w:after="20"/>
              <w:rPr>
                <w:b/>
                <w:sz w:val="18"/>
                <w:szCs w:val="18"/>
              </w:rPr>
            </w:pPr>
            <w:r>
              <w:rPr>
                <w:b/>
                <w:sz w:val="18"/>
                <w:szCs w:val="18"/>
              </w:rPr>
              <w:t>Differ</w:t>
            </w:r>
          </w:p>
        </w:tc>
      </w:tr>
      <w:tr w:rsidR="00647063" w14:paraId="24A8C809" w14:textId="77777777">
        <w:tc>
          <w:tcPr>
            <w:tcW w:w="2040" w:type="dxa"/>
          </w:tcPr>
          <w:p w14:paraId="30A1F3B9" w14:textId="77777777" w:rsidR="00647063" w:rsidRDefault="00000000">
            <w:pPr>
              <w:spacing w:before="20" w:after="20"/>
              <w:rPr>
                <w:sz w:val="18"/>
                <w:szCs w:val="18"/>
              </w:rPr>
            </w:pPr>
            <w:r>
              <w:rPr>
                <w:sz w:val="18"/>
                <w:szCs w:val="18"/>
              </w:rPr>
              <w:t>Hungary</w:t>
            </w:r>
          </w:p>
        </w:tc>
        <w:tc>
          <w:tcPr>
            <w:tcW w:w="3061" w:type="dxa"/>
          </w:tcPr>
          <w:p w14:paraId="500FC6DD" w14:textId="77777777" w:rsidR="00647063" w:rsidRDefault="00000000">
            <w:pPr>
              <w:spacing w:before="20" w:after="20"/>
              <w:rPr>
                <w:sz w:val="18"/>
                <w:szCs w:val="18"/>
              </w:rPr>
            </w:pPr>
            <w:r>
              <w:rPr>
                <w:sz w:val="18"/>
                <w:szCs w:val="18"/>
              </w:rPr>
              <w:t>2,282 (full catalogue)</w:t>
            </w:r>
          </w:p>
        </w:tc>
        <w:tc>
          <w:tcPr>
            <w:tcW w:w="1632" w:type="dxa"/>
          </w:tcPr>
          <w:p w14:paraId="084CF124" w14:textId="77777777" w:rsidR="00647063" w:rsidRDefault="00000000">
            <w:pPr>
              <w:spacing w:before="20" w:after="20"/>
              <w:rPr>
                <w:sz w:val="18"/>
                <w:szCs w:val="18"/>
              </w:rPr>
            </w:pPr>
            <w:r>
              <w:rPr>
                <w:sz w:val="18"/>
                <w:szCs w:val="18"/>
              </w:rPr>
              <w:t>8</w:t>
            </w:r>
          </w:p>
        </w:tc>
        <w:tc>
          <w:tcPr>
            <w:tcW w:w="1836" w:type="dxa"/>
          </w:tcPr>
          <w:p w14:paraId="0ACBB84A" w14:textId="77777777" w:rsidR="00647063" w:rsidRDefault="00000000">
            <w:pPr>
              <w:spacing w:before="20" w:after="20"/>
              <w:rPr>
                <w:sz w:val="18"/>
                <w:szCs w:val="18"/>
              </w:rPr>
            </w:pPr>
            <w:r>
              <w:rPr>
                <w:sz w:val="18"/>
                <w:szCs w:val="18"/>
              </w:rPr>
              <w:t>1</w:t>
            </w:r>
          </w:p>
        </w:tc>
        <w:tc>
          <w:tcPr>
            <w:tcW w:w="1635" w:type="dxa"/>
          </w:tcPr>
          <w:p w14:paraId="4469A9ED" w14:textId="77777777" w:rsidR="00647063" w:rsidRDefault="00000000">
            <w:pPr>
              <w:spacing w:before="20" w:after="20"/>
              <w:rPr>
                <w:sz w:val="18"/>
                <w:szCs w:val="18"/>
              </w:rPr>
            </w:pPr>
            <w:r>
              <w:rPr>
                <w:sz w:val="18"/>
                <w:szCs w:val="18"/>
              </w:rPr>
              <w:t>0</w:t>
            </w:r>
          </w:p>
        </w:tc>
      </w:tr>
      <w:tr w:rsidR="00647063" w14:paraId="1A306C64" w14:textId="77777777">
        <w:tc>
          <w:tcPr>
            <w:tcW w:w="2040" w:type="dxa"/>
          </w:tcPr>
          <w:p w14:paraId="7A0EBA10" w14:textId="77777777" w:rsidR="00647063" w:rsidRDefault="00000000">
            <w:pPr>
              <w:spacing w:before="20" w:after="20"/>
              <w:rPr>
                <w:sz w:val="18"/>
                <w:szCs w:val="18"/>
              </w:rPr>
            </w:pPr>
            <w:r>
              <w:rPr>
                <w:sz w:val="18"/>
                <w:szCs w:val="18"/>
              </w:rPr>
              <w:t>Netherlands</w:t>
            </w:r>
          </w:p>
        </w:tc>
        <w:tc>
          <w:tcPr>
            <w:tcW w:w="3061" w:type="dxa"/>
          </w:tcPr>
          <w:p w14:paraId="2204EBE1" w14:textId="77777777" w:rsidR="00647063" w:rsidRDefault="00000000">
            <w:pPr>
              <w:spacing w:before="20" w:after="20"/>
              <w:rPr>
                <w:sz w:val="18"/>
                <w:szCs w:val="18"/>
              </w:rPr>
            </w:pPr>
            <w:r>
              <w:rPr>
                <w:sz w:val="18"/>
                <w:szCs w:val="18"/>
              </w:rPr>
              <w:t>20,772 (full catalogue)</w:t>
            </w:r>
          </w:p>
        </w:tc>
        <w:tc>
          <w:tcPr>
            <w:tcW w:w="1632" w:type="dxa"/>
          </w:tcPr>
          <w:p w14:paraId="31D9D827" w14:textId="77777777" w:rsidR="00647063" w:rsidRDefault="00000000">
            <w:pPr>
              <w:spacing w:before="20" w:after="20"/>
              <w:rPr>
                <w:sz w:val="18"/>
                <w:szCs w:val="18"/>
              </w:rPr>
            </w:pPr>
            <w:r>
              <w:rPr>
                <w:sz w:val="18"/>
                <w:szCs w:val="18"/>
              </w:rPr>
              <w:t>5</w:t>
            </w:r>
          </w:p>
        </w:tc>
        <w:tc>
          <w:tcPr>
            <w:tcW w:w="1836" w:type="dxa"/>
          </w:tcPr>
          <w:p w14:paraId="0D46199A" w14:textId="77777777" w:rsidR="00647063" w:rsidRDefault="00000000">
            <w:pPr>
              <w:spacing w:before="20" w:after="20"/>
              <w:rPr>
                <w:sz w:val="18"/>
                <w:szCs w:val="18"/>
              </w:rPr>
            </w:pPr>
            <w:r>
              <w:rPr>
                <w:sz w:val="18"/>
                <w:szCs w:val="18"/>
              </w:rPr>
              <w:t>0</w:t>
            </w:r>
          </w:p>
        </w:tc>
        <w:tc>
          <w:tcPr>
            <w:tcW w:w="1635" w:type="dxa"/>
          </w:tcPr>
          <w:p w14:paraId="5550DCB8" w14:textId="77777777" w:rsidR="00647063" w:rsidRDefault="00000000">
            <w:pPr>
              <w:spacing w:before="20" w:after="20"/>
              <w:rPr>
                <w:sz w:val="18"/>
                <w:szCs w:val="18"/>
              </w:rPr>
            </w:pPr>
            <w:r>
              <w:rPr>
                <w:sz w:val="18"/>
                <w:szCs w:val="18"/>
              </w:rPr>
              <w:t>4</w:t>
            </w:r>
          </w:p>
        </w:tc>
      </w:tr>
      <w:tr w:rsidR="00647063" w14:paraId="6A1CB3D9" w14:textId="77777777">
        <w:tc>
          <w:tcPr>
            <w:tcW w:w="2040" w:type="dxa"/>
          </w:tcPr>
          <w:p w14:paraId="4EBB013C" w14:textId="77777777" w:rsidR="00647063" w:rsidRDefault="00000000">
            <w:pPr>
              <w:spacing w:before="20" w:after="20"/>
              <w:rPr>
                <w:sz w:val="18"/>
                <w:szCs w:val="18"/>
              </w:rPr>
            </w:pPr>
            <w:r>
              <w:rPr>
                <w:sz w:val="18"/>
                <w:szCs w:val="18"/>
              </w:rPr>
              <w:t>Germany</w:t>
            </w:r>
          </w:p>
        </w:tc>
        <w:tc>
          <w:tcPr>
            <w:tcW w:w="3061" w:type="dxa"/>
          </w:tcPr>
          <w:p w14:paraId="772B2A84" w14:textId="77777777" w:rsidR="00647063" w:rsidRDefault="00000000">
            <w:pPr>
              <w:spacing w:before="20" w:after="20"/>
              <w:rPr>
                <w:sz w:val="18"/>
                <w:szCs w:val="18"/>
              </w:rPr>
            </w:pPr>
            <w:r>
              <w:rPr>
                <w:sz w:val="18"/>
                <w:szCs w:val="18"/>
              </w:rPr>
              <w:t>3,000 (sample)</w:t>
            </w:r>
          </w:p>
        </w:tc>
        <w:tc>
          <w:tcPr>
            <w:tcW w:w="1632" w:type="dxa"/>
          </w:tcPr>
          <w:p w14:paraId="4E0B1458" w14:textId="77777777" w:rsidR="00647063" w:rsidRDefault="00000000">
            <w:pPr>
              <w:spacing w:before="20" w:after="20"/>
              <w:rPr>
                <w:sz w:val="18"/>
                <w:szCs w:val="18"/>
              </w:rPr>
            </w:pPr>
            <w:r>
              <w:rPr>
                <w:sz w:val="18"/>
                <w:szCs w:val="18"/>
              </w:rPr>
              <w:t>4</w:t>
            </w:r>
          </w:p>
        </w:tc>
        <w:tc>
          <w:tcPr>
            <w:tcW w:w="1836" w:type="dxa"/>
          </w:tcPr>
          <w:p w14:paraId="1A1860B1" w14:textId="77777777" w:rsidR="00647063" w:rsidRDefault="00000000">
            <w:pPr>
              <w:spacing w:before="20" w:after="20"/>
              <w:rPr>
                <w:sz w:val="18"/>
                <w:szCs w:val="18"/>
              </w:rPr>
            </w:pPr>
            <w:r>
              <w:rPr>
                <w:sz w:val="18"/>
                <w:szCs w:val="18"/>
              </w:rPr>
              <w:t>2</w:t>
            </w:r>
          </w:p>
        </w:tc>
        <w:tc>
          <w:tcPr>
            <w:tcW w:w="1635" w:type="dxa"/>
          </w:tcPr>
          <w:p w14:paraId="34422F48" w14:textId="77777777" w:rsidR="00647063" w:rsidRDefault="00000000">
            <w:pPr>
              <w:spacing w:before="20" w:after="20"/>
              <w:rPr>
                <w:sz w:val="18"/>
                <w:szCs w:val="18"/>
              </w:rPr>
            </w:pPr>
            <w:r>
              <w:rPr>
                <w:sz w:val="18"/>
                <w:szCs w:val="18"/>
              </w:rPr>
              <w:t>3</w:t>
            </w:r>
          </w:p>
        </w:tc>
      </w:tr>
      <w:tr w:rsidR="00647063" w14:paraId="726390A9" w14:textId="77777777">
        <w:tc>
          <w:tcPr>
            <w:tcW w:w="2040" w:type="dxa"/>
          </w:tcPr>
          <w:p w14:paraId="6A2C6BBD" w14:textId="77777777" w:rsidR="00647063" w:rsidRDefault="00000000">
            <w:pPr>
              <w:spacing w:before="20" w:after="20"/>
              <w:rPr>
                <w:sz w:val="18"/>
                <w:szCs w:val="18"/>
              </w:rPr>
            </w:pPr>
            <w:r>
              <w:rPr>
                <w:sz w:val="18"/>
                <w:szCs w:val="18"/>
              </w:rPr>
              <w:t>France</w:t>
            </w:r>
          </w:p>
        </w:tc>
        <w:tc>
          <w:tcPr>
            <w:tcW w:w="3061" w:type="dxa"/>
          </w:tcPr>
          <w:p w14:paraId="452E1EAE" w14:textId="77777777" w:rsidR="00647063" w:rsidRDefault="00000000">
            <w:pPr>
              <w:spacing w:before="20" w:after="20"/>
              <w:rPr>
                <w:sz w:val="18"/>
                <w:szCs w:val="18"/>
              </w:rPr>
            </w:pPr>
            <w:r>
              <w:rPr>
                <w:sz w:val="18"/>
                <w:szCs w:val="18"/>
              </w:rPr>
              <w:t>5,000 (sample)</w:t>
            </w:r>
          </w:p>
        </w:tc>
        <w:tc>
          <w:tcPr>
            <w:tcW w:w="1632" w:type="dxa"/>
          </w:tcPr>
          <w:p w14:paraId="155BDE11" w14:textId="77777777" w:rsidR="00647063" w:rsidRDefault="00000000">
            <w:pPr>
              <w:spacing w:before="20" w:after="20"/>
              <w:rPr>
                <w:sz w:val="18"/>
                <w:szCs w:val="18"/>
              </w:rPr>
            </w:pPr>
            <w:r>
              <w:rPr>
                <w:sz w:val="18"/>
                <w:szCs w:val="18"/>
              </w:rPr>
              <w:t>4</w:t>
            </w:r>
          </w:p>
        </w:tc>
        <w:tc>
          <w:tcPr>
            <w:tcW w:w="1836" w:type="dxa"/>
          </w:tcPr>
          <w:p w14:paraId="0062F863" w14:textId="77777777" w:rsidR="00647063" w:rsidRDefault="00000000">
            <w:pPr>
              <w:spacing w:before="20" w:after="20"/>
              <w:rPr>
                <w:sz w:val="18"/>
                <w:szCs w:val="18"/>
              </w:rPr>
            </w:pPr>
            <w:r>
              <w:rPr>
                <w:sz w:val="18"/>
                <w:szCs w:val="18"/>
              </w:rPr>
              <w:t>1</w:t>
            </w:r>
          </w:p>
        </w:tc>
        <w:tc>
          <w:tcPr>
            <w:tcW w:w="1635" w:type="dxa"/>
          </w:tcPr>
          <w:p w14:paraId="6FDFA901" w14:textId="77777777" w:rsidR="00647063" w:rsidRDefault="00000000">
            <w:pPr>
              <w:spacing w:before="20" w:after="20"/>
              <w:rPr>
                <w:sz w:val="18"/>
                <w:szCs w:val="18"/>
              </w:rPr>
            </w:pPr>
            <w:r>
              <w:rPr>
                <w:sz w:val="18"/>
                <w:szCs w:val="18"/>
              </w:rPr>
              <w:t>4</w:t>
            </w:r>
          </w:p>
        </w:tc>
      </w:tr>
      <w:tr w:rsidR="00647063" w14:paraId="0702969D" w14:textId="77777777">
        <w:tc>
          <w:tcPr>
            <w:tcW w:w="2040" w:type="dxa"/>
          </w:tcPr>
          <w:p w14:paraId="70B190DD" w14:textId="77777777" w:rsidR="00647063" w:rsidRDefault="00000000">
            <w:pPr>
              <w:spacing w:before="20" w:after="20"/>
              <w:rPr>
                <w:sz w:val="18"/>
                <w:szCs w:val="18"/>
              </w:rPr>
            </w:pPr>
            <w:r>
              <w:rPr>
                <w:sz w:val="18"/>
                <w:szCs w:val="18"/>
              </w:rPr>
              <w:t>Romania</w:t>
            </w:r>
          </w:p>
        </w:tc>
        <w:tc>
          <w:tcPr>
            <w:tcW w:w="3061" w:type="dxa"/>
          </w:tcPr>
          <w:p w14:paraId="670F56A9" w14:textId="77777777" w:rsidR="00647063" w:rsidRDefault="00000000">
            <w:pPr>
              <w:spacing w:before="20" w:after="20"/>
              <w:rPr>
                <w:sz w:val="18"/>
                <w:szCs w:val="18"/>
              </w:rPr>
            </w:pPr>
            <w:r>
              <w:rPr>
                <w:sz w:val="18"/>
                <w:szCs w:val="18"/>
              </w:rPr>
              <w:t>5,143 (full catalogue)</w:t>
            </w:r>
          </w:p>
        </w:tc>
        <w:tc>
          <w:tcPr>
            <w:tcW w:w="1632" w:type="dxa"/>
          </w:tcPr>
          <w:p w14:paraId="527C6C48" w14:textId="77777777" w:rsidR="00647063" w:rsidRDefault="00000000">
            <w:pPr>
              <w:spacing w:before="20" w:after="20"/>
              <w:rPr>
                <w:sz w:val="18"/>
                <w:szCs w:val="18"/>
              </w:rPr>
            </w:pPr>
            <w:r>
              <w:rPr>
                <w:sz w:val="18"/>
                <w:szCs w:val="18"/>
              </w:rPr>
              <w:t>3</w:t>
            </w:r>
          </w:p>
        </w:tc>
        <w:tc>
          <w:tcPr>
            <w:tcW w:w="1836" w:type="dxa"/>
          </w:tcPr>
          <w:p w14:paraId="0A52ECA9" w14:textId="77777777" w:rsidR="00647063" w:rsidRDefault="00000000">
            <w:pPr>
              <w:spacing w:before="20" w:after="20"/>
              <w:rPr>
                <w:sz w:val="18"/>
                <w:szCs w:val="18"/>
              </w:rPr>
            </w:pPr>
            <w:r>
              <w:rPr>
                <w:sz w:val="18"/>
                <w:szCs w:val="18"/>
              </w:rPr>
              <w:t>3</w:t>
            </w:r>
          </w:p>
        </w:tc>
        <w:tc>
          <w:tcPr>
            <w:tcW w:w="1635" w:type="dxa"/>
          </w:tcPr>
          <w:p w14:paraId="2A4DD574" w14:textId="77777777" w:rsidR="00647063" w:rsidRDefault="00000000">
            <w:pPr>
              <w:spacing w:before="20" w:after="20"/>
              <w:rPr>
                <w:sz w:val="18"/>
                <w:szCs w:val="18"/>
              </w:rPr>
            </w:pPr>
            <w:r>
              <w:rPr>
                <w:sz w:val="18"/>
                <w:szCs w:val="18"/>
              </w:rPr>
              <w:t>3</w:t>
            </w:r>
          </w:p>
        </w:tc>
      </w:tr>
    </w:tbl>
    <w:p w14:paraId="6C8DF976" w14:textId="77777777" w:rsidR="00647063" w:rsidRDefault="00000000">
      <w:pPr>
        <w:pStyle w:val="Heading2"/>
      </w:pPr>
      <w:r>
        <w:t>Ground Truth and Evaluation Design</w:t>
      </w:r>
    </w:p>
    <w:p w14:paraId="1DA81ED4" w14:textId="77777777" w:rsidR="00647063" w:rsidRDefault="00000000">
      <w:pPr>
        <w:pStyle w:val="ListParagraph"/>
        <w:numPr>
          <w:ilvl w:val="0"/>
          <w:numId w:val="1"/>
        </w:numPr>
        <w:spacing w:before="40" w:after="40"/>
        <w:rPr>
          <w:sz w:val="22"/>
          <w:szCs w:val="22"/>
        </w:rPr>
      </w:pPr>
      <w:r>
        <w:rPr>
          <w:sz w:val="22"/>
          <w:szCs w:val="22"/>
        </w:rPr>
        <w:t>Answer schema: 124 binary, 12 percentage-band, 3 ordinal-magnitude, 2 count-band, 2 categorical (143 in total).</w:t>
      </w:r>
    </w:p>
    <w:p>
      <w:pPr>
        <w:spacing w:before="160" w:after="60"/>
        <w:rPr>
          <w:b/>
          <w:sz w:val="22"/>
          <w:szCs w:val="22"/>
        </w:rPr>
      </w:pPr>
      <w:r>
        <w:rPr>
          <w:b/>
          <w:sz w:val="22"/>
          <w:szCs w:val="22"/>
        </w:rPr>
        <w:t xml:space="preserve">Answer shapes across the 143 questions:</w:t>
      </w:r>
    </w:p>
    <w:tbl>
      <w:tblPr>
        <w:tblW w:w="102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108" w:type="dxa"/>
          <w:bottom w:w="40" w:type="dxa"/>
          <w:right w:w="108" w:type="dxa"/>
        </w:tblCellMar>
        <w:tblLook w:val="04A0" w:firstRow="1" w:lastRow="0" w:firstColumn="1" w:lastColumn="0" w:noHBand="0" w:noVBand="1"/>
      </w:tblPr>
      <w:tblGrid>
        <w:gridCol w:w="5100"/>
        <w:gridCol w:w="2550"/>
        <w:gridCol w:w="2550"/>
      </w:tblGrid>
      <w:tr>
        <w:trPr>
          <w:cantSplit/>
        </w:trPr>
        <w:tc>
          <w:tcPr>
            <w:tcW w:w="5100" w:type="dxa"/>
            <w:shd w:val="clear" w:color="auto" w:fill="1F3864"/>
            <w:vAlign w:val="center"/>
          </w:tcPr>
          <w:p>
            <w:pPr>
              <w:spacing w:before="20" w:after="20" w:line="240" w:lineRule="auto"/>
              <w:jc w:val="left"/>
              <w:rPr>
                <w:b/>
                <w:color w:val="FFFFFF"/>
                <w:sz w:val="20"/>
                <w:szCs w:val="20"/>
              </w:rPr>
            </w:pPr>
            <w:r>
              <w:rPr>
                <w:b/>
                <w:color w:val="FFFFFF"/>
                <w:sz w:val="20"/>
                <w:szCs w:val="20"/>
              </w:rPr>
              <w:t xml:space="preserve">Answer shape</w:t>
            </w:r>
          </w:p>
        </w:tc>
        <w:tc>
          <w:tcPr>
            <w:tcW w:w="2550" w:type="dxa"/>
            <w:shd w:val="clear" w:color="auto" w:fill="1F3864"/>
            <w:vAlign w:val="center"/>
          </w:tcPr>
          <w:p>
            <w:pPr>
              <w:spacing w:before="20" w:after="20" w:line="240" w:lineRule="auto"/>
              <w:jc w:val="center"/>
              <w:rPr>
                <w:b/>
                <w:color w:val="FFFFFF"/>
                <w:sz w:val="20"/>
                <w:szCs w:val="20"/>
              </w:rPr>
            </w:pPr>
            <w:r>
              <w:rPr>
                <w:b/>
                <w:color w:val="FFFFFF"/>
                <w:sz w:val="20"/>
                <w:szCs w:val="20"/>
              </w:rPr>
              <w:t xml:space="preserve">Count</w:t>
            </w:r>
          </w:p>
        </w:tc>
        <w:tc>
          <w:tcPr>
            <w:tcW w:w="2550" w:type="dxa"/>
            <w:shd w:val="clear" w:color="auto" w:fill="1F3864"/>
            <w:vAlign w:val="center"/>
          </w:tcPr>
          <w:p>
            <w:pPr>
              <w:spacing w:before="20" w:after="20" w:line="240" w:lineRule="auto"/>
              <w:jc w:val="center"/>
              <w:rPr>
                <w:b/>
                <w:color w:val="FFFFFF"/>
                <w:sz w:val="20"/>
                <w:szCs w:val="20"/>
              </w:rPr>
            </w:pPr>
            <w:r>
              <w:rPr>
                <w:b/>
                <w:color w:val="FFFFFF"/>
                <w:sz w:val="20"/>
                <w:szCs w:val="20"/>
              </w:rPr>
              <w:t xml:space="preserve">Share</w:t>
            </w:r>
          </w:p>
        </w:tc>
      </w:tr>
      <w:tr>
        <w:trPr>
          <w:cantSplit/>
        </w:trPr>
        <w:tc>
          <w:tcPr>
            <w:tcW w:w="5100" w:type="dxa"/>
            <w:vAlign w:val="center"/>
          </w:tcPr>
          <w:p>
            <w:pPr>
              <w:spacing w:before="20" w:after="20" w:line="240" w:lineRule="auto"/>
              <w:jc w:val="left"/>
              <w:rPr>
                <w:sz w:val="20"/>
                <w:szCs w:val="20"/>
              </w:rPr>
            </w:pPr>
            <w:r>
              <w:rPr>
                <w:sz w:val="20"/>
                <w:szCs w:val="20"/>
              </w:rPr>
              <w:t xml:space="preserve">Binary (yes / no)</w:t>
            </w:r>
          </w:p>
        </w:tc>
        <w:tc>
          <w:tcPr>
            <w:tcW w:w="2550" w:type="dxa"/>
            <w:vAlign w:val="center"/>
          </w:tcPr>
          <w:p>
            <w:pPr>
              <w:spacing w:before="20" w:after="20" w:line="240" w:lineRule="auto"/>
              <w:jc w:val="center"/>
              <w:rPr>
                <w:sz w:val="20"/>
                <w:szCs w:val="20"/>
              </w:rPr>
            </w:pPr>
            <w:r>
              <w:rPr>
                <w:sz w:val="20"/>
                <w:szCs w:val="20"/>
              </w:rPr>
              <w:t xml:space="preserve">124</w:t>
            </w:r>
          </w:p>
        </w:tc>
        <w:tc>
          <w:tcPr>
            <w:tcW w:w="2550" w:type="dxa"/>
            <w:vAlign w:val="center"/>
          </w:tcPr>
          <w:p>
            <w:pPr>
              <w:spacing w:before="20" w:after="20" w:line="240" w:lineRule="auto"/>
              <w:jc w:val="center"/>
              <w:rPr>
                <w:sz w:val="20"/>
                <w:szCs w:val="20"/>
              </w:rPr>
            </w:pPr>
            <w:r>
              <w:rPr>
                <w:sz w:val="20"/>
                <w:szCs w:val="20"/>
              </w:rPr>
              <w:t xml:space="preserve">87%</w:t>
            </w:r>
          </w:p>
        </w:tc>
      </w:tr>
      <w:tr>
        <w:trPr>
          <w:cantSplit/>
        </w:trPr>
        <w:tc>
          <w:tcPr>
            <w:tcW w:w="5100" w:type="dxa"/>
            <w:vAlign w:val="center"/>
          </w:tcPr>
          <w:p>
            <w:pPr>
              <w:spacing w:before="20" w:after="20" w:line="240" w:lineRule="auto"/>
              <w:jc w:val="left"/>
              <w:rPr>
                <w:sz w:val="20"/>
                <w:szCs w:val="20"/>
              </w:rPr>
            </w:pPr>
            <w:r>
              <w:rPr>
                <w:sz w:val="20"/>
                <w:szCs w:val="20"/>
              </w:rPr>
              <w:t xml:space="preserve">Percentage-band</w:t>
            </w:r>
          </w:p>
        </w:tc>
        <w:tc>
          <w:tcPr>
            <w:tcW w:w="2550" w:type="dxa"/>
            <w:vAlign w:val="center"/>
          </w:tcPr>
          <w:p>
            <w:pPr>
              <w:spacing w:before="20" w:after="20" w:line="240" w:lineRule="auto"/>
              <w:jc w:val="center"/>
              <w:rPr>
                <w:sz w:val="20"/>
                <w:szCs w:val="20"/>
              </w:rPr>
            </w:pPr>
            <w:r>
              <w:rPr>
                <w:sz w:val="20"/>
                <w:szCs w:val="20"/>
              </w:rPr>
              <w:t xml:space="preserve">12</w:t>
            </w:r>
          </w:p>
        </w:tc>
        <w:tc>
          <w:tcPr>
            <w:tcW w:w="2550" w:type="dxa"/>
            <w:vAlign w:val="center"/>
          </w:tcPr>
          <w:p>
            <w:pPr>
              <w:spacing w:before="20" w:after="20" w:line="240" w:lineRule="auto"/>
              <w:jc w:val="center"/>
              <w:rPr>
                <w:sz w:val="20"/>
                <w:szCs w:val="20"/>
              </w:rPr>
            </w:pPr>
            <w:r>
              <w:rPr>
                <w:sz w:val="20"/>
                <w:szCs w:val="20"/>
              </w:rPr>
              <w:t xml:space="preserve">8%</w:t>
            </w:r>
          </w:p>
        </w:tc>
      </w:tr>
      <w:tr>
        <w:trPr>
          <w:cantSplit/>
        </w:trPr>
        <w:tc>
          <w:tcPr>
            <w:tcW w:w="5100" w:type="dxa"/>
            <w:vAlign w:val="center"/>
          </w:tcPr>
          <w:p>
            <w:pPr>
              <w:spacing w:before="20" w:after="20" w:line="240" w:lineRule="auto"/>
              <w:jc w:val="left"/>
              <w:rPr>
                <w:sz w:val="20"/>
                <w:szCs w:val="20"/>
              </w:rPr>
            </w:pPr>
            <w:r>
              <w:rPr>
                <w:sz w:val="20"/>
                <w:szCs w:val="20"/>
              </w:rPr>
              <w:t xml:space="preserve">Ordinal-magnitude</w:t>
            </w:r>
          </w:p>
        </w:tc>
        <w:tc>
          <w:tcPr>
            <w:tcW w:w="2550" w:type="dxa"/>
            <w:vAlign w:val="center"/>
          </w:tcPr>
          <w:p>
            <w:pPr>
              <w:spacing w:before="20" w:after="20" w:line="240" w:lineRule="auto"/>
              <w:jc w:val="center"/>
              <w:rPr>
                <w:sz w:val="20"/>
                <w:szCs w:val="20"/>
              </w:rPr>
            </w:pPr>
            <w:r>
              <w:rPr>
                <w:sz w:val="20"/>
                <w:szCs w:val="20"/>
              </w:rPr>
              <w:t xml:space="preserve">3</w:t>
            </w:r>
          </w:p>
        </w:tc>
        <w:tc>
          <w:tcPr>
            <w:tcW w:w="2550" w:type="dxa"/>
            <w:vAlign w:val="center"/>
          </w:tcPr>
          <w:p>
            <w:pPr>
              <w:spacing w:before="20" w:after="20" w:line="240" w:lineRule="auto"/>
              <w:jc w:val="center"/>
              <w:rPr>
                <w:sz w:val="20"/>
                <w:szCs w:val="20"/>
              </w:rPr>
            </w:pPr>
            <w:r>
              <w:rPr>
                <w:sz w:val="20"/>
                <w:szCs w:val="20"/>
              </w:rPr>
              <w:t xml:space="preserve">2%</w:t>
            </w:r>
          </w:p>
        </w:tc>
      </w:tr>
      <w:tr>
        <w:trPr>
          <w:cantSplit/>
        </w:trPr>
        <w:tc>
          <w:tcPr>
            <w:tcW w:w="5100" w:type="dxa"/>
            <w:vAlign w:val="center"/>
          </w:tcPr>
          <w:p>
            <w:pPr>
              <w:spacing w:before="20" w:after="20" w:line="240" w:lineRule="auto"/>
              <w:jc w:val="left"/>
              <w:rPr>
                <w:sz w:val="20"/>
                <w:szCs w:val="20"/>
              </w:rPr>
            </w:pPr>
            <w:r>
              <w:rPr>
                <w:sz w:val="20"/>
                <w:szCs w:val="20"/>
              </w:rPr>
              <w:t xml:space="preserve">Count-band</w:t>
            </w:r>
          </w:p>
        </w:tc>
        <w:tc>
          <w:tcPr>
            <w:tcW w:w="2550" w:type="dxa"/>
            <w:vAlign w:val="center"/>
          </w:tcPr>
          <w:p>
            <w:pPr>
              <w:spacing w:before="20" w:after="20" w:line="240" w:lineRule="auto"/>
              <w:jc w:val="center"/>
              <w:rPr>
                <w:sz w:val="20"/>
                <w:szCs w:val="20"/>
              </w:rPr>
            </w:pPr>
            <w:r>
              <w:rPr>
                <w:sz w:val="20"/>
                <w:szCs w:val="20"/>
              </w:rPr>
              <w:t xml:space="preserve">2</w:t>
            </w:r>
          </w:p>
        </w:tc>
        <w:tc>
          <w:tcPr>
            <w:tcW w:w="2550" w:type="dxa"/>
            <w:vAlign w:val="center"/>
          </w:tcPr>
          <w:p>
            <w:pPr>
              <w:spacing w:before="20" w:after="20" w:line="240" w:lineRule="auto"/>
              <w:jc w:val="center"/>
              <w:rPr>
                <w:sz w:val="20"/>
                <w:szCs w:val="20"/>
              </w:rPr>
            </w:pPr>
            <w:r>
              <w:rPr>
                <w:sz w:val="20"/>
                <w:szCs w:val="20"/>
              </w:rPr>
              <w:t xml:space="preserve">1%</w:t>
            </w:r>
          </w:p>
        </w:tc>
      </w:tr>
      <w:tr>
        <w:trPr>
          <w:cantSplit/>
        </w:trPr>
        <w:tc>
          <w:tcPr>
            <w:tcW w:w="5100" w:type="dxa"/>
            <w:vAlign w:val="center"/>
          </w:tcPr>
          <w:p>
            <w:pPr>
              <w:spacing w:before="20" w:after="20" w:line="240" w:lineRule="auto"/>
              <w:jc w:val="left"/>
              <w:rPr>
                <w:sz w:val="20"/>
                <w:szCs w:val="20"/>
              </w:rPr>
            </w:pPr>
            <w:r>
              <w:rPr>
                <w:sz w:val="20"/>
                <w:szCs w:val="20"/>
              </w:rPr>
              <w:t xml:space="preserve">Categorical</w:t>
            </w:r>
          </w:p>
        </w:tc>
        <w:tc>
          <w:tcPr>
            <w:tcW w:w="2550" w:type="dxa"/>
            <w:vAlign w:val="center"/>
          </w:tcPr>
          <w:p>
            <w:pPr>
              <w:spacing w:before="20" w:after="20" w:line="240" w:lineRule="auto"/>
              <w:jc w:val="center"/>
              <w:rPr>
                <w:sz w:val="20"/>
                <w:szCs w:val="20"/>
              </w:rPr>
            </w:pPr>
            <w:r>
              <w:rPr>
                <w:sz w:val="20"/>
                <w:szCs w:val="20"/>
              </w:rPr>
              <w:t xml:space="preserve">2</w:t>
            </w:r>
          </w:p>
        </w:tc>
        <w:tc>
          <w:tcPr>
            <w:tcW w:w="2550" w:type="dxa"/>
            <w:vAlign w:val="center"/>
          </w:tcPr>
          <w:p>
            <w:pPr>
              <w:spacing w:before="20" w:after="20" w:line="240" w:lineRule="auto"/>
              <w:jc w:val="center"/>
              <w:rPr>
                <w:sz w:val="20"/>
                <w:szCs w:val="20"/>
              </w:rPr>
            </w:pPr>
            <w:r>
              <w:rPr>
                <w:sz w:val="20"/>
                <w:szCs w:val="20"/>
              </w:rPr>
              <w:t xml:space="preserve">1%</w:t>
            </w:r>
          </w:p>
        </w:tc>
      </w:tr>
      <w:tr>
        <w:trPr>
          <w:cantSplit/>
        </w:trPr>
        <w:tc>
          <w:tcPr>
            <w:tcW w:w="5100" w:type="dxa"/>
            <w:shd w:val="clear" w:color="auto" w:fill="DCE3F0"/>
            <w:vAlign w:val="center"/>
          </w:tcPr>
          <w:p>
            <w:pPr>
              <w:spacing w:before="20" w:after="20" w:line="240" w:lineRule="auto"/>
              <w:jc w:val="left"/>
              <w:rPr>
                <w:b/>
                <w:sz w:val="20"/>
                <w:szCs w:val="20"/>
              </w:rPr>
            </w:pPr>
            <w:r>
              <w:rPr>
                <w:b/>
                <w:sz w:val="20"/>
                <w:szCs w:val="20"/>
              </w:rPr>
              <w:t xml:space="preserve">Total</w:t>
            </w:r>
          </w:p>
        </w:tc>
        <w:tc>
          <w:tcPr>
            <w:tcW w:w="2550" w:type="dxa"/>
            <w:shd w:val="clear" w:color="auto" w:fill="DCE3F0"/>
            <w:vAlign w:val="center"/>
          </w:tcPr>
          <w:p>
            <w:pPr>
              <w:spacing w:before="20" w:after="20" w:line="240" w:lineRule="auto"/>
              <w:jc w:val="center"/>
              <w:rPr>
                <w:b/>
                <w:sz w:val="20"/>
                <w:szCs w:val="20"/>
              </w:rPr>
            </w:pPr>
            <w:r>
              <w:rPr>
                <w:b/>
                <w:sz w:val="20"/>
                <w:szCs w:val="20"/>
              </w:rPr>
              <w:t xml:space="preserve">143</w:t>
            </w:r>
          </w:p>
        </w:tc>
        <w:tc>
          <w:tcPr>
            <w:tcW w:w="2550" w:type="dxa"/>
            <w:shd w:val="clear" w:color="auto" w:fill="DCE3F0"/>
            <w:vAlign w:val="center"/>
          </w:tcPr>
          <w:p>
            <w:pPr>
              <w:spacing w:before="20" w:after="20" w:line="240" w:lineRule="auto"/>
              <w:jc w:val="center"/>
              <w:rPr>
                <w:b/>
                <w:sz w:val="20"/>
                <w:szCs w:val="20"/>
              </w:rPr>
            </w:pPr>
            <w:r>
              <w:rPr>
                <w:b/>
                <w:sz w:val="20"/>
                <w:szCs w:val="20"/>
              </w:rPr>
              <w:t xml:space="preserve">100%</w:t>
            </w:r>
          </w:p>
        </w:tc>
      </w:tr>
    </w:tbl>
    <w:p>
      <w:pPr>
        <w:spacing w:before="0" w:after="120"/>
        <w:rPr>
          <w:sz w:val="22"/>
          <w:szCs w:val="22"/>
        </w:rPr>
      </w:pPr>
    </w:p>
    <w:p w14:paraId="55B36156" w14:textId="77777777" w:rsidR="00647063" w:rsidRDefault="00000000">
      <w:pPr>
        <w:pStyle w:val="ListParagraph"/>
        <w:numPr>
          <w:ilvl w:val="0"/>
          <w:numId w:val="1"/>
        </w:numPr>
        <w:spacing w:before="40" w:after="40"/>
        <w:rPr>
          <w:sz w:val="22"/>
          <w:szCs w:val="22"/>
        </w:rPr>
      </w:pPr>
      <w:r>
        <w:rPr>
          <w:sz w:val="22"/>
          <w:szCs w:val="22"/>
        </w:rPr>
        <w:t>Ground truth is ODMI's published 2025 answers (the merged_responses sheet), 5,148 (question, country) pairs, that is 36 countries by 143 questions. The 2024 cycle is held back as an external-validity test (D13, D22).</w:t>
      </w:r>
    </w:p>
    <w:p w14:paraId="5DAA1488" w14:textId="77777777" w:rsidR="00647063" w:rsidRDefault="00000000">
      <w:pPr>
        <w:pStyle w:val="ListParagraph"/>
        <w:numPr>
          <w:ilvl w:val="0"/>
          <w:numId w:val="1"/>
        </w:numPr>
        <w:spacing w:before="40" w:after="40"/>
        <w:rPr>
          <w:sz w:val="22"/>
          <w:szCs w:val="22"/>
        </w:rPr>
      </w:pPr>
      <w:r>
        <w:rPr>
          <w:sz w:val="22"/>
          <w:szCs w:val="22"/>
        </w:rPr>
        <w:t>Base-rate finding that sets the design: a country's ODMI score is almost exactly its share of 'yes' answers (Pearson r = 0.98 across 36 countries). Guessing 'yes' everywhere therefore reproduces the ODMI score, so maturity and class balance are one axis, not two. France is kept only as a labelled degenerate-baseline contrast, to show why raw accuracy is the wrong metric.</w:t>
      </w:r>
    </w:p>
    <w:p w14:paraId="60E27BA6" w14:textId="77777777" w:rsidR="00647063" w:rsidRDefault="00000000">
      <w:pPr>
        <w:pStyle w:val="ListParagraph"/>
        <w:numPr>
          <w:ilvl w:val="0"/>
          <w:numId w:val="1"/>
        </w:numPr>
        <w:spacing w:before="40" w:after="40"/>
        <w:rPr>
          <w:sz w:val="22"/>
          <w:szCs w:val="22"/>
        </w:rPr>
      </w:pPr>
      <w:r>
        <w:rPr>
          <w:sz w:val="22"/>
          <w:szCs w:val="22"/>
        </w:rPr>
        <w:t>Development set, for tuning only: Netherlands, Malta, Norway, France, Albania.</w:t>
      </w:r>
    </w:p>
    <w:p w14:paraId="6BAE6BC4" w14:textId="77777777" w:rsidR="00647063" w:rsidRDefault="00000000">
      <w:pPr>
        <w:pStyle w:val="ListParagraph"/>
        <w:numPr>
          <w:ilvl w:val="0"/>
          <w:numId w:val="1"/>
        </w:numPr>
        <w:spacing w:before="40" w:after="40"/>
        <w:rPr>
          <w:sz w:val="22"/>
          <w:szCs w:val="22"/>
        </w:rPr>
      </w:pPr>
      <w:r>
        <w:rPr>
          <w:sz w:val="22"/>
          <w:szCs w:val="22"/>
        </w:rPr>
        <w:t>Held-out set, frozen and read once from a commit-locked pipeline (D47, replacing the earlier maturity-by-language matrix): stratum A, negative-rich and lower-resource (Bosnia and Herzegovina, North Macedonia, Montenegro, Bulgaria); stratum B, higher-resource (Finland, Croatia, Sweden, Belgium). About 1,144 pairs and about 368 binary negative golds.</w:t>
      </w:r>
    </w:p>
    <w:p>
      <w:pPr>
        <w:spacing w:before="160" w:after="60"/>
        <w:rPr>
          <w:b/>
          <w:sz w:val="22"/>
          <w:szCs w:val="22"/>
        </w:rPr>
      </w:pPr>
      <w:r>
        <w:rPr>
          <w:b/>
          <w:sz w:val="22"/>
          <w:szCs w:val="22"/>
        </w:rPr>
        <w:t xml:space="preserve">Evaluation country sets (D47); about 1,144 held-out pairs, about 368 binary negative golds:</w:t>
      </w:r>
    </w:p>
    <w:tbl>
      <w:tblPr>
        <w:tblW w:w="102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108" w:type="dxa"/>
          <w:bottom w:w="40" w:type="dxa"/>
          <w:right w:w="108" w:type="dxa"/>
        </w:tblCellMar>
        <w:tblLook w:val="04A0" w:firstRow="1" w:lastRow="0" w:firstColumn="1" w:lastColumn="0" w:noHBand="0" w:noVBand="1"/>
      </w:tblPr>
      <w:tblGrid>
        <w:gridCol w:w="2900"/>
        <w:gridCol w:w="4900"/>
        <w:gridCol w:w="2400"/>
      </w:tblGrid>
      <w:tr>
        <w:trPr>
          <w:cantSplit/>
        </w:trPr>
        <w:tc>
          <w:tcPr>
            <w:tcW w:w="2900" w:type="dxa"/>
            <w:shd w:val="clear" w:color="auto" w:fill="1F3864"/>
            <w:vAlign w:val="center"/>
          </w:tcPr>
          <w:p>
            <w:pPr>
              <w:spacing w:before="20" w:after="20" w:line="240" w:lineRule="auto"/>
              <w:jc w:val="left"/>
              <w:rPr>
                <w:b/>
                <w:color w:val="FFFFFF"/>
                <w:sz w:val="20"/>
                <w:szCs w:val="20"/>
              </w:rPr>
            </w:pPr>
            <w:r>
              <w:rPr>
                <w:b/>
                <w:color w:val="FFFFFF"/>
                <w:sz w:val="20"/>
                <w:szCs w:val="20"/>
              </w:rPr>
              <w:t xml:space="preserve">Set</w:t>
            </w:r>
          </w:p>
        </w:tc>
        <w:tc>
          <w:tcPr>
            <w:tcW w:w="4900" w:type="dxa"/>
            <w:shd w:val="clear" w:color="auto" w:fill="1F3864"/>
            <w:vAlign w:val="center"/>
          </w:tcPr>
          <w:p>
            <w:pPr>
              <w:spacing w:before="20" w:after="20" w:line="240" w:lineRule="auto"/>
              <w:jc w:val="left"/>
              <w:rPr>
                <w:b/>
                <w:color w:val="FFFFFF"/>
                <w:sz w:val="20"/>
                <w:szCs w:val="20"/>
              </w:rPr>
            </w:pPr>
            <w:r>
              <w:rPr>
                <w:b/>
                <w:color w:val="FFFFFF"/>
                <w:sz w:val="20"/>
                <w:szCs w:val="20"/>
              </w:rPr>
              <w:t xml:space="preserve">Countries</w:t>
            </w:r>
          </w:p>
        </w:tc>
        <w:tc>
          <w:tcPr>
            <w:tcW w:w="2400" w:type="dxa"/>
            <w:shd w:val="clear" w:color="auto" w:fill="1F3864"/>
            <w:vAlign w:val="center"/>
          </w:tcPr>
          <w:p>
            <w:pPr>
              <w:spacing w:before="20" w:after="20" w:line="240" w:lineRule="auto"/>
              <w:jc w:val="left"/>
              <w:rPr>
                <w:b/>
                <w:color w:val="FFFFFF"/>
                <w:sz w:val="20"/>
                <w:szCs w:val="20"/>
              </w:rPr>
            </w:pPr>
            <w:r>
              <w:rPr>
                <w:b/>
                <w:color w:val="FFFFFF"/>
                <w:sz w:val="20"/>
                <w:szCs w:val="20"/>
              </w:rPr>
              <w:t xml:space="preserve">Purpose</w:t>
            </w:r>
          </w:p>
        </w:tc>
      </w:tr>
      <w:tr>
        <w:trPr>
          <w:cantSplit/>
        </w:trPr>
        <w:tc>
          <w:tcPr>
            <w:tcW w:w="2900" w:type="dxa"/>
            <w:vAlign w:val="center"/>
          </w:tcPr>
          <w:p>
            <w:pPr>
              <w:spacing w:before="20" w:after="20" w:line="240" w:lineRule="auto"/>
              <w:jc w:val="left"/>
              <w:rPr>
                <w:sz w:val="20"/>
                <w:szCs w:val="20"/>
              </w:rPr>
            </w:pPr>
            <w:r>
              <w:rPr>
                <w:sz w:val="20"/>
                <w:szCs w:val="20"/>
              </w:rPr>
              <w:t xml:space="preserve">Development (in-sample)</w:t>
            </w:r>
          </w:p>
        </w:tc>
        <w:tc>
          <w:tcPr>
            <w:tcW w:w="4900" w:type="dxa"/>
            <w:vAlign w:val="center"/>
          </w:tcPr>
          <w:p>
            <w:pPr>
              <w:spacing w:before="20" w:after="20" w:line="240" w:lineRule="auto"/>
              <w:jc w:val="left"/>
              <w:rPr>
                <w:sz w:val="20"/>
                <w:szCs w:val="20"/>
              </w:rPr>
            </w:pPr>
            <w:r>
              <w:rPr>
                <w:sz w:val="20"/>
                <w:szCs w:val="20"/>
              </w:rPr>
              <w:t xml:space="preserve">Netherlands, Malta, Norway, France, Albania</w:t>
            </w:r>
          </w:p>
        </w:tc>
        <w:tc>
          <w:tcPr>
            <w:tcW w:w="2400" w:type="dxa"/>
            <w:vAlign w:val="center"/>
          </w:tcPr>
          <w:p>
            <w:pPr>
              <w:spacing w:before="20" w:after="20" w:line="240" w:lineRule="auto"/>
              <w:jc w:val="left"/>
              <w:rPr>
                <w:sz w:val="20"/>
                <w:szCs w:val="20"/>
              </w:rPr>
            </w:pPr>
            <w:r>
              <w:rPr>
                <w:sz w:val="20"/>
                <w:szCs w:val="20"/>
              </w:rPr>
              <w:t xml:space="preserve">Tuning and ablations</w:t>
            </w:r>
          </w:p>
        </w:tc>
      </w:tr>
      <w:tr>
        <w:trPr>
          <w:cantSplit/>
        </w:trPr>
        <w:tc>
          <w:tcPr>
            <w:tcW w:w="2900" w:type="dxa"/>
            <w:vAlign w:val="center"/>
          </w:tcPr>
          <w:p>
            <w:pPr>
              <w:spacing w:before="20" w:after="20" w:line="240" w:lineRule="auto"/>
              <w:jc w:val="left"/>
              <w:rPr>
                <w:sz w:val="20"/>
                <w:szCs w:val="20"/>
              </w:rPr>
            </w:pPr>
            <w:r>
              <w:rPr>
                <w:sz w:val="20"/>
                <w:szCs w:val="20"/>
              </w:rPr>
              <w:t xml:space="preserve">Held-out A (negative-rich, lower-resource)</w:t>
            </w:r>
          </w:p>
        </w:tc>
        <w:tc>
          <w:tcPr>
            <w:tcW w:w="4900" w:type="dxa"/>
            <w:vAlign w:val="center"/>
          </w:tcPr>
          <w:p>
            <w:pPr>
              <w:spacing w:before="20" w:after="20" w:line="240" w:lineRule="auto"/>
              <w:jc w:val="left"/>
              <w:rPr>
                <w:sz w:val="20"/>
                <w:szCs w:val="20"/>
              </w:rPr>
            </w:pPr>
            <w:r>
              <w:rPr>
                <w:sz w:val="20"/>
                <w:szCs w:val="20"/>
              </w:rPr>
              <w:t xml:space="preserve">Bosnia and Herzegovina, North Macedonia, Montenegro, Bulgaria</w:t>
            </w:r>
          </w:p>
        </w:tc>
        <w:tc>
          <w:tcPr>
            <w:tcW w:w="2400" w:type="dxa"/>
            <w:vAlign w:val="center"/>
          </w:tcPr>
          <w:p>
            <w:pPr>
              <w:spacing w:before="20" w:after="20" w:line="240" w:lineRule="auto"/>
              <w:jc w:val="left"/>
              <w:rPr>
                <w:sz w:val="20"/>
                <w:szCs w:val="20"/>
              </w:rPr>
            </w:pPr>
            <w:r>
              <w:rPr>
                <w:sz w:val="20"/>
                <w:szCs w:val="20"/>
              </w:rPr>
              <w:t xml:space="preserve">Frozen, read once</w:t>
            </w:r>
          </w:p>
        </w:tc>
      </w:tr>
      <w:tr>
        <w:trPr>
          <w:cantSplit/>
        </w:trPr>
        <w:tc>
          <w:tcPr>
            <w:tcW w:w="2900" w:type="dxa"/>
            <w:vAlign w:val="center"/>
          </w:tcPr>
          <w:p>
            <w:pPr>
              <w:spacing w:before="20" w:after="20" w:line="240" w:lineRule="auto"/>
              <w:jc w:val="left"/>
              <w:rPr>
                <w:sz w:val="20"/>
                <w:szCs w:val="20"/>
              </w:rPr>
            </w:pPr>
            <w:r>
              <w:rPr>
                <w:sz w:val="20"/>
                <w:szCs w:val="20"/>
              </w:rPr>
              <w:t xml:space="preserve">Held-out B (higher-resource)</w:t>
            </w:r>
          </w:p>
        </w:tc>
        <w:tc>
          <w:tcPr>
            <w:tcW w:w="4900" w:type="dxa"/>
            <w:vAlign w:val="center"/>
          </w:tcPr>
          <w:p>
            <w:pPr>
              <w:spacing w:before="20" w:after="20" w:line="240" w:lineRule="auto"/>
              <w:jc w:val="left"/>
              <w:rPr>
                <w:sz w:val="20"/>
                <w:szCs w:val="20"/>
              </w:rPr>
            </w:pPr>
            <w:r>
              <w:rPr>
                <w:sz w:val="20"/>
                <w:szCs w:val="20"/>
              </w:rPr>
              <w:t xml:space="preserve">Finland, Croatia, Sweden, Belgium</w:t>
            </w:r>
          </w:p>
        </w:tc>
        <w:tc>
          <w:tcPr>
            <w:tcW w:w="2400" w:type="dxa"/>
            <w:vAlign w:val="center"/>
          </w:tcPr>
          <w:p>
            <w:pPr>
              <w:spacing w:before="20" w:after="20" w:line="240" w:lineRule="auto"/>
              <w:jc w:val="left"/>
              <w:rPr>
                <w:sz w:val="20"/>
                <w:szCs w:val="20"/>
              </w:rPr>
            </w:pPr>
            <w:r>
              <w:rPr>
                <w:sz w:val="20"/>
                <w:szCs w:val="20"/>
              </w:rPr>
              <w:t xml:space="preserve">Frozen, read once</w:t>
            </w:r>
          </w:p>
        </w:tc>
      </w:tr>
    </w:tbl>
    <w:p>
      <w:pPr>
        <w:spacing w:before="0" w:after="120"/>
        <w:rPr>
          <w:sz w:val="22"/>
          <w:szCs w:val="22"/>
        </w:rPr>
      </w:pPr>
    </w:p>
    <w:p w14:paraId="1D691D97" w14:textId="77777777" w:rsidR="00647063" w:rsidRDefault="00000000">
      <w:pPr>
        <w:pStyle w:val="ListParagraph"/>
        <w:numPr>
          <w:ilvl w:val="0"/>
          <w:numId w:val="1"/>
        </w:numPr>
        <w:spacing w:before="40" w:after="40"/>
        <w:rPr>
          <w:sz w:val="22"/>
          <w:szCs w:val="22"/>
        </w:rPr>
      </w:pPr>
      <w:r>
        <w:rPr>
          <w:sz w:val="22"/>
          <w:szCs w:val="22"/>
        </w:rPr>
        <w:t>Reporting is balance-aware, not a single accuracy number: per-class true-positive and true-negative rates, balanced accuracy and Youden's J against the majority-class baseline, plus a three-outcome view of commit accuracy, coverage, and the false-positive rate among commits as the confidence floor moves. Results are stratified by ODMI dimension and answer shape.</w:t>
      </w:r>
    </w:p>
    <w:p w14:paraId="64A0E62C" w14:textId="77777777" w:rsidR="00647063" w:rsidRDefault="00000000">
      <w:pPr>
        <w:pStyle w:val="ListParagraph"/>
        <w:numPr>
          <w:ilvl w:val="0"/>
          <w:numId w:val="1"/>
        </w:numPr>
        <w:spacing w:before="40" w:after="40"/>
        <w:rPr>
          <w:sz w:val="22"/>
          <w:szCs w:val="22"/>
        </w:rPr>
      </w:pPr>
      <w:r>
        <w:rPr>
          <w:sz w:val="22"/>
          <w:szCs w:val="22"/>
        </w:rPr>
        <w:t>ODMI is itself a self-report questionnaire and its published answers can be a cycle old, so a swarm-versus-ODMI disagreement is not automatically a swarm error. Each gold carries an assessor decision (confirm, complement, or change); accuracy tracks how web-verifiable the gold is, about 92% where the assessor added external evidence and about 77% where ODMI accepted the country's own word. Many apparent false positives are this measurement mismatch, not a hallucination. (This split is preliminary: the decision categories are inferred from the dataset and need confirming against the ODMI methodology.)</w:t>
      </w:r>
      <w:commentRangeStart w:id="23"/>
      <w:commentRangeEnd w:id="23"/>
      <w:r>
        <w:rPr>
          <w:rStyle w:val="CommentReference"/>
        </w:rPr>
        <w:commentReference w:id="23"/>
      </w:r>
    </w:p>
    <w:p w14:paraId="5E6CE1A0" w14:textId="77777777" w:rsidR="00AF5941" w:rsidRDefault="00AF5941" w:rsidP="00AF5941">
      <w:pPr>
        <w:spacing w:before="40" w:after="40"/>
        <w:rPr>
          <w:sz w:val="22"/>
          <w:szCs w:val="22"/>
        </w:rPr>
      </w:pPr>
    </w:p>
    <w:p w14:paraId="7BE98D3D" w14:textId="57427F37" w:rsidR="00AF5941" w:rsidRDefault="00AF5941" w:rsidP="00AF5941">
      <w:pPr>
        <w:spacing w:before="40" w:after="40"/>
        <w:rPr>
          <w:sz w:val="22"/>
          <w:szCs w:val="22"/>
        </w:rPr>
      </w:pPr>
      <w:r>
        <w:rPr>
          <w:sz w:val="22"/>
          <w:szCs w:val="22"/>
        </w:rPr>
        <w:lastRenderedPageBreak/>
        <w:t xml:space="preserve">The ground truth for this project is by no means perfect: for accuracy we evaluate against the ODMI’s published 2025 answers. A country’s open data policy is something that is being constantly evolved, even many self-reported answers state they are currently working on improvement, furthermore the entire report is self-reported, with Capgemini either confirming, complementing or contradicting each country’s answers – but not always requiring or stating evidence. As we found in the deterministic section, some countries’ answers don’t agree with the current state of their portals, and some questions ask about internal practices, “Do you run analytics on API usage?”, and can answer “yes” without providing evidence. This means that match rate to the 2025 answers is a proxy for success, so analysis of where the system fails, and why, is more important than a simple accuracy percentage. </w:t>
      </w:r>
    </w:p>
    <w:p w14:paraId="6752C587" w14:textId="77777777" w:rsidR="00AF5941" w:rsidRDefault="00AF5941" w:rsidP="00AF5941">
      <w:pPr>
        <w:spacing w:before="40" w:after="40"/>
        <w:rPr>
          <w:sz w:val="22"/>
          <w:szCs w:val="22"/>
        </w:rPr>
      </w:pPr>
    </w:p>
    <w:p w14:paraId="7247583F" w14:textId="69F1E2F0" w:rsidR="00AF5941" w:rsidRDefault="00AF5941" w:rsidP="00AF5941">
      <w:pPr>
        <w:spacing w:before="40" w:after="40"/>
        <w:rPr>
          <w:sz w:val="22"/>
          <w:szCs w:val="22"/>
        </w:rPr>
      </w:pPr>
      <w:r>
        <w:rPr>
          <w:sz w:val="22"/>
          <w:szCs w:val="22"/>
        </w:rPr>
        <w:t xml:space="preserve">For these reasons, reporting on accuracy is balance-aware: per-class true-positive and true-negative rates, balanced accuracy and Youden's J against the majority-class baseline, plus a three-outcome view of commit accuracy, coverage, and the false-positive rate among commits. Results are stratified by ODMI dimension and answer shape. </w:t>
      </w:r>
    </w:p>
    <w:p w14:paraId="3D94F9CB" w14:textId="77777777" w:rsidR="00AF5941" w:rsidRDefault="00AF5941" w:rsidP="00AF5941">
      <w:pPr>
        <w:spacing w:before="40" w:after="40"/>
        <w:rPr>
          <w:sz w:val="22"/>
          <w:szCs w:val="22"/>
        </w:rPr>
      </w:pPr>
    </w:p>
    <w:p w14:paraId="3A8C1935" w14:textId="0ACF1694" w:rsidR="00EC2011" w:rsidRDefault="00C97669" w:rsidP="00AF5941">
      <w:pPr>
        <w:spacing w:before="40" w:after="40"/>
        <w:rPr>
          <w:sz w:val="22"/>
          <w:szCs w:val="22"/>
        </w:rPr>
      </w:pPr>
      <w:r>
        <w:rPr>
          <w:sz w:val="22"/>
          <w:szCs w:val="22"/>
        </w:rPr>
        <w:t>The system is being tuned on a development set of countries which all hold different qualities; maturity, web-presence, language speaker population and more. These countries are guiding the development of the model, showing the pain points and common hurdles, various technical obstacles and giving a testing ground for controlled experiments. Eight stratified countries ranging the ODMI scoreboard have been held out for final evaluation on a final, frozen configuration of the model. These countries will be evaluated by balance-aware metrics and a three-outcome view (match, false positive and abstain), stratified by ODMI dimension, answer shape and Capgemini decision. Disagreements will be triaged through the failure-mode taxonomy before being counted as swarm error in case divergences are fair and evidenced and abstentions will be analysed too.</w:t>
      </w:r>
    </w:p>
    <w:p w14:paraId="22A4A5C3" w14:textId="77777777" w:rsidR="00CB1A27" w:rsidRDefault="00CB1A27" w:rsidP="00AF5941">
      <w:pPr>
        <w:spacing w:before="40" w:after="40"/>
        <w:rPr>
          <w:sz w:val="22"/>
          <w:szCs w:val="22"/>
        </w:rPr>
      </w:pPr>
    </w:p>
    <w:p w14:paraId="0F3B750C" w14:textId="1912910F" w:rsidR="00CB1A27" w:rsidRPr="00AF5941" w:rsidRDefault="00CB1A27" w:rsidP="00AF5941">
      <w:pPr>
        <w:spacing w:before="40" w:after="40"/>
        <w:rPr>
          <w:sz w:val="22"/>
          <w:szCs w:val="22"/>
        </w:rPr>
      </w:pPr>
      <w:r>
        <w:rPr>
          <w:sz w:val="22"/>
          <w:szCs w:val="22"/>
        </w:rPr>
        <w:t>At the heart of the evaluation lies a crucial point: high maturity countries have a higher proportion of questions answered ‘yes’, so if the system has an unchallenged optimism bias and simply says yes to each question, it will score highly against these countries. As such, low maturity countries provide a fairer testing ground for false positive rates, but intrinsic to being a low maturity country is not meeting many of the regulations and requirements for good open data portals. Issues that come alongside being low maturity, such as thin web presence or hard to navigate portals, are the very thing that increase the abstention rate. Countries are more likely to not mention whether their portal has a public API, for example, than post it somewhere online for our system to retrieve. Finding a ‘no’ answer will be more difficult than abstaining, and as such we should expect lower maturity countries to have increased abstention rates.</w:t>
      </w:r>
    </w:p>
    <w:p w14:paraId="5B300D5C" w14:textId="4F8B9EE2" w:rsidR="00391D9A" w:rsidRDefault="00000000" w:rsidP="00AF5941">
      <w:pPr>
        <w:pStyle w:val="Heading2"/>
      </w:pPr>
      <w:r>
        <w:t>Data-Leakage Controls</w:t>
      </w:r>
    </w:p>
    <w:p w14:paraId="36868537" w14:textId="77777777" w:rsidR="00E920EA" w:rsidRPr="00E920EA" w:rsidRDefault="00E920EA" w:rsidP="00E920EA">
      <w:pPr>
        <w:spacing w:before="40" w:after="40"/>
        <w:rPr>
          <w:sz w:val="22"/>
          <w:szCs w:val="22"/>
        </w:rPr>
      </w:pPr>
    </w:p>
    <w:p w14:paraId="65D46389" w14:textId="39C7A229" w:rsidR="00990C72" w:rsidRPr="007B459D" w:rsidRDefault="00990C72" w:rsidP="00990C72">
      <w:pPr>
        <w:spacing w:before="40" w:after="40"/>
        <w:rPr>
          <w:sz w:val="22"/>
          <w:szCs w:val="22"/>
        </w:rPr>
      </w:pPr>
      <w:r>
        <w:rPr>
          <w:sz w:val="22"/>
          <w:szCs w:val="22"/>
        </w:rPr>
        <w:t>Accuracy of the swarm is scored against the ODMI’s published answers which live on data.europa.eu, so any page hosting these answers leak the target the system is supposed to predict. To avoid this there are 5 levels of data leakage security, all enforcing a deny-list covering 12 domains and 7 path fragments. The list contains the ODMI publishing domains (</w:t>
      </w:r>
      <w:r>
        <w:rPr>
          <w:rFonts w:eastAsia="Courier New"/>
          <w:color w:val="2A2A2A"/>
          <w:sz w:val="22"/>
          <w:szCs w:val="22"/>
          <w:shd w:val="clear" w:color="auto" w:fill="EFEFEF"/>
        </w:rPr>
        <w:t>data.europa.eu</w:t>
      </w:r>
      <w:r>
        <w:rPr>
          <w:sz w:val="22"/>
          <w:szCs w:val="22"/>
        </w:rPr>
        <w:t xml:space="preserve">, </w:t>
      </w:r>
      <w:r>
        <w:rPr>
          <w:rFonts w:eastAsia="Courier New"/>
          <w:color w:val="2A2A2A"/>
          <w:sz w:val="22"/>
          <w:szCs w:val="22"/>
          <w:shd w:val="clear" w:color="auto" w:fill="EFEFEF"/>
        </w:rPr>
        <w:t>publications.europa.eu</w:t>
      </w:r>
      <w:r>
        <w:rPr>
          <w:sz w:val="22"/>
          <w:szCs w:val="22"/>
        </w:rPr>
        <w:t xml:space="preserve">, </w:t>
      </w:r>
      <w:r>
        <w:rPr>
          <w:rFonts w:eastAsia="Courier New"/>
          <w:color w:val="2A2A2A"/>
          <w:sz w:val="22"/>
          <w:szCs w:val="22"/>
          <w:shd w:val="clear" w:color="auto" w:fill="EFEFEF"/>
        </w:rPr>
        <w:t>op.europa.eu</w:t>
      </w:r>
      <w:r>
        <w:rPr>
          <w:sz w:val="22"/>
          <w:szCs w:val="22"/>
        </w:rPr>
        <w:t xml:space="preserve">, </w:t>
      </w:r>
      <w:r>
        <w:rPr>
          <w:rFonts w:eastAsia="Courier New"/>
          <w:color w:val="2A2A2A"/>
          <w:sz w:val="22"/>
          <w:szCs w:val="22"/>
          <w:shd w:val="clear" w:color="auto" w:fill="EFEFEF"/>
        </w:rPr>
        <w:t>europeandataportal.eu</w:t>
      </w:r>
      <w:r>
        <w:rPr>
          <w:sz w:val="22"/>
          <w:szCs w:val="22"/>
        </w:rPr>
        <w:t>), the web archives and Google cache, and path fragments like (</w:t>
      </w:r>
      <w:r>
        <w:rPr>
          <w:rFonts w:eastAsia="Courier New"/>
          <w:color w:val="2A2A2A"/>
          <w:sz w:val="22"/>
          <w:szCs w:val="22"/>
          <w:shd w:val="clear" w:color="auto" w:fill="EFEFEF"/>
        </w:rPr>
        <w:t>/open-data-maturity</w:t>
      </w:r>
      <w:r>
        <w:rPr>
          <w:sz w:val="22"/>
          <w:szCs w:val="22"/>
        </w:rPr>
        <w:t>).  Search results are scrubbed before fetch, a fetch guard refuses deny-listed URLs, the source validator scores them zero, the agent prompts ban them, and a final audit scans every stored URL. The five layer design is deliberate, as each layer of the defence fails differently. a provider can ignore an exclude hint; a fetch can be triggered by a step the search layer never saw), and the layering also lets you report per-layer catch rates.</w:t>
      </w:r>
    </w:p>
    <w:p w14:paraId="6D3D3B66" w14:textId="1FFB58E9" w:rsidR="00E920EA" w:rsidRPr="00E920EA" w:rsidRDefault="00E920EA" w:rsidP="00E920EA">
      <w:pPr>
        <w:spacing w:before="40" w:after="40"/>
        <w:rPr>
          <w:sz w:val="22"/>
          <w:szCs w:val="22"/>
        </w:rPr>
      </w:pPr>
    </w:p>
    <w:p w14:paraId="24DB78E7" w14:textId="77777777" w:rsidR="00E920EA" w:rsidRDefault="00E920EA" w:rsidP="00E920EA">
      <w:pPr>
        <w:pStyle w:val="ListParagraph"/>
        <w:spacing w:before="40" w:after="40"/>
        <w:ind w:left="720"/>
        <w:rPr>
          <w:sz w:val="22"/>
          <w:szCs w:val="22"/>
        </w:rPr>
      </w:pPr>
    </w:p>
    <w:p w14:paraId="5BF979A2" w14:textId="03AB378A" w:rsidR="00647063" w:rsidRPr="00E920EA" w:rsidRDefault="00647063" w:rsidP="00E920EA">
      <w:pPr>
        <w:spacing w:before="40" w:after="40"/>
        <w:ind w:left="360"/>
        <w:rPr>
          <w:sz w:val="22"/>
          <w:szCs w:val="22"/>
        </w:rPr>
      </w:pPr>
    </w:p>
    <w:p w14:paraId="0CBC1FA9" w14:textId="77777777" w:rsidR="00647063" w:rsidRDefault="00000000">
      <w:pPr>
        <w:pStyle w:val="Heading2"/>
      </w:pPr>
      <w:r>
        <w:t>Experiments</w:t>
      </w:r>
    </w:p>
    <w:p w14:paraId="4CE8D162" w14:textId="103DA45B" w:rsidR="00E47371" w:rsidRDefault="00E47371">
      <w:pPr>
        <w:spacing w:before="200" w:after="100"/>
        <w:rPr>
          <w:sz w:val="22"/>
          <w:szCs w:val="22"/>
        </w:rPr>
      </w:pPr>
      <w:r>
        <w:rPr>
          <w:sz w:val="22"/>
          <w:szCs w:val="22"/>
        </w:rPr>
        <w:t xml:space="preserve">Each engineering decision in the model goes through rigorous testing before it can earn its keep. The system is being optimised for accuracy to the ground truth, which is an imperfect proxy for success, alongside token-cost. Each experiment runs through a strict pre-registration orchestrator, which enforces </w:t>
        <w:lastRenderedPageBreak/>
        <w:t>only one variable per arm, forces a cold cache on retrieval and cost arms, and denies use of held-out countries. Results are read balance-aware with Wilson intervals and paired tests.</w:t>
      </w:r>
      <w:commentRangeStart w:id="29"/>
      <w:commentRangeEnd w:id="29"/>
      <w:r>
        <w:rPr>
          <w:rStyle w:val="CommentReference"/>
        </w:rPr>
        <w:commentReference w:id="29"/>
      </w:r>
    </w:p>
    <w:p w14:paraId="7BB99263" w14:textId="4ED64912" w:rsidR="004B06A3" w:rsidRDefault="004B06A3">
      <w:pPr>
        <w:spacing w:before="200" w:after="100"/>
        <w:rPr>
          <w:sz w:val="22"/>
          <w:szCs w:val="22"/>
        </w:rPr>
      </w:pPr>
      <w:commentRangeStart w:id="15"/>
      <w:r>
        <w:rPr>
          <w:sz w:val="22"/>
          <w:szCs w:val="22"/>
        </w:rPr>
        <w:t xml:space="preserve">Engineering decisions: There has been a recurring result for experiments aiming to optimise or alter the fundamental architecture, tools, prompts and abilities that make up the system, and it’s that the incumbent design keeps winning, and the binding precision control is the 0.65 commit-confidence floor. Experiments have included prompt engineering, off-line vs in-loop verifier, </w:t>
      </w:r>
      <w:commentRangeEnd w:id="15"/>
      <w:r>
        <w:rPr>
          <w:rStyle w:val="CommentReference"/>
          <w:sz w:val="22"/>
          <w:szCs w:val="22"/>
        </w:rPr>
        <w:commentReference w:id="15"/>
      </w:r>
      <w:r>
        <w:rPr>
          <w:sz w:val="22"/>
          <w:szCs w:val="22"/>
        </w:rPr>
        <w:t>confidence floor sweeps, retry chaining and more detailed in the Completed Experiments Table [ref].</w:t>
      </w:r>
    </w:p>
    <w:p w14:paraId="281747C6" w14:textId="1C358981" w:rsidR="00647063" w:rsidRDefault="00000000">
      <w:pPr>
        <w:spacing w:before="200" w:after="100"/>
        <w:rPr>
          <w:sz w:val="22"/>
          <w:szCs w:val="22"/>
        </w:rPr>
      </w:pPr>
      <w:commentRangeStart w:id="16"/>
      <w:r>
        <w:rPr>
          <w:sz w:val="22"/>
          <w:szCs w:val="22"/>
        </w:rPr>
        <w:t>Optimisation runs in three families: cost-side (tokens per pair), verifier strategy, and system parameters (model, retrieval breadth, snippet handling, retry logic). Experiments run through a pre-registered orchestrator (D48) that enforces one changed knob per arm, forces a cold cache on retrieval and cost arms, and refuses to touch a held-out country before the config freeze. Results are read balance-aware with Wilson intervals and paired tests, and cost is recorded per pair.</w:t>
      </w:r>
      <w:commentRangeEnd w:id="16"/>
      <w:r>
        <w:rPr>
          <w:rStyle w:val="CommentReference"/>
          <w:sz w:val="22"/>
          <w:szCs w:val="22"/>
        </w:rPr>
        <w:commentReference w:id="16"/>
      </w:r>
    </w:p>
    <w:p w14:paraId="2029454F" w14:textId="77777777" w:rsidR="00647063" w:rsidRDefault="00000000">
      <w:pPr>
        <w:pStyle w:val="ListParagraph"/>
        <w:numPr>
          <w:ilvl w:val="0"/>
          <w:numId w:val="1"/>
        </w:numPr>
        <w:spacing w:before="40" w:after="40"/>
        <w:rPr>
          <w:sz w:val="22"/>
          <w:szCs w:val="22"/>
        </w:rPr>
      </w:pPr>
      <w:r>
        <w:rPr>
          <w:sz w:val="22"/>
          <w:szCs w:val="22"/>
        </w:rPr>
        <w:t>Recurring result across the verifier and adjudicator arms: the incumbent design keeps winning, and the binding precision control is the 0.65 commit-confidence floor, not the verifier verdict or the adjudicator's choice set. The remaining accuracy gains look retrieval-side, not reasoning-side.</w:t>
      </w:r>
    </w:p>
    <w:p w14:paraId="6A549B06" w14:textId="77777777" w:rsidR="00647063" w:rsidRDefault="00000000">
      <w:pPr>
        <w:pStyle w:val="ListParagraph"/>
        <w:numPr>
          <w:ilvl w:val="0"/>
          <w:numId w:val="1"/>
        </w:numPr>
        <w:spacing w:before="40" w:after="40"/>
        <w:rPr>
          <w:sz w:val="22"/>
          <w:szCs w:val="22"/>
        </w:rPr>
      </w:pPr>
      <w:r>
        <w:rPr>
          <w:sz w:val="22"/>
          <w:szCs w:val="22"/>
        </w:rPr>
        <w:t>Numbering note: three parallel work threads currently reuse the same experiment numbers, so experiments are listed here by description; the repository numbering will be reconciled before the final dissertation.</w:t>
      </w:r>
    </w:p>
    <w:p w14:paraId="4ACC1F47" w14:textId="77777777" w:rsidR="00647063" w:rsidRDefault="00000000">
      <w:pPr>
        <w:spacing w:before="200" w:after="100"/>
        <w:rPr>
          <w:sz w:val="22"/>
          <w:szCs w:val="22"/>
        </w:rPr>
      </w:pPr>
      <w:r>
        <w:rPr>
          <w:b/>
          <w:sz w:val="22"/>
          <w:szCs w:val="22"/>
        </w:rPr>
        <w:t>Completed experiments:</w:t>
      </w:r>
    </w:p>
    <w:tbl>
      <w:tblPr>
        <w:tblW w:w="102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755"/>
        <w:gridCol w:w="1632"/>
        <w:gridCol w:w="3979"/>
        <w:gridCol w:w="1838"/>
      </w:tblGrid>
      <w:tr w:rsidR="00647063" w14:paraId="50651F34" w14:textId="77777777">
        <w:trPr>
          <w:tblHeader/>
        </w:trPr>
        <w:tc>
          <w:tcPr>
            <w:tcW w:w="2755" w:type="dxa"/>
            <w:shd w:val="clear" w:color="auto" w:fill="D9E2F3"/>
          </w:tcPr>
          <w:p w14:paraId="13D8C86D" w14:textId="77777777" w:rsidR="00647063" w:rsidRDefault="00000000">
            <w:pPr>
              <w:spacing w:before="20" w:after="20"/>
              <w:rPr>
                <w:b/>
                <w:sz w:val="18"/>
                <w:szCs w:val="18"/>
              </w:rPr>
            </w:pPr>
            <w:r>
              <w:rPr>
                <w:b/>
                <w:sz w:val="18"/>
                <w:szCs w:val="18"/>
              </w:rPr>
              <w:t>Experiment</w:t>
            </w:r>
          </w:p>
        </w:tc>
        <w:tc>
          <w:tcPr>
            <w:tcW w:w="1632" w:type="dxa"/>
            <w:shd w:val="clear" w:color="auto" w:fill="D9E2F3"/>
          </w:tcPr>
          <w:p w14:paraId="7E8DCB12" w14:textId="77777777" w:rsidR="00647063" w:rsidRDefault="00000000">
            <w:pPr>
              <w:spacing w:before="20" w:after="20"/>
              <w:rPr>
                <w:b/>
                <w:sz w:val="18"/>
                <w:szCs w:val="18"/>
              </w:rPr>
            </w:pPr>
            <w:r>
              <w:rPr>
                <w:b/>
                <w:sz w:val="18"/>
                <w:szCs w:val="18"/>
              </w:rPr>
              <w:t>Scope (n)</w:t>
            </w:r>
          </w:p>
        </w:tc>
        <w:tc>
          <w:tcPr>
            <w:tcW w:w="3979" w:type="dxa"/>
            <w:shd w:val="clear" w:color="auto" w:fill="D9E2F3"/>
          </w:tcPr>
          <w:p w14:paraId="20B46AB3" w14:textId="77777777" w:rsidR="00647063" w:rsidRDefault="00000000">
            <w:pPr>
              <w:spacing w:before="20" w:after="20"/>
              <w:rPr>
                <w:b/>
                <w:sz w:val="18"/>
                <w:szCs w:val="18"/>
              </w:rPr>
            </w:pPr>
            <w:r>
              <w:rPr>
                <w:b/>
                <w:sz w:val="18"/>
                <w:szCs w:val="18"/>
              </w:rPr>
              <w:t>Result</w:t>
            </w:r>
          </w:p>
        </w:tc>
        <w:tc>
          <w:tcPr>
            <w:tcW w:w="1838" w:type="dxa"/>
            <w:shd w:val="clear" w:color="auto" w:fill="D9E2F3"/>
          </w:tcPr>
          <w:p w14:paraId="446E23ED" w14:textId="77777777" w:rsidR="00647063" w:rsidRDefault="00000000">
            <w:pPr>
              <w:spacing w:before="20" w:after="20"/>
              <w:rPr>
                <w:b/>
                <w:sz w:val="18"/>
                <w:szCs w:val="18"/>
              </w:rPr>
            </w:pPr>
            <w:r>
              <w:rPr>
                <w:b/>
                <w:sz w:val="18"/>
                <w:szCs w:val="18"/>
              </w:rPr>
              <w:t>Outcome</w:t>
            </w:r>
          </w:p>
        </w:tc>
      </w:tr>
      <w:tr w:rsidR="00647063" w14:paraId="702A655F" w14:textId="77777777">
        <w:tc>
          <w:tcPr>
            <w:tcW w:w="2755" w:type="dxa"/>
          </w:tcPr>
          <w:p w14:paraId="526ADB24" w14:textId="77777777" w:rsidR="00647063" w:rsidRDefault="00000000">
            <w:pPr>
              <w:spacing w:before="20" w:after="20"/>
              <w:rPr>
                <w:sz w:val="18"/>
                <w:szCs w:val="18"/>
              </w:rPr>
            </w:pPr>
            <w:r>
              <w:rPr>
                <w:sz w:val="18"/>
                <w:szCs w:val="18"/>
              </w:rPr>
              <w:t>Search provider: DIY vs Tavily</w:t>
            </w:r>
          </w:p>
        </w:tc>
        <w:tc>
          <w:tcPr>
            <w:tcW w:w="1632" w:type="dxa"/>
          </w:tcPr>
          <w:p w14:paraId="6865D854" w14:textId="77777777" w:rsidR="00647063" w:rsidRDefault="00000000">
            <w:pPr>
              <w:spacing w:before="20" w:after="20"/>
              <w:rPr>
                <w:sz w:val="18"/>
                <w:szCs w:val="18"/>
              </w:rPr>
            </w:pPr>
            <w:r>
              <w:rPr>
                <w:sz w:val="18"/>
                <w:szCs w:val="18"/>
              </w:rPr>
              <w:t>France, 90 pairs (55 decided)</w:t>
            </w:r>
          </w:p>
        </w:tc>
        <w:tc>
          <w:tcPr>
            <w:tcW w:w="3979" w:type="dxa"/>
          </w:tcPr>
          <w:p w14:paraId="26291012" w14:textId="77777777" w:rsidR="00647063" w:rsidRDefault="00000000">
            <w:pPr>
              <w:spacing w:before="20" w:after="20"/>
              <w:rPr>
                <w:sz w:val="18"/>
                <w:szCs w:val="18"/>
              </w:rPr>
            </w:pPr>
            <w:r>
              <w:rPr>
                <w:sz w:val="18"/>
                <w:szCs w:val="18"/>
              </w:rPr>
              <w:t>DIY at least as good on 89% of decided pairs (Wilson 78-95), sign test p &lt; 0.0001; cross-family re-judge agrees</w:t>
            </w:r>
          </w:p>
        </w:tc>
        <w:tc>
          <w:tcPr>
            <w:tcW w:w="1838" w:type="dxa"/>
          </w:tcPr>
          <w:p w14:paraId="105A3831" w14:textId="77777777" w:rsidR="00647063" w:rsidRDefault="00000000">
            <w:pPr>
              <w:spacing w:before="20" w:after="20"/>
              <w:rPr>
                <w:sz w:val="18"/>
                <w:szCs w:val="18"/>
              </w:rPr>
            </w:pPr>
            <w:r>
              <w:rPr>
                <w:sz w:val="18"/>
                <w:szCs w:val="18"/>
              </w:rPr>
              <w:t>DIY adopted (D29, D43)</w:t>
            </w:r>
          </w:p>
        </w:tc>
      </w:tr>
      <w:tr w:rsidR="00647063" w14:paraId="41F3531E" w14:textId="77777777">
        <w:tc>
          <w:tcPr>
            <w:tcW w:w="2755" w:type="dxa"/>
          </w:tcPr>
          <w:p w14:paraId="257FE8D8" w14:textId="77777777" w:rsidR="00647063" w:rsidRDefault="00000000">
            <w:pPr>
              <w:spacing w:before="20" w:after="20"/>
              <w:rPr>
                <w:sz w:val="18"/>
                <w:szCs w:val="18"/>
              </w:rPr>
            </w:pPr>
            <w:r>
              <w:rPr>
                <w:sz w:val="18"/>
                <w:szCs w:val="18"/>
              </w:rPr>
              <w:t>Snippet truncation cap</w:t>
            </w:r>
          </w:p>
        </w:tc>
        <w:tc>
          <w:tcPr>
            <w:tcW w:w="1632" w:type="dxa"/>
          </w:tcPr>
          <w:p w14:paraId="37147F8F" w14:textId="77777777" w:rsidR="00647063" w:rsidRDefault="00000000">
            <w:pPr>
              <w:spacing w:before="20" w:after="20"/>
              <w:rPr>
                <w:sz w:val="18"/>
                <w:szCs w:val="18"/>
              </w:rPr>
            </w:pPr>
            <w:r>
              <w:rPr>
                <w:sz w:val="18"/>
                <w:szCs w:val="18"/>
              </w:rPr>
              <w:t>Netherlands replay</w:t>
            </w:r>
          </w:p>
        </w:tc>
        <w:tc>
          <w:tcPr>
            <w:tcW w:w="3979" w:type="dxa"/>
          </w:tcPr>
          <w:p w14:paraId="286E69AB" w14:textId="77777777" w:rsidR="00647063" w:rsidRDefault="00000000">
            <w:pPr>
              <w:spacing w:before="20" w:after="20"/>
              <w:rPr>
                <w:sz w:val="18"/>
                <w:szCs w:val="18"/>
              </w:rPr>
            </w:pPr>
            <w:r>
              <w:rPr>
                <w:sz w:val="18"/>
                <w:szCs w:val="18"/>
              </w:rPr>
              <w:t>3,000-char cap strictly worse than 600</w:t>
            </w:r>
          </w:p>
        </w:tc>
        <w:tc>
          <w:tcPr>
            <w:tcW w:w="1838" w:type="dxa"/>
          </w:tcPr>
          <w:p w14:paraId="2ED87AFF" w14:textId="77777777" w:rsidR="00647063" w:rsidRDefault="00000000">
            <w:pPr>
              <w:spacing w:before="20" w:after="20"/>
              <w:rPr>
                <w:sz w:val="18"/>
                <w:szCs w:val="18"/>
              </w:rPr>
            </w:pPr>
            <w:r>
              <w:rPr>
                <w:sz w:val="18"/>
                <w:szCs w:val="18"/>
              </w:rPr>
              <w:t>Keep 600</w:t>
            </w:r>
          </w:p>
        </w:tc>
      </w:tr>
      <w:tr w:rsidR="00647063" w14:paraId="17082422" w14:textId="77777777">
        <w:tc>
          <w:tcPr>
            <w:tcW w:w="2755" w:type="dxa"/>
          </w:tcPr>
          <w:p w14:paraId="2EC86E81" w14:textId="77777777" w:rsidR="00647063" w:rsidRDefault="00000000">
            <w:pPr>
              <w:spacing w:before="20" w:after="20"/>
              <w:rPr>
                <w:sz w:val="18"/>
                <w:szCs w:val="18"/>
              </w:rPr>
            </w:pPr>
            <w:r>
              <w:rPr>
                <w:sz w:val="18"/>
                <w:szCs w:val="18"/>
              </w:rPr>
              <w:t>Retrieval breadth (5 vs 10 results)</w:t>
            </w:r>
          </w:p>
        </w:tc>
        <w:tc>
          <w:tcPr>
            <w:tcW w:w="1632" w:type="dxa"/>
          </w:tcPr>
          <w:p w14:paraId="5A442513" w14:textId="77777777" w:rsidR="00647063" w:rsidRDefault="00000000">
            <w:pPr>
              <w:spacing w:before="20" w:after="20"/>
              <w:rPr>
                <w:sz w:val="18"/>
                <w:szCs w:val="18"/>
              </w:rPr>
            </w:pPr>
            <w:r>
              <w:rPr>
                <w:sz w:val="18"/>
                <w:szCs w:val="18"/>
              </w:rPr>
              <w:t>Netherlands, n=50</w:t>
            </w:r>
          </w:p>
        </w:tc>
        <w:tc>
          <w:tcPr>
            <w:tcW w:w="3979" w:type="dxa"/>
          </w:tcPr>
          <w:p w14:paraId="034F3E6B" w14:textId="77777777" w:rsidR="00647063" w:rsidRDefault="00000000">
            <w:pPr>
              <w:spacing w:before="20" w:after="20"/>
              <w:rPr>
                <w:sz w:val="18"/>
                <w:szCs w:val="18"/>
              </w:rPr>
            </w:pPr>
            <w:r>
              <w:rPr>
                <w:sz w:val="18"/>
                <w:szCs w:val="18"/>
              </w:rPr>
              <w:t>10 lifts candidate recall; not yet switched</w:t>
            </w:r>
          </w:p>
        </w:tc>
        <w:tc>
          <w:tcPr>
            <w:tcW w:w="1838" w:type="dxa"/>
          </w:tcPr>
          <w:p w14:paraId="121A53A9" w14:textId="77777777" w:rsidR="00647063" w:rsidRDefault="00000000">
            <w:pPr>
              <w:spacing w:before="20" w:after="20"/>
              <w:rPr>
                <w:sz w:val="18"/>
                <w:szCs w:val="18"/>
              </w:rPr>
            </w:pPr>
            <w:r>
              <w:rPr>
                <w:sz w:val="18"/>
                <w:szCs w:val="18"/>
              </w:rPr>
              <w:t>Confirm multi-country first</w:t>
            </w:r>
          </w:p>
        </w:tc>
      </w:tr>
      <w:tr w:rsidR="00647063" w14:paraId="2D247CE7" w14:textId="77777777">
        <w:tc>
          <w:tcPr>
            <w:tcW w:w="2755" w:type="dxa"/>
          </w:tcPr>
          <w:p w14:paraId="2E5EFD80" w14:textId="77777777" w:rsidR="00647063" w:rsidRDefault="00000000">
            <w:pPr>
              <w:spacing w:before="20" w:after="20"/>
              <w:rPr>
                <w:sz w:val="18"/>
                <w:szCs w:val="18"/>
              </w:rPr>
            </w:pPr>
            <w:r>
              <w:rPr>
                <w:sz w:val="18"/>
                <w:szCs w:val="18"/>
              </w:rPr>
              <w:t>Snippet picker on vs off</w:t>
            </w:r>
          </w:p>
        </w:tc>
        <w:tc>
          <w:tcPr>
            <w:tcW w:w="1632" w:type="dxa"/>
          </w:tcPr>
          <w:p w14:paraId="0D2FE67A" w14:textId="77777777" w:rsidR="00647063" w:rsidRDefault="00000000">
            <w:pPr>
              <w:spacing w:before="20" w:after="20"/>
              <w:rPr>
                <w:sz w:val="18"/>
                <w:szCs w:val="18"/>
              </w:rPr>
            </w:pPr>
            <w:r>
              <w:rPr>
                <w:sz w:val="18"/>
                <w:szCs w:val="18"/>
              </w:rPr>
              <w:t>Netherlands, n=50</w:t>
            </w:r>
          </w:p>
        </w:tc>
        <w:tc>
          <w:tcPr>
            <w:tcW w:w="3979" w:type="dxa"/>
          </w:tcPr>
          <w:p w14:paraId="01A99B09" w14:textId="77777777" w:rsidR="00647063" w:rsidRDefault="00000000">
            <w:pPr>
              <w:spacing w:before="20" w:after="20"/>
              <w:rPr>
                <w:sz w:val="18"/>
                <w:szCs w:val="18"/>
              </w:rPr>
            </w:pPr>
            <w:r>
              <w:rPr>
                <w:sz w:val="18"/>
                <w:szCs w:val="18"/>
              </w:rPr>
              <w:t>Recall unchanged; removing it raised cost ~57% and cut coverage</w:t>
            </w:r>
          </w:p>
        </w:tc>
        <w:tc>
          <w:tcPr>
            <w:tcW w:w="1838" w:type="dxa"/>
          </w:tcPr>
          <w:p w14:paraId="62AD4B09" w14:textId="77777777" w:rsidR="00647063" w:rsidRDefault="00000000">
            <w:pPr>
              <w:spacing w:before="20" w:after="20"/>
              <w:rPr>
                <w:sz w:val="18"/>
                <w:szCs w:val="18"/>
              </w:rPr>
            </w:pPr>
            <w:r>
              <w:rPr>
                <w:sz w:val="18"/>
                <w:szCs w:val="18"/>
              </w:rPr>
              <w:t>Keep the picker</w:t>
            </w:r>
          </w:p>
        </w:tc>
      </w:tr>
      <w:tr w:rsidR="00647063" w14:paraId="469482E9" w14:textId="77777777">
        <w:tc>
          <w:tcPr>
            <w:tcW w:w="2755" w:type="dxa"/>
          </w:tcPr>
          <w:p w14:paraId="6BD866AF" w14:textId="77777777" w:rsidR="00647063" w:rsidRDefault="00000000">
            <w:pPr>
              <w:spacing w:before="20" w:after="20"/>
              <w:rPr>
                <w:sz w:val="18"/>
                <w:szCs w:val="18"/>
              </w:rPr>
            </w:pPr>
            <w:r>
              <w:rPr>
                <w:sz w:val="18"/>
                <w:szCs w:val="18"/>
              </w:rPr>
              <w:t>Verifier redesign (tristate / gated)</w:t>
            </w:r>
          </w:p>
        </w:tc>
        <w:tc>
          <w:tcPr>
            <w:tcW w:w="1632" w:type="dxa"/>
          </w:tcPr>
          <w:p w14:paraId="67E82D53" w14:textId="77777777" w:rsidR="00647063" w:rsidRDefault="00000000">
            <w:pPr>
              <w:spacing w:before="20" w:after="20"/>
              <w:rPr>
                <w:sz w:val="18"/>
                <w:szCs w:val="18"/>
              </w:rPr>
            </w:pPr>
            <w:r>
              <w:rPr>
                <w:sz w:val="18"/>
                <w:szCs w:val="18"/>
              </w:rPr>
              <w:t>Dev ladder</w:t>
            </w:r>
          </w:p>
        </w:tc>
        <w:tc>
          <w:tcPr>
            <w:tcW w:w="3979" w:type="dxa"/>
          </w:tcPr>
          <w:p w14:paraId="511FBC9E" w14:textId="77777777" w:rsidR="00647063" w:rsidRDefault="00000000">
            <w:pPr>
              <w:spacing w:before="20" w:after="20"/>
              <w:rPr>
                <w:sz w:val="18"/>
                <w:szCs w:val="18"/>
              </w:rPr>
            </w:pPr>
            <w:r>
              <w:rPr>
                <w:sz w:val="18"/>
                <w:szCs w:val="18"/>
              </w:rPr>
              <w:t>Incumbent disprove strategy best (Youden J 0.41)</w:t>
            </w:r>
          </w:p>
        </w:tc>
        <w:tc>
          <w:tcPr>
            <w:tcW w:w="1838" w:type="dxa"/>
          </w:tcPr>
          <w:p w14:paraId="4993CFB7" w14:textId="77777777" w:rsidR="00647063" w:rsidRDefault="00000000">
            <w:pPr>
              <w:spacing w:before="20" w:after="20"/>
              <w:rPr>
                <w:sz w:val="18"/>
                <w:szCs w:val="18"/>
              </w:rPr>
            </w:pPr>
            <w:r>
              <w:rPr>
                <w:sz w:val="18"/>
                <w:szCs w:val="18"/>
              </w:rPr>
              <w:t>Retain incumbent (D45)</w:t>
            </w:r>
          </w:p>
        </w:tc>
      </w:tr>
      <w:tr w:rsidR="00647063" w14:paraId="38C5F1F2" w14:textId="77777777">
        <w:tc>
          <w:tcPr>
            <w:tcW w:w="2755" w:type="dxa"/>
          </w:tcPr>
          <w:p w14:paraId="4A6EFFE8" w14:textId="77777777" w:rsidR="00647063" w:rsidRDefault="00000000">
            <w:pPr>
              <w:spacing w:before="20" w:after="20"/>
              <w:rPr>
                <w:sz w:val="18"/>
                <w:szCs w:val="18"/>
              </w:rPr>
            </w:pPr>
            <w:r>
              <w:rPr>
                <w:sz w:val="18"/>
                <w:szCs w:val="18"/>
              </w:rPr>
              <w:t>Verifier evidence ladder</w:t>
            </w:r>
          </w:p>
        </w:tc>
        <w:tc>
          <w:tcPr>
            <w:tcW w:w="1632" w:type="dxa"/>
          </w:tcPr>
          <w:p w14:paraId="1F5C4A44" w14:textId="77777777" w:rsidR="00647063" w:rsidRDefault="00000000">
            <w:pPr>
              <w:spacing w:before="20" w:after="20"/>
              <w:rPr>
                <w:sz w:val="18"/>
                <w:szCs w:val="18"/>
              </w:rPr>
            </w:pPr>
            <w:r>
              <w:rPr>
                <w:sz w:val="18"/>
                <w:szCs w:val="18"/>
              </w:rPr>
              <w:t>Dev + Malta / Norway</w:t>
            </w:r>
          </w:p>
        </w:tc>
        <w:tc>
          <w:tcPr>
            <w:tcW w:w="3979" w:type="dxa"/>
          </w:tcPr>
          <w:p w14:paraId="3299C428" w14:textId="77777777" w:rsidR="00647063" w:rsidRDefault="00000000">
            <w:pPr>
              <w:spacing w:before="20" w:after="20"/>
              <w:rPr>
                <w:sz w:val="18"/>
                <w:szCs w:val="18"/>
              </w:rPr>
            </w:pPr>
            <w:r>
              <w:rPr>
                <w:sz w:val="18"/>
                <w:szCs w:val="18"/>
              </w:rPr>
              <w:t>Counter-search helps no-claims, hurts yes-claims; clean J 0.41 vs in-loop 0.10</w:t>
            </w:r>
          </w:p>
        </w:tc>
        <w:tc>
          <w:tcPr>
            <w:tcW w:w="1838" w:type="dxa"/>
          </w:tcPr>
          <w:p w14:paraId="500707E0" w14:textId="77777777" w:rsidR="00647063" w:rsidRDefault="00000000">
            <w:pPr>
              <w:spacing w:before="20" w:after="20"/>
              <w:rPr>
                <w:sz w:val="18"/>
                <w:szCs w:val="18"/>
              </w:rPr>
            </w:pPr>
            <w:r>
              <w:rPr>
                <w:sz w:val="18"/>
                <w:szCs w:val="18"/>
              </w:rPr>
              <w:t>Informs D45</w:t>
            </w:r>
          </w:p>
        </w:tc>
      </w:tr>
      <w:tr w:rsidR="00647063" w14:paraId="7F0E6441" w14:textId="77777777">
        <w:tc>
          <w:tcPr>
            <w:tcW w:w="2755" w:type="dxa"/>
          </w:tcPr>
          <w:p w14:paraId="1CDF9507" w14:textId="77777777" w:rsidR="00647063" w:rsidRDefault="00000000">
            <w:pPr>
              <w:spacing w:before="20" w:after="20"/>
              <w:rPr>
                <w:sz w:val="18"/>
                <w:szCs w:val="18"/>
              </w:rPr>
            </w:pPr>
            <w:r>
              <w:rPr>
                <w:sz w:val="18"/>
                <w:szCs w:val="18"/>
              </w:rPr>
              <w:t>Value of the verify-and-adjudicate layer</w:t>
            </w:r>
          </w:p>
        </w:tc>
        <w:tc>
          <w:tcPr>
            <w:tcW w:w="1632" w:type="dxa"/>
          </w:tcPr>
          <w:p w14:paraId="4864E54A" w14:textId="77777777" w:rsidR="00647063" w:rsidRDefault="00000000">
            <w:pPr>
              <w:spacing w:before="20" w:after="20"/>
              <w:rPr>
                <w:sz w:val="18"/>
                <w:szCs w:val="18"/>
              </w:rPr>
            </w:pPr>
            <w:r>
              <w:rPr>
                <w:sz w:val="18"/>
                <w:szCs w:val="18"/>
              </w:rPr>
              <w:t>Malta 60 + Norway 143</w:t>
            </w:r>
          </w:p>
        </w:tc>
        <w:tc>
          <w:tcPr>
            <w:tcW w:w="3979" w:type="dxa"/>
          </w:tcPr>
          <w:p w14:paraId="61BD271D" w14:textId="77777777" w:rsidR="00647063" w:rsidRDefault="00000000">
            <w:pPr>
              <w:spacing w:before="20" w:after="20"/>
              <w:rPr>
                <w:sz w:val="18"/>
                <w:szCs w:val="18"/>
              </w:rPr>
            </w:pPr>
            <w:r>
              <w:rPr>
                <w:sz w:val="18"/>
                <w:szCs w:val="18"/>
              </w:rPr>
              <w:t>Removing it costs 27 correct, saves 16 wrong (net +11), p &lt; 0.002</w:t>
            </w:r>
          </w:p>
        </w:tc>
        <w:tc>
          <w:tcPr>
            <w:tcW w:w="1838" w:type="dxa"/>
          </w:tcPr>
          <w:p w14:paraId="30927E92" w14:textId="77777777" w:rsidR="00647063" w:rsidRDefault="00000000">
            <w:pPr>
              <w:spacing w:before="20" w:after="20"/>
              <w:rPr>
                <w:sz w:val="18"/>
                <w:szCs w:val="18"/>
              </w:rPr>
            </w:pPr>
            <w:r>
              <w:rPr>
                <w:sz w:val="18"/>
                <w:szCs w:val="18"/>
              </w:rPr>
              <w:t>Keep the layer</w:t>
            </w:r>
          </w:p>
        </w:tc>
      </w:tr>
      <w:tr w:rsidR="00647063" w14:paraId="55C4AB1E" w14:textId="77777777">
        <w:tc>
          <w:tcPr>
            <w:tcW w:w="2755" w:type="dxa"/>
          </w:tcPr>
          <w:p w14:paraId="6628FAD0" w14:textId="77777777" w:rsidR="00647063" w:rsidRDefault="00000000">
            <w:pPr>
              <w:spacing w:before="20" w:after="20"/>
              <w:rPr>
                <w:sz w:val="18"/>
                <w:szCs w:val="18"/>
              </w:rPr>
            </w:pPr>
            <w:r>
              <w:rPr>
                <w:sz w:val="18"/>
                <w:szCs w:val="18"/>
              </w:rPr>
              <w:t>Verifier counter-search (never vs always)</w:t>
            </w:r>
          </w:p>
        </w:tc>
        <w:tc>
          <w:tcPr>
            <w:tcW w:w="1632" w:type="dxa"/>
          </w:tcPr>
          <w:p w14:paraId="4D2AD84D" w14:textId="77777777" w:rsidR="00647063" w:rsidRDefault="00000000">
            <w:pPr>
              <w:spacing w:before="20" w:after="20"/>
              <w:rPr>
                <w:sz w:val="18"/>
                <w:szCs w:val="18"/>
              </w:rPr>
            </w:pPr>
            <w:r>
              <w:rPr>
                <w:sz w:val="18"/>
                <w:szCs w:val="18"/>
              </w:rPr>
              <w:t>Netherlands, n=51</w:t>
            </w:r>
          </w:p>
        </w:tc>
        <w:tc>
          <w:tcPr>
            <w:tcW w:w="3979" w:type="dxa"/>
          </w:tcPr>
          <w:p w14:paraId="7FB8DA89" w14:textId="77777777" w:rsidR="00647063" w:rsidRDefault="00000000">
            <w:pPr>
              <w:spacing w:before="20" w:after="20"/>
              <w:rPr>
                <w:sz w:val="18"/>
                <w:szCs w:val="18"/>
              </w:rPr>
            </w:pPr>
            <w:r>
              <w:rPr>
                <w:sz w:val="18"/>
                <w:szCs w:val="18"/>
              </w:rPr>
              <w:t>No significant difference (McNemar p = 0.50); 'never' raises the no-gold false-positive rate</w:t>
            </w:r>
          </w:p>
        </w:tc>
        <w:tc>
          <w:tcPr>
            <w:tcW w:w="1838" w:type="dxa"/>
          </w:tcPr>
          <w:p w14:paraId="71A4AE6E" w14:textId="77777777" w:rsidR="00647063" w:rsidRDefault="00000000">
            <w:pPr>
              <w:spacing w:before="20" w:after="20"/>
              <w:rPr>
                <w:sz w:val="18"/>
                <w:szCs w:val="18"/>
              </w:rPr>
            </w:pPr>
            <w:r>
              <w:rPr>
                <w:sz w:val="18"/>
                <w:szCs w:val="18"/>
              </w:rPr>
              <w:t>Keep 'always'</w:t>
            </w:r>
          </w:p>
        </w:tc>
      </w:tr>
      <w:tr w:rsidR="00647063" w14:paraId="6AEC040C" w14:textId="77777777">
        <w:tc>
          <w:tcPr>
            <w:tcW w:w="2755" w:type="dxa"/>
          </w:tcPr>
          <w:p w14:paraId="74E59329" w14:textId="77777777" w:rsidR="00647063" w:rsidRDefault="00000000">
            <w:pPr>
              <w:spacing w:before="20" w:after="20"/>
              <w:rPr>
                <w:sz w:val="18"/>
                <w:szCs w:val="18"/>
              </w:rPr>
            </w:pPr>
            <w:r>
              <w:rPr>
                <w:sz w:val="18"/>
                <w:szCs w:val="18"/>
              </w:rPr>
              <w:t>Adjudicator free vs standard selection</w:t>
            </w:r>
          </w:p>
        </w:tc>
        <w:tc>
          <w:tcPr>
            <w:tcW w:w="1632" w:type="dxa"/>
          </w:tcPr>
          <w:p w14:paraId="264B7000" w14:textId="77777777" w:rsidR="00647063" w:rsidRDefault="00000000">
            <w:pPr>
              <w:spacing w:before="20" w:after="20"/>
              <w:rPr>
                <w:sz w:val="18"/>
                <w:szCs w:val="18"/>
              </w:rPr>
            </w:pPr>
            <w:r>
              <w:rPr>
                <w:sz w:val="18"/>
                <w:szCs w:val="18"/>
              </w:rPr>
              <w:t>Netherlands, n=51</w:t>
            </w:r>
          </w:p>
        </w:tc>
        <w:tc>
          <w:tcPr>
            <w:tcW w:w="3979" w:type="dxa"/>
          </w:tcPr>
          <w:p w14:paraId="37147D40" w14:textId="77777777" w:rsidR="00647063" w:rsidRDefault="00000000">
            <w:pPr>
              <w:spacing w:before="20" w:after="20"/>
              <w:rPr>
                <w:sz w:val="18"/>
                <w:szCs w:val="18"/>
              </w:rPr>
            </w:pPr>
            <w:r>
              <w:rPr>
                <w:sz w:val="18"/>
                <w:szCs w:val="18"/>
              </w:rPr>
              <w:t>No difference (p = 1.00)</w:t>
            </w:r>
          </w:p>
        </w:tc>
        <w:tc>
          <w:tcPr>
            <w:tcW w:w="1838" w:type="dxa"/>
          </w:tcPr>
          <w:p w14:paraId="2815E481" w14:textId="77777777" w:rsidR="00647063" w:rsidRDefault="00000000">
            <w:pPr>
              <w:spacing w:before="20" w:after="20"/>
              <w:rPr>
                <w:sz w:val="18"/>
                <w:szCs w:val="18"/>
              </w:rPr>
            </w:pPr>
            <w:r>
              <w:rPr>
                <w:sz w:val="18"/>
                <w:szCs w:val="18"/>
              </w:rPr>
              <w:t>Keep 'standard'</w:t>
            </w:r>
          </w:p>
        </w:tc>
      </w:tr>
      <w:tr w:rsidR="00647063" w14:paraId="3BA5C3DA" w14:textId="77777777">
        <w:tc>
          <w:tcPr>
            <w:tcW w:w="2755" w:type="dxa"/>
          </w:tcPr>
          <w:p w14:paraId="7B6442BB" w14:textId="77777777" w:rsidR="00647063" w:rsidRDefault="00000000">
            <w:pPr>
              <w:spacing w:before="20" w:after="20"/>
              <w:rPr>
                <w:sz w:val="18"/>
                <w:szCs w:val="18"/>
              </w:rPr>
            </w:pPr>
            <w:r>
              <w:rPr>
                <w:sz w:val="18"/>
                <w:szCs w:val="18"/>
              </w:rPr>
              <w:t>Retry chaining (carry evidence across retries)</w:t>
            </w:r>
          </w:p>
        </w:tc>
        <w:tc>
          <w:tcPr>
            <w:tcW w:w="1632" w:type="dxa"/>
          </w:tcPr>
          <w:p w14:paraId="5061023C" w14:textId="77777777" w:rsidR="00647063" w:rsidRDefault="00000000">
            <w:pPr>
              <w:spacing w:before="20" w:after="20"/>
              <w:rPr>
                <w:sz w:val="18"/>
                <w:szCs w:val="18"/>
              </w:rPr>
            </w:pPr>
            <w:r>
              <w:rPr>
                <w:sz w:val="18"/>
                <w:szCs w:val="18"/>
              </w:rPr>
              <w:t>Malta, 40 per arm</w:t>
            </w:r>
          </w:p>
        </w:tc>
        <w:tc>
          <w:tcPr>
            <w:tcW w:w="3979" w:type="dxa"/>
          </w:tcPr>
          <w:p w14:paraId="349F8CD7" w14:textId="77777777" w:rsidR="00647063" w:rsidRDefault="00000000">
            <w:pPr>
              <w:spacing w:before="20" w:after="20"/>
              <w:rPr>
                <w:sz w:val="18"/>
                <w:szCs w:val="18"/>
              </w:rPr>
            </w:pPr>
            <w:r>
              <w:rPr>
                <w:sz w:val="18"/>
                <w:szCs w:val="18"/>
              </w:rPr>
              <w:t>Small, underpowered gain</w:t>
            </w:r>
          </w:p>
        </w:tc>
        <w:tc>
          <w:tcPr>
            <w:tcW w:w="1838" w:type="dxa"/>
          </w:tcPr>
          <w:p w14:paraId="67EAF429" w14:textId="77777777" w:rsidR="00647063" w:rsidRDefault="00000000">
            <w:pPr>
              <w:spacing w:before="20" w:after="20"/>
              <w:rPr>
                <w:sz w:val="18"/>
                <w:szCs w:val="18"/>
              </w:rPr>
            </w:pPr>
            <w:r>
              <w:rPr>
                <w:sz w:val="18"/>
                <w:szCs w:val="18"/>
              </w:rPr>
              <w:t>Adopt as baseline</w:t>
            </w:r>
          </w:p>
        </w:tc>
      </w:tr>
      <w:tr w:rsidR="00647063" w14:paraId="118D31B4" w14:textId="77777777">
        <w:tc>
          <w:tcPr>
            <w:tcW w:w="2755" w:type="dxa"/>
          </w:tcPr>
          <w:p w14:paraId="61575ECE" w14:textId="77777777" w:rsidR="00647063" w:rsidRDefault="00000000">
            <w:pPr>
              <w:spacing w:before="20" w:after="20"/>
              <w:rPr>
                <w:sz w:val="18"/>
                <w:szCs w:val="18"/>
              </w:rPr>
            </w:pPr>
            <w:r>
              <w:rPr>
                <w:sz w:val="18"/>
                <w:szCs w:val="18"/>
              </w:rPr>
              <w:t>Confidence-floor sweep</w:t>
            </w:r>
          </w:p>
        </w:tc>
        <w:tc>
          <w:tcPr>
            <w:tcW w:w="1632" w:type="dxa"/>
          </w:tcPr>
          <w:p w14:paraId="6FDCF227" w14:textId="77777777" w:rsidR="00647063" w:rsidRDefault="00000000">
            <w:pPr>
              <w:spacing w:before="20" w:after="20"/>
              <w:rPr>
                <w:sz w:val="18"/>
                <w:szCs w:val="18"/>
              </w:rPr>
            </w:pPr>
            <w:r>
              <w:rPr>
                <w:sz w:val="18"/>
                <w:szCs w:val="18"/>
              </w:rPr>
              <w:t>Pooled, 7 countries, n=360, 67 negative golds</w:t>
            </w:r>
          </w:p>
        </w:tc>
        <w:tc>
          <w:tcPr>
            <w:tcW w:w="3979" w:type="dxa"/>
          </w:tcPr>
          <w:p w14:paraId="0A42C2E6" w14:textId="77777777" w:rsidR="00647063" w:rsidRDefault="00000000">
            <w:pPr>
              <w:spacing w:before="20" w:after="20"/>
              <w:rPr>
                <w:sz w:val="18"/>
                <w:szCs w:val="18"/>
              </w:rPr>
            </w:pPr>
            <w:r>
              <w:rPr>
                <w:sz w:val="18"/>
                <w:szCs w:val="18"/>
              </w:rPr>
              <w:t>0.65 holds; at 0.50 precision is 0.76, under the pre-registered 0.80 bar</w:t>
            </w:r>
          </w:p>
        </w:tc>
        <w:tc>
          <w:tcPr>
            <w:tcW w:w="1838" w:type="dxa"/>
          </w:tcPr>
          <w:p w14:paraId="3E3BA747" w14:textId="77777777" w:rsidR="00647063" w:rsidRDefault="00000000">
            <w:pPr>
              <w:spacing w:before="20" w:after="20"/>
              <w:rPr>
                <w:sz w:val="18"/>
                <w:szCs w:val="18"/>
              </w:rPr>
            </w:pPr>
            <w:r>
              <w:rPr>
                <w:sz w:val="18"/>
                <w:szCs w:val="18"/>
              </w:rPr>
              <w:t>Floor 0.65 (D37)</w:t>
            </w:r>
          </w:p>
        </w:tc>
      </w:tr>
      <w:tr w:rsidR="00647063" w14:paraId="3F560A88" w14:textId="77777777">
        <w:tc>
          <w:tcPr>
            <w:tcW w:w="2755" w:type="dxa"/>
          </w:tcPr>
          <w:p w14:paraId="70B870DF" w14:textId="77777777" w:rsidR="00647063" w:rsidRDefault="00000000">
            <w:pPr>
              <w:spacing w:before="20" w:after="20"/>
              <w:rPr>
                <w:sz w:val="18"/>
                <w:szCs w:val="18"/>
              </w:rPr>
            </w:pPr>
            <w:r>
              <w:rPr>
                <w:sz w:val="18"/>
                <w:szCs w:val="18"/>
              </w:rPr>
              <w:t>Commit gates (entailment, argue-the-opposite)</w:t>
            </w:r>
          </w:p>
        </w:tc>
        <w:tc>
          <w:tcPr>
            <w:tcW w:w="1632" w:type="dxa"/>
          </w:tcPr>
          <w:p w14:paraId="6ECF1AD6" w14:textId="77777777" w:rsidR="00647063" w:rsidRDefault="00000000">
            <w:pPr>
              <w:spacing w:before="20" w:after="20"/>
              <w:rPr>
                <w:sz w:val="18"/>
                <w:szCs w:val="18"/>
              </w:rPr>
            </w:pPr>
            <w:r>
              <w:rPr>
                <w:sz w:val="18"/>
                <w:szCs w:val="18"/>
              </w:rPr>
              <w:t>Netherlands, n=50, 25 negative golds</w:t>
            </w:r>
          </w:p>
        </w:tc>
        <w:tc>
          <w:tcPr>
            <w:tcW w:w="3979" w:type="dxa"/>
          </w:tcPr>
          <w:p w14:paraId="1A457F4D" w14:textId="77777777" w:rsidR="00647063" w:rsidRDefault="00000000">
            <w:pPr>
              <w:spacing w:before="20" w:after="20"/>
              <w:rPr>
                <w:sz w:val="18"/>
                <w:szCs w:val="18"/>
              </w:rPr>
            </w:pPr>
            <w:r>
              <w:rPr>
                <w:sz w:val="18"/>
                <w:szCs w:val="18"/>
              </w:rPr>
              <w:t>Null and harmful; entailment gate pushed negative-gold false positives from 0.76 to 1.00</w:t>
            </w:r>
          </w:p>
        </w:tc>
        <w:tc>
          <w:tcPr>
            <w:tcW w:w="1838" w:type="dxa"/>
          </w:tcPr>
          <w:p w14:paraId="773174AD" w14:textId="77777777" w:rsidR="00647063" w:rsidRDefault="00000000">
            <w:pPr>
              <w:spacing w:before="20" w:after="20"/>
              <w:rPr>
                <w:sz w:val="18"/>
                <w:szCs w:val="18"/>
              </w:rPr>
            </w:pPr>
            <w:r>
              <w:rPr>
                <w:sz w:val="18"/>
                <w:szCs w:val="18"/>
              </w:rPr>
              <w:t>Gating cannot fix self-report mismatches</w:t>
            </w:r>
          </w:p>
        </w:tc>
      </w:tr>
    </w:tbl>
    <w:p w14:paraId="62DEDCA5" w14:textId="77777777" w:rsidR="00647063" w:rsidRDefault="00647063">
      <w:pPr>
        <w:spacing w:before="200" w:after="100"/>
        <w:rPr>
          <w:sz w:val="22"/>
          <w:szCs w:val="22"/>
        </w:rPr>
      </w:pPr>
    </w:p>
    <w:p w14:paraId="1AC38C99" w14:textId="77777777" w:rsidR="00647063" w:rsidRDefault="00000000">
      <w:pPr>
        <w:spacing w:before="200" w:after="100"/>
        <w:rPr>
          <w:sz w:val="22"/>
          <w:szCs w:val="22"/>
        </w:rPr>
      </w:pPr>
      <w:r>
        <w:rPr>
          <w:b/>
          <w:sz w:val="22"/>
          <w:szCs w:val="22"/>
        </w:rPr>
        <w:t>Planned and in-flight experiments:</w:t>
      </w:r>
    </w:p>
    <w:tbl>
      <w:tblPr>
        <w:tblW w:w="102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857"/>
        <w:gridCol w:w="5510"/>
        <w:gridCol w:w="1837"/>
      </w:tblGrid>
      <w:tr w:rsidR="00647063" w14:paraId="2CC8F514" w14:textId="77777777">
        <w:trPr>
          <w:tblHeader/>
        </w:trPr>
        <w:tc>
          <w:tcPr>
            <w:tcW w:w="2857" w:type="dxa"/>
            <w:shd w:val="clear" w:color="auto" w:fill="D9E2F3"/>
          </w:tcPr>
          <w:p w14:paraId="5AF57736" w14:textId="77777777" w:rsidR="00647063" w:rsidRDefault="00000000">
            <w:pPr>
              <w:spacing w:before="20" w:after="20"/>
              <w:rPr>
                <w:b/>
                <w:sz w:val="18"/>
                <w:szCs w:val="18"/>
              </w:rPr>
            </w:pPr>
            <w:r>
              <w:rPr>
                <w:b/>
                <w:sz w:val="18"/>
                <w:szCs w:val="18"/>
              </w:rPr>
              <w:t>Experiment</w:t>
            </w:r>
          </w:p>
        </w:tc>
        <w:tc>
          <w:tcPr>
            <w:tcW w:w="5510" w:type="dxa"/>
            <w:shd w:val="clear" w:color="auto" w:fill="D9E2F3"/>
          </w:tcPr>
          <w:p w14:paraId="15EB4436" w14:textId="77777777" w:rsidR="00647063" w:rsidRDefault="00000000">
            <w:pPr>
              <w:spacing w:before="20" w:after="20"/>
              <w:rPr>
                <w:b/>
                <w:sz w:val="18"/>
                <w:szCs w:val="18"/>
              </w:rPr>
            </w:pPr>
            <w:r>
              <w:rPr>
                <w:b/>
                <w:sz w:val="18"/>
                <w:szCs w:val="18"/>
              </w:rPr>
              <w:t>Question</w:t>
            </w:r>
          </w:p>
        </w:tc>
        <w:tc>
          <w:tcPr>
            <w:tcW w:w="1837" w:type="dxa"/>
            <w:shd w:val="clear" w:color="auto" w:fill="D9E2F3"/>
          </w:tcPr>
          <w:p w14:paraId="7DA48D2D" w14:textId="77777777" w:rsidR="00647063" w:rsidRDefault="00000000">
            <w:pPr>
              <w:spacing w:before="20" w:after="20"/>
              <w:rPr>
                <w:b/>
                <w:sz w:val="18"/>
                <w:szCs w:val="18"/>
              </w:rPr>
            </w:pPr>
            <w:r>
              <w:rPr>
                <w:b/>
                <w:sz w:val="18"/>
                <w:szCs w:val="18"/>
              </w:rPr>
              <w:t>Status</w:t>
            </w:r>
          </w:p>
        </w:tc>
      </w:tr>
      <w:tr w:rsidR="00647063" w14:paraId="216460A3" w14:textId="77777777">
        <w:tc>
          <w:tcPr>
            <w:tcW w:w="2857" w:type="dxa"/>
          </w:tcPr>
          <w:p w14:paraId="346ED22A" w14:textId="77777777" w:rsidR="00647063" w:rsidRDefault="00000000">
            <w:pPr>
              <w:spacing w:before="20" w:after="20"/>
              <w:rPr>
                <w:sz w:val="18"/>
                <w:szCs w:val="18"/>
              </w:rPr>
            </w:pPr>
            <w:r>
              <w:rPr>
                <w:sz w:val="18"/>
                <w:szCs w:val="18"/>
              </w:rPr>
              <w:t>Whole-system headline run</w:t>
            </w:r>
          </w:p>
        </w:tc>
        <w:tc>
          <w:tcPr>
            <w:tcW w:w="5510" w:type="dxa"/>
          </w:tcPr>
          <w:p w14:paraId="1A815D31" w14:textId="77777777" w:rsidR="00647063" w:rsidRDefault="00000000">
            <w:pPr>
              <w:spacing w:before="20" w:after="20"/>
              <w:rPr>
                <w:sz w:val="18"/>
                <w:szCs w:val="18"/>
              </w:rPr>
            </w:pPr>
            <w:r>
              <w:rPr>
                <w:sz w:val="18"/>
                <w:szCs w:val="18"/>
              </w:rPr>
              <w:t>The frozen production architecture on the 8 held-out countries (about 1,144 pairs), balance-aware and three-outcome</w:t>
            </w:r>
          </w:p>
        </w:tc>
        <w:tc>
          <w:tcPr>
            <w:tcW w:w="1837" w:type="dxa"/>
          </w:tcPr>
          <w:p w14:paraId="6FE0E2A9" w14:textId="77777777" w:rsidR="00647063" w:rsidRDefault="00000000">
            <w:pPr>
              <w:spacing w:before="20" w:after="20"/>
              <w:rPr>
                <w:sz w:val="18"/>
                <w:szCs w:val="18"/>
              </w:rPr>
            </w:pPr>
            <w:r>
              <w:rPr>
                <w:sz w:val="18"/>
                <w:szCs w:val="18"/>
              </w:rPr>
              <w:t>Designed; gated on config freeze</w:t>
            </w:r>
          </w:p>
        </w:tc>
      </w:tr>
      <w:tr w:rsidR="00647063" w14:paraId="2858CCD9" w14:textId="77777777">
        <w:tc>
          <w:tcPr>
            <w:tcW w:w="2857" w:type="dxa"/>
          </w:tcPr>
          <w:p w14:paraId="22DC0EA1" w14:textId="77777777" w:rsidR="00647063" w:rsidRDefault="00000000">
            <w:pPr>
              <w:spacing w:before="20" w:after="20"/>
              <w:rPr>
                <w:sz w:val="18"/>
                <w:szCs w:val="18"/>
              </w:rPr>
            </w:pPr>
            <w:r>
              <w:rPr>
                <w:sz w:val="18"/>
                <w:szCs w:val="18"/>
              </w:rPr>
              <w:t>Trusted-domain narrow-then-widen retrieval</w:t>
            </w:r>
          </w:p>
        </w:tc>
        <w:tc>
          <w:tcPr>
            <w:tcW w:w="5510" w:type="dxa"/>
          </w:tcPr>
          <w:p w14:paraId="6F29FFEA" w14:textId="77777777" w:rsidR="00647063" w:rsidRDefault="00000000">
            <w:pPr>
              <w:spacing w:before="20" w:after="20"/>
              <w:rPr>
                <w:sz w:val="18"/>
                <w:szCs w:val="18"/>
              </w:rPr>
            </w:pPr>
            <w:r>
              <w:rPr>
                <w:sz w:val="18"/>
                <w:szCs w:val="18"/>
              </w:rPr>
              <w:t>Does trusted-domain narrowing drive the false positives and suppress thin-web recall?</w:t>
            </w:r>
          </w:p>
        </w:tc>
        <w:tc>
          <w:tcPr>
            <w:tcW w:w="1837" w:type="dxa"/>
          </w:tcPr>
          <w:p w14:paraId="394BB483" w14:textId="77777777" w:rsidR="00647063" w:rsidRDefault="00000000">
            <w:pPr>
              <w:spacing w:before="20" w:after="20"/>
              <w:rPr>
                <w:sz w:val="18"/>
                <w:szCs w:val="18"/>
              </w:rPr>
            </w:pPr>
            <w:r>
              <w:rPr>
                <w:sz w:val="18"/>
                <w:szCs w:val="18"/>
              </w:rPr>
              <w:t>Running</w:t>
            </w:r>
          </w:p>
        </w:tc>
      </w:tr>
      <w:tr w:rsidR="00647063" w14:paraId="5BBA35DC" w14:textId="77777777">
        <w:tc>
          <w:tcPr>
            <w:tcW w:w="2857" w:type="dxa"/>
          </w:tcPr>
          <w:p w14:paraId="71B770B4" w14:textId="77777777" w:rsidR="00647063" w:rsidRDefault="00000000">
            <w:pPr>
              <w:spacing w:before="20" w:after="20"/>
              <w:rPr>
                <w:sz w:val="18"/>
                <w:szCs w:val="18"/>
              </w:rPr>
            </w:pPr>
            <w:r>
              <w:rPr>
                <w:sz w:val="18"/>
                <w:szCs w:val="18"/>
              </w:rPr>
              <w:t>Model variants (accuracy vs cost)</w:t>
            </w:r>
          </w:p>
        </w:tc>
        <w:tc>
          <w:tcPr>
            <w:tcW w:w="5510" w:type="dxa"/>
          </w:tcPr>
          <w:p w14:paraId="256B9B5C" w14:textId="77777777" w:rsidR="00647063" w:rsidRDefault="00000000">
            <w:pPr>
              <w:spacing w:before="20" w:after="20"/>
              <w:rPr>
                <w:sz w:val="18"/>
                <w:szCs w:val="18"/>
              </w:rPr>
            </w:pPr>
            <w:r>
              <w:rPr>
                <w:sz w:val="18"/>
                <w:szCs w:val="18"/>
              </w:rPr>
              <w:t>Haiku, Sonnet, Opus, a tiered policy, and a cross-family model on Malta</w:t>
            </w:r>
          </w:p>
        </w:tc>
        <w:tc>
          <w:tcPr>
            <w:tcW w:w="1837" w:type="dxa"/>
          </w:tcPr>
          <w:p w14:paraId="2C33D68A" w14:textId="77777777" w:rsidR="00647063" w:rsidRDefault="00000000">
            <w:pPr>
              <w:spacing w:before="20" w:after="20"/>
              <w:rPr>
                <w:sz w:val="18"/>
                <w:szCs w:val="18"/>
              </w:rPr>
            </w:pPr>
            <w:r>
              <w:rPr>
                <w:sz w:val="18"/>
                <w:szCs w:val="18"/>
              </w:rPr>
              <w:t>Running</w:t>
            </w:r>
          </w:p>
        </w:tc>
      </w:tr>
      <w:tr w:rsidR="00647063" w14:paraId="7819BDA5" w14:textId="77777777">
        <w:tc>
          <w:tcPr>
            <w:tcW w:w="2857" w:type="dxa"/>
          </w:tcPr>
          <w:p w14:paraId="11B12EF0" w14:textId="77777777" w:rsidR="00647063" w:rsidRDefault="00000000">
            <w:pPr>
              <w:spacing w:before="20" w:after="20"/>
              <w:rPr>
                <w:sz w:val="18"/>
                <w:szCs w:val="18"/>
              </w:rPr>
            </w:pPr>
            <w:r>
              <w:rPr>
                <w:sz w:val="18"/>
                <w:szCs w:val="18"/>
              </w:rPr>
              <w:lastRenderedPageBreak/>
              <w:t>Retrieval breadth, multi-country</w:t>
            </w:r>
          </w:p>
        </w:tc>
        <w:tc>
          <w:tcPr>
            <w:tcW w:w="5510" w:type="dxa"/>
          </w:tcPr>
          <w:p w14:paraId="556263E2" w14:textId="77777777" w:rsidR="00647063" w:rsidRDefault="00000000">
            <w:pPr>
              <w:spacing w:before="20" w:after="20"/>
              <w:rPr>
                <w:sz w:val="18"/>
                <w:szCs w:val="18"/>
              </w:rPr>
            </w:pPr>
            <w:r>
              <w:rPr>
                <w:sz w:val="18"/>
                <w:szCs w:val="18"/>
              </w:rPr>
              <w:t>Confirm 5 vs 10 results on France, Albania and Netherlands before a system-wide switch</w:t>
            </w:r>
          </w:p>
        </w:tc>
        <w:tc>
          <w:tcPr>
            <w:tcW w:w="1837" w:type="dxa"/>
          </w:tcPr>
          <w:p w14:paraId="3A9EC5DF" w14:textId="77777777" w:rsidR="00647063" w:rsidRDefault="00000000">
            <w:pPr>
              <w:spacing w:before="20" w:after="20"/>
              <w:rPr>
                <w:sz w:val="18"/>
                <w:szCs w:val="18"/>
              </w:rPr>
            </w:pPr>
            <w:r>
              <w:rPr>
                <w:sz w:val="18"/>
                <w:szCs w:val="18"/>
              </w:rPr>
              <w:t>Designed</w:t>
            </w:r>
          </w:p>
        </w:tc>
      </w:tr>
      <w:tr w:rsidR="00647063" w14:paraId="3C0D4961" w14:textId="77777777">
        <w:tc>
          <w:tcPr>
            <w:tcW w:w="2857" w:type="dxa"/>
          </w:tcPr>
          <w:p w14:paraId="0E8D67A5" w14:textId="77777777" w:rsidR="00647063" w:rsidRDefault="00000000">
            <w:pPr>
              <w:spacing w:before="20" w:after="20"/>
              <w:rPr>
                <w:sz w:val="18"/>
                <w:szCs w:val="18"/>
              </w:rPr>
            </w:pPr>
            <w:r>
              <w:rPr>
                <w:sz w:val="18"/>
                <w:szCs w:val="18"/>
              </w:rPr>
              <w:t>Verifier counter-search, multi-country</w:t>
            </w:r>
          </w:p>
        </w:tc>
        <w:tc>
          <w:tcPr>
            <w:tcW w:w="5510" w:type="dxa"/>
          </w:tcPr>
          <w:p w14:paraId="61CDCC6D" w14:textId="77777777" w:rsidR="00647063" w:rsidRDefault="00000000">
            <w:pPr>
              <w:spacing w:before="20" w:after="20"/>
              <w:rPr>
                <w:sz w:val="18"/>
                <w:szCs w:val="18"/>
              </w:rPr>
            </w:pPr>
            <w:r>
              <w:rPr>
                <w:sz w:val="18"/>
                <w:szCs w:val="18"/>
              </w:rPr>
              <w:t>'Never' vs 'always' at wider n (Netherlands, Malta, Albania)</w:t>
            </w:r>
          </w:p>
        </w:tc>
        <w:tc>
          <w:tcPr>
            <w:tcW w:w="1837" w:type="dxa"/>
          </w:tcPr>
          <w:p w14:paraId="2F28673D" w14:textId="77777777" w:rsidR="00647063" w:rsidRDefault="00000000">
            <w:pPr>
              <w:spacing w:before="20" w:after="20"/>
              <w:rPr>
                <w:sz w:val="18"/>
                <w:szCs w:val="18"/>
              </w:rPr>
            </w:pPr>
            <w:r>
              <w:rPr>
                <w:sz w:val="18"/>
                <w:szCs w:val="18"/>
              </w:rPr>
              <w:t>Designed</w:t>
            </w:r>
          </w:p>
        </w:tc>
      </w:tr>
      <w:tr w:rsidR="00647063" w14:paraId="3F6301FB" w14:textId="77777777">
        <w:tc>
          <w:tcPr>
            <w:tcW w:w="2857" w:type="dxa"/>
          </w:tcPr>
          <w:p w14:paraId="64C4ED3F" w14:textId="77777777" w:rsidR="00647063" w:rsidRDefault="00000000">
            <w:pPr>
              <w:spacing w:before="20" w:after="20"/>
              <w:rPr>
                <w:sz w:val="18"/>
                <w:szCs w:val="18"/>
              </w:rPr>
            </w:pPr>
            <w:r>
              <w:rPr>
                <w:sz w:val="18"/>
                <w:szCs w:val="18"/>
              </w:rPr>
              <w:t>Retry chaining on committing countries</w:t>
            </w:r>
          </w:p>
        </w:tc>
        <w:tc>
          <w:tcPr>
            <w:tcW w:w="5510" w:type="dxa"/>
          </w:tcPr>
          <w:p w14:paraId="71CE7003" w14:textId="77777777" w:rsidR="00647063" w:rsidRDefault="00000000">
            <w:pPr>
              <w:spacing w:before="20" w:after="20"/>
              <w:rPr>
                <w:sz w:val="18"/>
                <w:szCs w:val="18"/>
              </w:rPr>
            </w:pPr>
            <w:r>
              <w:rPr>
                <w:sz w:val="18"/>
                <w:szCs w:val="18"/>
              </w:rPr>
              <w:t>Baseline vs chained on Netherlands and Albania</w:t>
            </w:r>
          </w:p>
        </w:tc>
        <w:tc>
          <w:tcPr>
            <w:tcW w:w="1837" w:type="dxa"/>
          </w:tcPr>
          <w:p w14:paraId="17AC1309" w14:textId="77777777" w:rsidR="00647063" w:rsidRDefault="00000000">
            <w:pPr>
              <w:spacing w:before="20" w:after="20"/>
              <w:rPr>
                <w:sz w:val="18"/>
                <w:szCs w:val="18"/>
              </w:rPr>
            </w:pPr>
            <w:r>
              <w:rPr>
                <w:sz w:val="18"/>
                <w:szCs w:val="18"/>
              </w:rPr>
              <w:t>Designed</w:t>
            </w:r>
          </w:p>
        </w:tc>
      </w:tr>
      <w:tr w:rsidR="00647063" w14:paraId="5AEEFEBD" w14:textId="77777777">
        <w:tc>
          <w:tcPr>
            <w:tcW w:w="2857" w:type="dxa"/>
          </w:tcPr>
          <w:p w14:paraId="544FDF7C" w14:textId="77777777" w:rsidR="00647063" w:rsidRDefault="00000000">
            <w:pPr>
              <w:spacing w:before="20" w:after="20"/>
              <w:rPr>
                <w:sz w:val="18"/>
                <w:szCs w:val="18"/>
              </w:rPr>
            </w:pPr>
            <w:r>
              <w:rPr>
                <w:sz w:val="18"/>
                <w:szCs w:val="18"/>
              </w:rPr>
              <w:t>Foreign-language query ablation</w:t>
            </w:r>
          </w:p>
        </w:tc>
        <w:tc>
          <w:tcPr>
            <w:tcW w:w="5510" w:type="dxa"/>
          </w:tcPr>
          <w:p w14:paraId="173D8811" w14:textId="77777777" w:rsidR="00647063" w:rsidRDefault="00000000">
            <w:pPr>
              <w:spacing w:before="20" w:after="20"/>
              <w:rPr>
                <w:sz w:val="18"/>
                <w:szCs w:val="18"/>
              </w:rPr>
            </w:pPr>
            <w:r>
              <w:rPr>
                <w:sz w:val="18"/>
                <w:szCs w:val="18"/>
              </w:rPr>
              <w:t>Do native-language queries help on Albania, or is the limit a thin web?</w:t>
            </w:r>
          </w:p>
        </w:tc>
        <w:tc>
          <w:tcPr>
            <w:tcW w:w="1837" w:type="dxa"/>
          </w:tcPr>
          <w:p w14:paraId="2E99BCDC" w14:textId="77777777" w:rsidR="00647063" w:rsidRDefault="00000000">
            <w:pPr>
              <w:spacing w:before="20" w:after="20"/>
              <w:rPr>
                <w:sz w:val="18"/>
                <w:szCs w:val="18"/>
              </w:rPr>
            </w:pPr>
            <w:r>
              <w:rPr>
                <w:sz w:val="18"/>
                <w:szCs w:val="18"/>
              </w:rPr>
              <w:t>Designed</w:t>
            </w:r>
          </w:p>
        </w:tc>
      </w:tr>
      <w:tr w:rsidR="00647063" w14:paraId="3C48C522" w14:textId="77777777">
        <w:tc>
          <w:tcPr>
            <w:tcW w:w="2857" w:type="dxa"/>
          </w:tcPr>
          <w:p w14:paraId="1DAF890E" w14:textId="77777777" w:rsidR="00647063" w:rsidRDefault="00000000">
            <w:pPr>
              <w:spacing w:before="20" w:after="20"/>
              <w:rPr>
                <w:sz w:val="18"/>
                <w:szCs w:val="18"/>
              </w:rPr>
            </w:pPr>
            <w:r>
              <w:rPr>
                <w:sz w:val="18"/>
                <w:szCs w:val="18"/>
              </w:rPr>
              <w:t>Cost-side optimisations</w:t>
            </w:r>
          </w:p>
        </w:tc>
        <w:tc>
          <w:tcPr>
            <w:tcW w:w="5510" w:type="dxa"/>
          </w:tcPr>
          <w:p w14:paraId="7229A33E" w14:textId="77777777" w:rsidR="00647063" w:rsidRDefault="00000000">
            <w:pPr>
              <w:spacing w:before="20" w:after="20"/>
              <w:rPr>
                <w:sz w:val="18"/>
                <w:szCs w:val="18"/>
              </w:rPr>
            </w:pPr>
            <w:r>
              <w:rPr>
                <w:sz w:val="18"/>
                <w:szCs w:val="18"/>
              </w:rPr>
              <w:t>Prompt compression, trusted-domain-only search, and caching</w:t>
            </w:r>
          </w:p>
        </w:tc>
        <w:tc>
          <w:tcPr>
            <w:tcW w:w="1837" w:type="dxa"/>
          </w:tcPr>
          <w:p w14:paraId="42687477" w14:textId="77777777" w:rsidR="00647063" w:rsidRDefault="00000000">
            <w:pPr>
              <w:spacing w:before="20" w:after="20"/>
              <w:rPr>
                <w:sz w:val="18"/>
                <w:szCs w:val="18"/>
              </w:rPr>
            </w:pPr>
            <w:r>
              <w:rPr>
                <w:sz w:val="18"/>
                <w:szCs w:val="18"/>
              </w:rPr>
              <w:t>Planned</w:t>
            </w:r>
          </w:p>
        </w:tc>
      </w:tr>
    </w:tbl>
    <w:p w14:paraId="4EBF8344" w14:textId="77777777" w:rsidR="00647063" w:rsidRDefault="00647063">
      <w:pPr>
        <w:spacing w:before="200" w:after="100"/>
        <w:rPr>
          <w:sz w:val="22"/>
          <w:szCs w:val="22"/>
        </w:rPr>
      </w:pPr>
    </w:p>
    <w:p w14:paraId="241BA058" w14:textId="77777777" w:rsidR="00647063" w:rsidRDefault="00000000">
      <w:pPr>
        <w:pStyle w:val="Heading2"/>
      </w:pPr>
      <w:commentRangeStart w:id="17"/>
      <w:r>
        <w:t>Failure-Mode Taxonomy</w:t>
      </w:r>
      <w:commentRangeEnd w:id="17"/>
      <w:r>
        <w:rPr>
          <w:rStyle w:val="CommentReference"/>
          <w:sz w:val="26"/>
          <w:szCs w:val="26"/>
        </w:rPr>
        <w:commentReference w:id="17"/>
      </w:r>
    </w:p>
    <w:p w14:paraId="52E3253C" w14:textId="77777777" w:rsidR="00647063" w:rsidRDefault="00000000">
      <w:pPr>
        <w:pStyle w:val="ListParagraph"/>
        <w:numPr>
          <w:ilvl w:val="0"/>
          <w:numId w:val="1"/>
        </w:numPr>
        <w:spacing w:before="40" w:after="40"/>
        <w:rPr>
          <w:sz w:val="22"/>
          <w:szCs w:val="22"/>
        </w:rPr>
      </w:pPr>
      <w:r>
        <w:rPr>
          <w:sz w:val="22"/>
          <w:szCs w:val="22"/>
        </w:rPr>
        <w:t>The principal research contribution (RQ4): a register of the ways the system fails, built up as the swarm runs across countries.</w:t>
      </w:r>
    </w:p>
    <w:p w14:paraId="6F1863C2" w14:textId="77777777" w:rsidR="00647063" w:rsidRDefault="00000000">
      <w:pPr>
        <w:pStyle w:val="ListParagraph"/>
        <w:numPr>
          <w:ilvl w:val="0"/>
          <w:numId w:val="1"/>
        </w:numPr>
        <w:spacing w:before="40" w:after="40"/>
        <w:rPr>
          <w:sz w:val="22"/>
          <w:szCs w:val="22"/>
        </w:rPr>
      </w:pPr>
      <w:r>
        <w:rPr>
          <w:sz w:val="22"/>
          <w:szCs w:val="22"/>
        </w:rPr>
        <w:t>Currently 34 modes (FM-01 to FM-34), with a structural attack list and a suggested order for addressing them.</w:t>
      </w:r>
      <w:commentRangeStart w:id="25"/>
      <w:commentRangeEnd w:id="25"/>
      <w:r>
        <w:rPr>
          <w:rStyle w:val="CommentReference"/>
        </w:rPr>
        <w:commentReference w:id="25"/>
      </w:r>
    </w:p>
    <w:p w14:paraId="15B7F813" w14:textId="77777777" w:rsidR="00647063" w:rsidRDefault="00000000">
      <w:pPr>
        <w:pStyle w:val="ListParagraph"/>
        <w:numPr>
          <w:ilvl w:val="0"/>
          <w:numId w:val="1"/>
        </w:numPr>
        <w:spacing w:before="40" w:after="40"/>
        <w:rPr>
          <w:sz w:val="22"/>
          <w:szCs w:val="22"/>
        </w:rPr>
      </w:pPr>
      <w:r>
        <w:rPr>
          <w:sz w:val="22"/>
          <w:szCs w:val="22"/>
        </w:rPr>
        <w:t>Categories span retrieval (thin web, blocked portals), language, reasoning and verification gaps, and ground-truth mismatches (the self-report decisions above). Each mode records whether it is a fixable implementation limit or a structural ceiling, with a proposed question reformulation where one exists.</w:t>
      </w:r>
    </w:p>
    <w:p>
      <w:pPr>
        <w:spacing w:before="160" w:after="60"/>
        <w:rPr>
          <w:b/>
          <w:sz w:val="22"/>
          <w:szCs w:val="22"/>
        </w:rPr>
      </w:pPr>
      <w:r>
        <w:rPr>
          <w:b/>
          <w:sz w:val="22"/>
          <w:szCs w:val="22"/>
        </w:rPr>
        <w:t xml:space="preserve">Failure-mode taxonomy: the three-way cut (FM-01 to FM-34):</w:t>
      </w:r>
    </w:p>
    <w:tbl>
      <w:tblPr>
        <w:tblW w:w="102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108" w:type="dxa"/>
          <w:bottom w:w="40" w:type="dxa"/>
          <w:right w:w="108" w:type="dxa"/>
        </w:tblCellMar>
        <w:tblLook w:val="04A0" w:firstRow="1" w:lastRow="0" w:firstColumn="1" w:lastColumn="0" w:noHBand="0" w:noVBand="1"/>
      </w:tblPr>
      <w:tblGrid>
        <w:gridCol w:w="2400"/>
        <w:gridCol w:w="1000"/>
        <w:gridCol w:w="4200"/>
        <w:gridCol w:w="2600"/>
      </w:tblGrid>
      <w:tr>
        <w:trPr>
          <w:cantSplit/>
        </w:trPr>
        <w:tc>
          <w:tcPr>
            <w:tcW w:w="2400" w:type="dxa"/>
            <w:shd w:val="clear" w:color="auto" w:fill="1F3864"/>
            <w:vAlign w:val="center"/>
          </w:tcPr>
          <w:p>
            <w:pPr>
              <w:spacing w:before="20" w:after="20" w:line="240" w:lineRule="auto"/>
              <w:jc w:val="left"/>
              <w:rPr>
                <w:b/>
                <w:color w:val="FFFFFF"/>
                <w:sz w:val="20"/>
                <w:szCs w:val="20"/>
              </w:rPr>
            </w:pPr>
            <w:r>
              <w:rPr>
                <w:b/>
                <w:color w:val="FFFFFF"/>
                <w:sz w:val="20"/>
                <w:szCs w:val="20"/>
              </w:rPr>
              <w:t xml:space="preserve">Class</w:t>
            </w:r>
          </w:p>
        </w:tc>
        <w:tc>
          <w:tcPr>
            <w:tcW w:w="1000" w:type="dxa"/>
            <w:shd w:val="clear" w:color="auto" w:fill="1F3864"/>
            <w:vAlign w:val="center"/>
          </w:tcPr>
          <w:p>
            <w:pPr>
              <w:spacing w:before="20" w:after="20" w:line="240" w:lineRule="auto"/>
              <w:jc w:val="center"/>
              <w:rPr>
                <w:b/>
                <w:color w:val="FFFFFF"/>
                <w:sz w:val="20"/>
                <w:szCs w:val="20"/>
              </w:rPr>
            </w:pPr>
            <w:r>
              <w:rPr>
                <w:b/>
                <w:color w:val="FFFFFF"/>
                <w:sz w:val="20"/>
                <w:szCs w:val="20"/>
              </w:rPr>
              <w:t xml:space="preserve">Count</w:t>
            </w:r>
          </w:p>
        </w:tc>
        <w:tc>
          <w:tcPr>
            <w:tcW w:w="4200" w:type="dxa"/>
            <w:shd w:val="clear" w:color="auto" w:fill="1F3864"/>
            <w:vAlign w:val="center"/>
          </w:tcPr>
          <w:p>
            <w:pPr>
              <w:spacing w:before="20" w:after="20" w:line="240" w:lineRule="auto"/>
              <w:jc w:val="left"/>
              <w:rPr>
                <w:b/>
                <w:color w:val="FFFFFF"/>
                <w:sz w:val="20"/>
                <w:szCs w:val="20"/>
              </w:rPr>
            </w:pPr>
            <w:r>
              <w:rPr>
                <w:b/>
                <w:color w:val="FFFFFF"/>
                <w:sz w:val="20"/>
                <w:szCs w:val="20"/>
              </w:rPr>
              <w:t xml:space="preserve">What it means</w:t>
            </w:r>
          </w:p>
        </w:tc>
        <w:tc>
          <w:tcPr>
            <w:tcW w:w="2600" w:type="dxa"/>
            <w:shd w:val="clear" w:color="auto" w:fill="1F3864"/>
            <w:vAlign w:val="center"/>
          </w:tcPr>
          <w:p>
            <w:pPr>
              <w:spacing w:before="20" w:after="20" w:line="240" w:lineRule="auto"/>
              <w:jc w:val="left"/>
              <w:rPr>
                <w:b/>
                <w:color w:val="FFFFFF"/>
                <w:sz w:val="20"/>
                <w:szCs w:val="20"/>
              </w:rPr>
            </w:pPr>
            <w:r>
              <w:rPr>
                <w:b/>
                <w:color w:val="FFFFFF"/>
                <w:sz w:val="20"/>
                <w:szCs w:val="20"/>
              </w:rPr>
              <w:t xml:space="preserve">Example modes</w:t>
            </w:r>
          </w:p>
        </w:tc>
      </w:tr>
      <w:tr>
        <w:trPr>
          <w:cantSplit/>
        </w:trPr>
        <w:tc>
          <w:tcPr>
            <w:tcW w:w="2400" w:type="dxa"/>
            <w:vAlign w:val="center"/>
          </w:tcPr>
          <w:p>
            <w:pPr>
              <w:spacing w:before="20" w:after="20" w:line="240" w:lineRule="auto"/>
              <w:jc w:val="left"/>
              <w:rPr>
                <w:sz w:val="20"/>
                <w:szCs w:val="20"/>
              </w:rPr>
            </w:pPr>
            <w:r>
              <w:rPr>
                <w:sz w:val="20"/>
                <w:szCs w:val="20"/>
              </w:rPr>
              <w:t xml:space="preserve">Caught (deterministic gate)</w:t>
            </w:r>
          </w:p>
        </w:tc>
        <w:tc>
          <w:tcPr>
            <w:tcW w:w="1000" w:type="dxa"/>
            <w:vAlign w:val="center"/>
          </w:tcPr>
          <w:p>
            <w:pPr>
              <w:spacing w:before="20" w:after="20" w:line="240" w:lineRule="auto"/>
              <w:jc w:val="center"/>
              <w:rPr>
                <w:sz w:val="20"/>
                <w:szCs w:val="20"/>
              </w:rPr>
            </w:pPr>
            <w:r>
              <w:rPr>
                <w:sz w:val="20"/>
                <w:szCs w:val="20"/>
              </w:rPr>
              <w:t xml:space="preserve">3</w:t>
            </w:r>
          </w:p>
        </w:tc>
        <w:tc>
          <w:tcPr>
            <w:tcW w:w="4200" w:type="dxa"/>
            <w:vAlign w:val="center"/>
          </w:tcPr>
          <w:p>
            <w:pPr>
              <w:spacing w:before="20" w:after="20" w:line="240" w:lineRule="auto"/>
              <w:jc w:val="left"/>
              <w:rPr>
                <w:sz w:val="20"/>
                <w:szCs w:val="20"/>
              </w:rPr>
            </w:pPr>
            <w:r>
              <w:rPr>
                <w:sz w:val="20"/>
                <w:szCs w:val="20"/>
              </w:rPr>
              <w:t xml:space="preserve">Stopped before commit; the backbone trusted</w:t>
            </w:r>
          </w:p>
        </w:tc>
        <w:tc>
          <w:tcPr>
            <w:tcW w:w="2600" w:type="dxa"/>
            <w:vAlign w:val="center"/>
          </w:tcPr>
          <w:p>
            <w:pPr>
              <w:spacing w:before="20" w:after="20" w:line="240" w:lineRule="auto"/>
              <w:jc w:val="left"/>
              <w:rPr>
                <w:sz w:val="20"/>
                <w:szCs w:val="20"/>
              </w:rPr>
            </w:pPr>
            <w:r>
              <w:rPr>
                <w:sz w:val="20"/>
                <w:szCs w:val="20"/>
              </w:rPr>
              <w:t xml:space="preserve">FM-08, FM-12, FM-16</w:t>
            </w:r>
          </w:p>
        </w:tc>
      </w:tr>
      <w:tr>
        <w:trPr>
          <w:cantSplit/>
        </w:trPr>
        <w:tc>
          <w:tcPr>
            <w:tcW w:w="2400" w:type="dxa"/>
            <w:vAlign w:val="center"/>
          </w:tcPr>
          <w:p>
            <w:pPr>
              <w:spacing w:before="20" w:after="20" w:line="240" w:lineRule="auto"/>
              <w:jc w:val="left"/>
              <w:rPr>
                <w:sz w:val="20"/>
                <w:szCs w:val="20"/>
              </w:rPr>
            </w:pPr>
            <w:r>
              <w:rPr>
                <w:sz w:val="20"/>
                <w:szCs w:val="20"/>
              </w:rPr>
              <w:t xml:space="preserve">LLM-only (prompt-tunable)</w:t>
            </w:r>
          </w:p>
        </w:tc>
        <w:tc>
          <w:tcPr>
            <w:tcW w:w="1000" w:type="dxa"/>
            <w:vAlign w:val="center"/>
          </w:tcPr>
          <w:p>
            <w:pPr>
              <w:spacing w:before="20" w:after="20" w:line="240" w:lineRule="auto"/>
              <w:jc w:val="center"/>
              <w:rPr>
                <w:sz w:val="20"/>
                <w:szCs w:val="20"/>
              </w:rPr>
            </w:pPr>
            <w:r>
              <w:rPr>
                <w:sz w:val="20"/>
                <w:szCs w:val="20"/>
              </w:rPr>
              <w:t xml:space="preserve">9</w:t>
            </w:r>
          </w:p>
        </w:tc>
        <w:tc>
          <w:tcPr>
            <w:tcW w:w="4200" w:type="dxa"/>
            <w:vAlign w:val="center"/>
          </w:tcPr>
          <w:p>
            <w:pPr>
              <w:spacing w:before="20" w:after="20" w:line="240" w:lineRule="auto"/>
              <w:jc w:val="left"/>
              <w:rPr>
                <w:sz w:val="20"/>
                <w:szCs w:val="20"/>
              </w:rPr>
            </w:pPr>
            <w:r>
              <w:rPr>
                <w:sz w:val="20"/>
                <w:szCs w:val="20"/>
              </w:rPr>
              <w:t xml:space="preserve">Evidence is in context; accepted as a tunable risk</w:t>
            </w:r>
          </w:p>
        </w:tc>
        <w:tc>
          <w:tcPr>
            <w:tcW w:w="2600" w:type="dxa"/>
            <w:vAlign w:val="center"/>
          </w:tcPr>
          <w:p>
            <w:pPr>
              <w:spacing w:before="20" w:after="20" w:line="240" w:lineRule="auto"/>
              <w:jc w:val="left"/>
              <w:rPr>
                <w:sz w:val="20"/>
                <w:szCs w:val="20"/>
              </w:rPr>
            </w:pPr>
            <w:r>
              <w:rPr>
                <w:sz w:val="20"/>
                <w:szCs w:val="20"/>
              </w:rPr>
              <w:t xml:space="preserve">FM-01, FM-06, FM-24</w:t>
            </w:r>
          </w:p>
        </w:tc>
      </w:tr>
      <w:tr>
        <w:trPr>
          <w:cantSplit/>
        </w:trPr>
        <w:tc>
          <w:tcPr>
            <w:tcW w:w="2400" w:type="dxa"/>
            <w:vAlign w:val="center"/>
          </w:tcPr>
          <w:p>
            <w:pPr>
              <w:spacing w:before="20" w:after="20" w:line="240" w:lineRule="auto"/>
              <w:jc w:val="left"/>
              <w:rPr>
                <w:sz w:val="20"/>
                <w:szCs w:val="20"/>
              </w:rPr>
            </w:pPr>
            <w:r>
              <w:rPr>
                <w:sz w:val="20"/>
                <w:szCs w:val="20"/>
              </w:rPr>
              <w:t xml:space="preserve">Structural (the attack list)</w:t>
            </w:r>
          </w:p>
        </w:tc>
        <w:tc>
          <w:tcPr>
            <w:tcW w:w="1000" w:type="dxa"/>
            <w:vAlign w:val="center"/>
          </w:tcPr>
          <w:p>
            <w:pPr>
              <w:spacing w:before="20" w:after="20" w:line="240" w:lineRule="auto"/>
              <w:jc w:val="center"/>
              <w:rPr>
                <w:sz w:val="20"/>
                <w:szCs w:val="20"/>
              </w:rPr>
            </w:pPr>
            <w:r>
              <w:rPr>
                <w:sz w:val="20"/>
                <w:szCs w:val="20"/>
              </w:rPr>
              <w:t xml:space="preserve">22</w:t>
            </w:r>
          </w:p>
        </w:tc>
        <w:tc>
          <w:tcPr>
            <w:tcW w:w="4200" w:type="dxa"/>
            <w:vAlign w:val="center"/>
          </w:tcPr>
          <w:p>
            <w:pPr>
              <w:spacing w:before="20" w:after="20" w:line="240" w:lineRule="auto"/>
              <w:jc w:val="left"/>
              <w:rPr>
                <w:sz w:val="20"/>
                <w:szCs w:val="20"/>
              </w:rPr>
            </w:pPr>
            <w:r>
              <w:rPr>
                <w:sz w:val="20"/>
                <w:szCs w:val="20"/>
              </w:rPr>
              <w:t xml:space="preserve">Prompting cannot fix; grouped by root cause C1 to C6</w:t>
            </w:r>
          </w:p>
        </w:tc>
        <w:tc>
          <w:tcPr>
            <w:tcW w:w="2600" w:type="dxa"/>
            <w:vAlign w:val="center"/>
          </w:tcPr>
          <w:p>
            <w:pPr>
              <w:spacing w:before="20" w:after="20" w:line="240" w:lineRule="auto"/>
              <w:jc w:val="left"/>
              <w:rPr>
                <w:sz w:val="20"/>
                <w:szCs w:val="20"/>
              </w:rPr>
            </w:pPr>
            <w:r>
              <w:rPr>
                <w:sz w:val="20"/>
                <w:szCs w:val="20"/>
              </w:rPr>
              <w:t xml:space="preserve">FM-19, FM-23, FM-32</w:t>
            </w:r>
          </w:p>
        </w:tc>
      </w:tr>
      <w:tr>
        <w:trPr>
          <w:cantSplit/>
        </w:trPr>
        <w:tc>
          <w:tcPr>
            <w:tcW w:w="2400" w:type="dxa"/>
            <w:shd w:val="clear" w:color="auto" w:fill="DCE3F0"/>
            <w:vAlign w:val="center"/>
          </w:tcPr>
          <w:p>
            <w:pPr>
              <w:spacing w:before="20" w:after="20" w:line="240" w:lineRule="auto"/>
              <w:jc w:val="left"/>
              <w:rPr>
                <w:b/>
                <w:sz w:val="20"/>
                <w:szCs w:val="20"/>
              </w:rPr>
            </w:pPr>
            <w:r>
              <w:rPr>
                <w:b/>
                <w:sz w:val="20"/>
                <w:szCs w:val="20"/>
              </w:rPr>
              <w:t xml:space="preserve">Total</w:t>
            </w:r>
          </w:p>
        </w:tc>
        <w:tc>
          <w:tcPr>
            <w:tcW w:w="1000" w:type="dxa"/>
            <w:shd w:val="clear" w:color="auto" w:fill="DCE3F0"/>
            <w:vAlign w:val="center"/>
          </w:tcPr>
          <w:p>
            <w:pPr>
              <w:spacing w:before="20" w:after="20" w:line="240" w:lineRule="auto"/>
              <w:jc w:val="center"/>
              <w:rPr>
                <w:b/>
                <w:sz w:val="20"/>
                <w:szCs w:val="20"/>
              </w:rPr>
            </w:pPr>
            <w:r>
              <w:rPr>
                <w:b/>
                <w:sz w:val="20"/>
                <w:szCs w:val="20"/>
              </w:rPr>
              <w:t xml:space="preserve">34</w:t>
            </w:r>
          </w:p>
        </w:tc>
        <w:tc>
          <w:tcPr>
            <w:tcW w:w="4200" w:type="dxa"/>
            <w:shd w:val="clear" w:color="auto" w:fill="DCE3F0"/>
            <w:vAlign w:val="center"/>
          </w:tcPr>
          <w:p>
            <w:pPr>
              <w:spacing w:before="20" w:after="20" w:line="240" w:lineRule="auto"/>
              <w:jc w:val="left"/>
              <w:rPr>
                <w:b/>
                <w:sz w:val="20"/>
                <w:szCs w:val="20"/>
              </w:rPr>
            </w:pPr>
            <w:r>
              <w:rPr>
                <w:b/>
                <w:sz w:val="20"/>
                <w:szCs w:val="20"/>
              </w:rPr>
              <w:t xml:space="preserve"/>
            </w:r>
          </w:p>
        </w:tc>
        <w:tc>
          <w:tcPr>
            <w:tcW w:w="2600" w:type="dxa"/>
            <w:shd w:val="clear" w:color="auto" w:fill="DCE3F0"/>
            <w:vAlign w:val="center"/>
          </w:tcPr>
          <w:p>
            <w:pPr>
              <w:spacing w:before="20" w:after="20" w:line="240" w:lineRule="auto"/>
              <w:jc w:val="left"/>
              <w:rPr>
                <w:b/>
                <w:sz w:val="20"/>
                <w:szCs w:val="20"/>
              </w:rPr>
            </w:pPr>
            <w:r>
              <w:rPr>
                <w:b/>
                <w:sz w:val="20"/>
                <w:szCs w:val="20"/>
              </w:rPr>
              <w:t xml:space="preserve"/>
            </w:r>
          </w:p>
        </w:tc>
      </w:tr>
    </w:tbl>
    <w:p>
      <w:pPr>
        <w:spacing w:before="0" w:after="120"/>
        <w:rPr>
          <w:sz w:val="22"/>
          <w:szCs w:val="22"/>
        </w:rPr>
      </w:pPr>
    </w:p>
    <w:p w14:paraId="725677C2" w14:textId="2CAA4934" w:rsidR="00B0032C" w:rsidRDefault="00B0032C" w:rsidP="00B0032C">
      <w:pPr>
        <w:pStyle w:val="Heading2"/>
      </w:pPr>
      <w:r>
        <w:t>Abstention</w:t>
      </w:r>
      <w:commentRangeStart w:id="18"/>
      <w:r>
        <w:t xml:space="preserve"> Taxonomy</w:t>
      </w:r>
      <w:commentRangeEnd w:id="18"/>
      <w:r>
        <w:rPr>
          <w:rStyle w:val="CommentReference"/>
          <w:sz w:val="26"/>
          <w:szCs w:val="26"/>
        </w:rPr>
        <w:commentReference w:id="18"/>
      </w:r>
    </w:p>
    <w:p w14:paraId="4F251BE6" w14:textId="77777777" w:rsidR="00B0032C" w:rsidRPr="00B0032C" w:rsidRDefault="00B0032C" w:rsidP="00B0032C">
      <w:pPr>
        <w:spacing w:before="40" w:after="40"/>
        <w:rPr>
          <w:sz w:val="22"/>
          <w:szCs w:val="22"/>
        </w:rPr>
      </w:pPr>
    </w:p>
    <w:p w14:paraId="2F4709EA" w14:textId="33E1623F" w:rsidR="00B0032C" w:rsidRPr="00B0032C" w:rsidRDefault="00E47371" w:rsidP="00B0032C">
      <w:pPr>
        <w:pStyle w:val="ListParagraph"/>
        <w:numPr>
          <w:ilvl w:val="0"/>
          <w:numId w:val="1"/>
        </w:numPr>
        <w:spacing w:before="40" w:after="40"/>
        <w:rPr>
          <w:sz w:val="22"/>
          <w:szCs w:val="22"/>
        </w:rPr>
      </w:pPr>
      <w:commentRangeStart w:id="19"/>
      <w:r>
        <w:rPr>
          <w:sz w:val="22"/>
          <w:szCs w:val="22"/>
        </w:rPr>
        <w:t>R</w:t>
      </w:r>
      <w:commentRangeEnd w:id="19"/>
      <w:r>
        <w:rPr>
          <w:rStyle w:val="CommentReference"/>
          <w:rFonts w:ascii="Helvetica" w:hAnsi="Helvetica" w:cs="Helvetica"/>
          <w:sz w:val="24"/>
          <w:szCs w:val="24"/>
        </w:rPr>
        <w:commentReference w:id="19"/>
      </w:r>
      <w:r>
        <w:rPr>
          <w:rFonts w:ascii="Helvetica" w:hAnsi="Helvetica" w:cs="Helvetica"/>
        </w:rPr>
        <w:t xml:space="preserve"> ABSTENTION — promote this stub to its own subsection. It is the mechanism behind RQ4 (minimise false positives) and currently has no content. Things to cover:_• Name the three triggers in the loop: confidence below the 0.65 floor; verifier rejection surviving all three retries; adjudicator electing to abstain on conflicting evidence._• Give a small taxonomy of WHY it abstains: no evidence found (thin web); conflicting evidence; only deny-listed sources available; a falsifiable claim the counter-search refutes._• Quantify: no-commit (abstention) rate per dimension and per country, pulled from the DB / dashboard. Do not state from memory._• Core argument: abstention is what holds precision, so plot it against the false-positive rate among commits (the coverage axis of the three-outcome view you already cite)._• Show abstentions cluster on the unverifiable internal-action 'confirm' golds — that is the system behaving correctly, not failing._• Cross-ref: ties to the 0.65 floor being the binding precision control, and to the ground-truth-mismatch failure modes. </w:t>
      </w:r>
      <w:r>
        <w:rPr>
          <w:sz w:val="22"/>
          <w:szCs w:val="22"/>
        </w:rPr>
        <w:t>There are three ways an abstention is triggered: confidence below the threshold, verifier rejection surviving three retries, and adjudicator electing to abstain on conflicting evidence.</w:t>
      </w:r>
    </w:p>
    <w:p w14:paraId="6977CC31" w14:textId="77777777" w:rsidR="00B0032C" w:rsidRDefault="00B0032C" w:rsidP="00B0032C">
      <w:pPr>
        <w:pStyle w:val="ListParagraph"/>
        <w:spacing w:before="40" w:after="40"/>
        <w:ind w:left="720"/>
        <w:rPr>
          <w:sz w:val="22"/>
          <w:szCs w:val="22"/>
        </w:rPr>
      </w:pPr>
    </w:p>
    <w:p w14:paraId="47C23179" w14:textId="77777777" w:rsidR="00CB1A27" w:rsidRDefault="00CB1A27" w:rsidP="00B0032C">
      <w:pPr>
        <w:pStyle w:val="ListParagraph"/>
        <w:spacing w:before="40" w:after="40"/>
        <w:ind w:left="720"/>
        <w:rPr>
          <w:sz w:val="22"/>
          <w:szCs w:val="22"/>
        </w:rPr>
      </w:pPr>
    </w:p>
    <w:p w14:paraId="514C8629" w14:textId="3F8FBCE4" w:rsidR="00CB1A27" w:rsidRPr="00994A2C" w:rsidRDefault="00994A2C" w:rsidP="00994A2C">
      <w:pPr>
        <w:pStyle w:val="ListParagraph"/>
        <w:spacing w:before="40" w:after="40"/>
        <w:ind w:left="720"/>
        <w:rPr>
          <w:sz w:val="22"/>
          <w:szCs w:val="22"/>
        </w:rPr>
      </w:pPr>
      <w:r>
        <w:rPr>
          <w:sz w:val="22"/>
          <w:szCs w:val="22"/>
        </w:rPr>
        <w:t xml:space="preserve">Abstention is the main lever for controlling precision, and the trustworthiness of the system comes down to this. So a perfectly abstaining model is an important gate to a fully autonomous agentic research system. There are three triggers in the agent loop that can cause this; answer  below 0.65,  verifier rejection surviving all three retires, or the adjudicator electing to abstain on conflicting evidence. Understanding why the system can’t find an answer leads development, as we can understand which blockers are fixable, and which are insurmountable. </w:t>
      </w:r>
    </w:p>
    <w:p w14:paraId="42EA4E26" w14:textId="09E32C31" w:rsidR="00994A2C" w:rsidRDefault="0046251F" w:rsidP="00CB1A27">
      <w:pPr>
        <w:pStyle w:val="ListParagraph"/>
        <w:spacing w:before="40" w:after="40"/>
        <w:ind w:left="720"/>
        <w:rPr>
          <w:sz w:val="22"/>
          <w:szCs w:val="22"/>
        </w:rPr>
      </w:pPr>
      <w:r>
        <w:rPr>
          <w:sz w:val="22"/>
          <w:szCs w:val="22"/>
        </w:rPr>
        <w:t>There are multiple reasons why the system may not be able to retrieve concrete evidence, with thin web presence being the main cause, followed by conflicting evidence, deny-list only evidence, a falsifiable claim that the counter-evidence refutes.</w:t>
      </w:r>
    </w:p>
    <w:p>
      <w:pPr>
        <w:spacing w:before="120" w:after="60"/>
        <w:rPr>
          <w:b/>
          <w:sz w:val="22"/>
          <w:szCs w:val="22"/>
        </w:rPr>
      </w:pPr>
      <w:r>
        <w:rPr>
          <w:b/>
          <w:sz w:val="22"/>
          <w:szCs w:val="22"/>
        </w:rPr>
        <w:t>Abstention reasons (no-commit), n = 580:</w:t>
      </w:r>
    </w:p>
    <w:tbl>
      <w:tblPr>
        <w:tblW w:w="102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108" w:type="dxa"/>
          <w:bottom w:w="40" w:type="dxa"/>
          <w:right w:w="108" w:type="dxa"/>
        </w:tblCellMar>
        <w:tblLook w:val="04A0" w:firstRow="1" w:lastRow="0" w:firstColumn="1" w:lastColumn="0" w:noHBand="0" w:noVBand="1"/>
      </w:tblPr>
      <w:tblGrid>
        <w:gridCol w:w="720"/>
        <w:gridCol w:w="6060"/>
        <w:gridCol w:w="900"/>
        <w:gridCol w:w="900"/>
        <w:gridCol w:w="1620"/>
      </w:tblGrid>
      <w:tr>
        <w:trPr>
          <w:cantSplit/>
        </w:trPr>
        <w:tc>
          <w:tcPr>
            <w:tcW w:w="720" w:type="dxa"/>
            <w:shd w:val="clear" w:color="auto" w:fill="1F3864"/>
            <w:vAlign w:val="center"/>
          </w:tcPr>
          <w:p>
            <w:pPr>
              <w:spacing w:before="20" w:after="20" w:line="240" w:lineRule="auto"/>
              <w:jc w:val="center"/>
              <w:rPr>
                <w:b/>
                <w:color w:val="FFFFFF"/>
                <w:sz w:val="20"/>
                <w:szCs w:val="20"/>
              </w:rPr>
            </w:pPr>
            <w:r>
              <w:rPr>
                <w:b/>
                <w:color w:val="FFFFFF"/>
                <w:sz w:val="20"/>
                <w:szCs w:val="20"/>
              </w:rPr>
              <w:t xml:space="preserve">Code</w:t>
            </w:r>
          </w:p>
        </w:tc>
        <w:tc>
          <w:tcPr>
            <w:tcW w:w="6060" w:type="dxa"/>
            <w:shd w:val="clear" w:color="auto" w:fill="1F3864"/>
            <w:vAlign w:val="center"/>
          </w:tcPr>
          <w:p>
            <w:pPr>
              <w:spacing w:before="20" w:after="20" w:line="240" w:lineRule="auto"/>
              <w:jc w:val="left"/>
              <w:rPr>
                <w:b/>
                <w:color w:val="FFFFFF"/>
                <w:sz w:val="20"/>
                <w:szCs w:val="20"/>
              </w:rPr>
            </w:pPr>
            <w:r>
              <w:rPr>
                <w:b/>
                <w:color w:val="FFFFFF"/>
                <w:sz w:val="20"/>
                <w:szCs w:val="20"/>
              </w:rPr>
              <w:t xml:space="preserve">Reason</w:t>
            </w:r>
          </w:p>
        </w:tc>
        <w:tc>
          <w:tcPr>
            <w:tcW w:w="900" w:type="dxa"/>
            <w:shd w:val="clear" w:color="auto" w:fill="1F3864"/>
            <w:vAlign w:val="center"/>
          </w:tcPr>
          <w:p>
            <w:pPr>
              <w:spacing w:before="20" w:after="20" w:line="240" w:lineRule="auto"/>
              <w:jc w:val="center"/>
              <w:rPr>
                <w:b/>
                <w:color w:val="FFFFFF"/>
                <w:sz w:val="20"/>
                <w:szCs w:val="20"/>
              </w:rPr>
            </w:pPr>
            <w:r>
              <w:rPr>
                <w:b/>
                <w:color w:val="FFFFFF"/>
                <w:sz w:val="20"/>
                <w:szCs w:val="20"/>
              </w:rPr>
              <w:t xml:space="preserve">n</w:t>
            </w:r>
          </w:p>
        </w:tc>
        <w:tc>
          <w:tcPr>
            <w:tcW w:w="900" w:type="dxa"/>
            <w:shd w:val="clear" w:color="auto" w:fill="1F3864"/>
            <w:vAlign w:val="center"/>
          </w:tcPr>
          <w:p>
            <w:pPr>
              <w:spacing w:before="20" w:after="20" w:line="240" w:lineRule="auto"/>
              <w:jc w:val="center"/>
              <w:rPr>
                <w:b/>
                <w:color w:val="FFFFFF"/>
                <w:sz w:val="20"/>
                <w:szCs w:val="20"/>
              </w:rPr>
            </w:pPr>
            <w:r>
              <w:rPr>
                <w:b/>
                <w:color w:val="FFFFFF"/>
                <w:sz w:val="20"/>
                <w:szCs w:val="20"/>
              </w:rPr>
              <w:t xml:space="preserve">%</w:t>
            </w:r>
          </w:p>
        </w:tc>
        <w:tc>
          <w:tcPr>
            <w:tcW w:w="1620" w:type="dxa"/>
            <w:shd w:val="clear" w:color="auto" w:fill="1F3864"/>
            <w:vAlign w:val="center"/>
          </w:tcPr>
          <w:p>
            <w:pPr>
              <w:spacing w:before="20" w:after="20" w:line="240" w:lineRule="auto"/>
              <w:jc w:val="center"/>
              <w:rPr>
                <w:b/>
                <w:color w:val="FFFFFF"/>
                <w:sz w:val="20"/>
                <w:szCs w:val="20"/>
              </w:rPr>
            </w:pPr>
            <w:r>
              <w:rPr>
                <w:b/>
                <w:color w:val="FFFFFF"/>
                <w:sz w:val="20"/>
                <w:szCs w:val="20"/>
              </w:rPr>
              <w:t xml:space="preserve">Gold existed</w:t>
            </w:r>
          </w:p>
        </w:tc>
      </w:tr>
      <w:tr>
        <w:trPr>
          <w:cantSplit/>
        </w:trPr>
        <w:tc>
          <w:tcPr>
            <w:tcW w:w="720" w:type="dxa"/>
            <w:vAlign w:val="center"/>
          </w:tcPr>
          <w:p>
            <w:pPr>
              <w:spacing w:before="20" w:after="20" w:line="240" w:lineRule="auto"/>
              <w:jc w:val="center"/>
              <w:rPr>
                <w:sz w:val="20"/>
                <w:szCs w:val="20"/>
              </w:rPr>
            </w:pPr>
            <w:r>
              <w:rPr>
                <w:sz w:val="20"/>
                <w:szCs w:val="20"/>
              </w:rPr>
              <w:t xml:space="preserve">E</w:t>
            </w:r>
          </w:p>
        </w:tc>
        <w:tc>
          <w:tcPr>
            <w:tcW w:w="6060" w:type="dxa"/>
            <w:vAlign w:val="center"/>
          </w:tcPr>
          <w:p>
            <w:pPr>
              <w:spacing w:before="20" w:after="20" w:line="240" w:lineRule="auto"/>
              <w:jc w:val="left"/>
              <w:rPr>
                <w:sz w:val="20"/>
                <w:szCs w:val="20"/>
              </w:rPr>
            </w:pPr>
            <w:r>
              <w:rPr>
                <w:sz w:val="20"/>
                <w:szCs w:val="20"/>
              </w:rPr>
              <w:t xml:space="preserve">Verifier relevance rejection</w:t>
            </w:r>
          </w:p>
        </w:tc>
        <w:tc>
          <w:tcPr>
            <w:tcW w:w="900" w:type="dxa"/>
            <w:vAlign w:val="center"/>
          </w:tcPr>
          <w:p>
            <w:pPr>
              <w:spacing w:before="20" w:after="20" w:line="240" w:lineRule="auto"/>
              <w:jc w:val="center"/>
              <w:rPr>
                <w:sz w:val="20"/>
                <w:szCs w:val="20"/>
              </w:rPr>
            </w:pPr>
            <w:r>
              <w:rPr>
                <w:sz w:val="20"/>
                <w:szCs w:val="20"/>
              </w:rPr>
              <w:t xml:space="preserve">163</w:t>
            </w:r>
          </w:p>
        </w:tc>
        <w:tc>
          <w:tcPr>
            <w:tcW w:w="900" w:type="dxa"/>
            <w:vAlign w:val="center"/>
          </w:tcPr>
          <w:p>
            <w:pPr>
              <w:spacing w:before="20" w:after="20" w:line="240" w:lineRule="auto"/>
              <w:jc w:val="center"/>
              <w:rPr>
                <w:sz w:val="20"/>
                <w:szCs w:val="20"/>
              </w:rPr>
            </w:pPr>
            <w:r>
              <w:rPr>
                <w:sz w:val="20"/>
                <w:szCs w:val="20"/>
              </w:rPr>
              <w:t xml:space="preserve">28%</w:t>
            </w:r>
          </w:p>
        </w:tc>
        <w:tc>
          <w:tcPr>
            <w:tcW w:w="1620" w:type="dxa"/>
            <w:vAlign w:val="center"/>
          </w:tcPr>
          <w:p>
            <w:pPr>
              <w:spacing w:before="20" w:after="20" w:line="240" w:lineRule="auto"/>
              <w:jc w:val="center"/>
              <w:rPr>
                <w:sz w:val="20"/>
                <w:szCs w:val="20"/>
              </w:rPr>
            </w:pPr>
            <w:r>
              <w:rPr>
                <w:sz w:val="20"/>
                <w:szCs w:val="20"/>
              </w:rPr>
              <w:t xml:space="preserve">157/163</w:t>
            </w:r>
          </w:p>
        </w:tc>
      </w:tr>
      <w:tr>
        <w:trPr>
          <w:cantSplit/>
        </w:trPr>
        <w:tc>
          <w:tcPr>
            <w:tcW w:w="720" w:type="dxa"/>
            <w:vAlign w:val="center"/>
          </w:tcPr>
          <w:p>
            <w:pPr>
              <w:spacing w:before="20" w:after="20" w:line="240" w:lineRule="auto"/>
              <w:jc w:val="center"/>
              <w:rPr>
                <w:sz w:val="20"/>
                <w:szCs w:val="20"/>
              </w:rPr>
            </w:pPr>
            <w:r>
              <w:rPr>
                <w:sz w:val="20"/>
                <w:szCs w:val="20"/>
              </w:rPr>
              <w:t xml:space="preserve">G</w:t>
            </w:r>
          </w:p>
        </w:tc>
        <w:tc>
          <w:tcPr>
            <w:tcW w:w="6060" w:type="dxa"/>
            <w:vAlign w:val="center"/>
          </w:tcPr>
          <w:p>
            <w:pPr>
              <w:spacing w:before="20" w:after="20" w:line="240" w:lineRule="auto"/>
              <w:jc w:val="left"/>
              <w:rPr>
                <w:sz w:val="20"/>
                <w:szCs w:val="20"/>
              </w:rPr>
            </w:pPr>
            <w:r>
              <w:rPr>
                <w:sz w:val="20"/>
                <w:szCs w:val="20"/>
              </w:rPr>
              <w:t xml:space="preserve">Below the 0.65 confidence floor (D37)</w:t>
            </w:r>
          </w:p>
        </w:tc>
        <w:tc>
          <w:tcPr>
            <w:tcW w:w="900" w:type="dxa"/>
            <w:vAlign w:val="center"/>
          </w:tcPr>
          <w:p>
            <w:pPr>
              <w:spacing w:before="20" w:after="20" w:line="240" w:lineRule="auto"/>
              <w:jc w:val="center"/>
              <w:rPr>
                <w:sz w:val="20"/>
                <w:szCs w:val="20"/>
              </w:rPr>
            </w:pPr>
            <w:r>
              <w:rPr>
                <w:sz w:val="20"/>
                <w:szCs w:val="20"/>
              </w:rPr>
              <w:t xml:space="preserve">146</w:t>
            </w:r>
          </w:p>
        </w:tc>
        <w:tc>
          <w:tcPr>
            <w:tcW w:w="900" w:type="dxa"/>
            <w:vAlign w:val="center"/>
          </w:tcPr>
          <w:p>
            <w:pPr>
              <w:spacing w:before="20" w:after="20" w:line="240" w:lineRule="auto"/>
              <w:jc w:val="center"/>
              <w:rPr>
                <w:sz w:val="20"/>
                <w:szCs w:val="20"/>
              </w:rPr>
            </w:pPr>
            <w:r>
              <w:rPr>
                <w:sz w:val="20"/>
                <w:szCs w:val="20"/>
              </w:rPr>
              <w:t xml:space="preserve">25%</w:t>
            </w:r>
          </w:p>
        </w:tc>
        <w:tc>
          <w:tcPr>
            <w:tcW w:w="1620" w:type="dxa"/>
            <w:vAlign w:val="center"/>
          </w:tcPr>
          <w:p>
            <w:pPr>
              <w:spacing w:before="20" w:after="20" w:line="240" w:lineRule="auto"/>
              <w:jc w:val="center"/>
              <w:rPr>
                <w:sz w:val="20"/>
                <w:szCs w:val="20"/>
              </w:rPr>
            </w:pPr>
            <w:r>
              <w:rPr>
                <w:sz w:val="20"/>
                <w:szCs w:val="20"/>
              </w:rPr>
              <w:t xml:space="preserve">134/146</w:t>
            </w:r>
          </w:p>
        </w:tc>
      </w:tr>
      <w:tr>
        <w:trPr>
          <w:cantSplit/>
        </w:trPr>
        <w:tc>
          <w:tcPr>
            <w:tcW w:w="720" w:type="dxa"/>
            <w:vAlign w:val="center"/>
          </w:tcPr>
          <w:p>
            <w:pPr>
              <w:spacing w:before="20" w:after="20" w:line="240" w:lineRule="auto"/>
              <w:jc w:val="center"/>
              <w:rPr>
                <w:sz w:val="20"/>
                <w:szCs w:val="20"/>
              </w:rPr>
            </w:pPr>
            <w:r>
              <w:rPr>
                <w:sz w:val="20"/>
                <w:szCs w:val="20"/>
              </w:rPr>
              <w:t xml:space="preserve">I</w:t>
            </w:r>
          </w:p>
        </w:tc>
        <w:tc>
          <w:tcPr>
            <w:tcW w:w="6060" w:type="dxa"/>
            <w:vAlign w:val="center"/>
          </w:tcPr>
          <w:p>
            <w:pPr>
              <w:spacing w:before="20" w:after="20" w:line="240" w:lineRule="auto"/>
              <w:jc w:val="left"/>
              <w:rPr>
                <w:sz w:val="20"/>
                <w:szCs w:val="20"/>
              </w:rPr>
            </w:pPr>
            <w:r>
              <w:rPr>
                <w:sz w:val="20"/>
                <w:szCs w:val="20"/>
              </w:rPr>
              <w:t xml:space="preserve">Researcher never committed (said inconclusive itself)</w:t>
            </w:r>
          </w:p>
        </w:tc>
        <w:tc>
          <w:tcPr>
            <w:tcW w:w="900" w:type="dxa"/>
            <w:vAlign w:val="center"/>
          </w:tcPr>
          <w:p>
            <w:pPr>
              <w:spacing w:before="20" w:after="20" w:line="240" w:lineRule="auto"/>
              <w:jc w:val="center"/>
              <w:rPr>
                <w:sz w:val="20"/>
                <w:szCs w:val="20"/>
              </w:rPr>
            </w:pPr>
            <w:r>
              <w:rPr>
                <w:sz w:val="20"/>
                <w:szCs w:val="20"/>
              </w:rPr>
              <w:t xml:space="preserve">73</w:t>
            </w:r>
          </w:p>
        </w:tc>
        <w:tc>
          <w:tcPr>
            <w:tcW w:w="900" w:type="dxa"/>
            <w:vAlign w:val="center"/>
          </w:tcPr>
          <w:p>
            <w:pPr>
              <w:spacing w:before="20" w:after="20" w:line="240" w:lineRule="auto"/>
              <w:jc w:val="center"/>
              <w:rPr>
                <w:sz w:val="20"/>
                <w:szCs w:val="20"/>
              </w:rPr>
            </w:pPr>
            <w:r>
              <w:rPr>
                <w:sz w:val="20"/>
                <w:szCs w:val="20"/>
              </w:rPr>
              <w:t xml:space="preserve">13%</w:t>
            </w:r>
          </w:p>
        </w:tc>
        <w:tc>
          <w:tcPr>
            <w:tcW w:w="1620" w:type="dxa"/>
            <w:vAlign w:val="center"/>
          </w:tcPr>
          <w:p>
            <w:pPr>
              <w:spacing w:before="20" w:after="20" w:line="240" w:lineRule="auto"/>
              <w:jc w:val="center"/>
              <w:rPr>
                <w:sz w:val="20"/>
                <w:szCs w:val="20"/>
              </w:rPr>
            </w:pPr>
            <w:r>
              <w:rPr>
                <w:sz w:val="20"/>
                <w:szCs w:val="20"/>
              </w:rPr>
              <w:t xml:space="preserve">70/73</w:t>
            </w:r>
          </w:p>
        </w:tc>
      </w:tr>
      <w:tr>
        <w:trPr>
          <w:cantSplit/>
        </w:trPr>
        <w:tc>
          <w:tcPr>
            <w:tcW w:w="720" w:type="dxa"/>
            <w:vAlign w:val="center"/>
          </w:tcPr>
          <w:p>
            <w:pPr>
              <w:spacing w:before="20" w:after="20" w:line="240" w:lineRule="auto"/>
              <w:jc w:val="center"/>
              <w:rPr>
                <w:sz w:val="20"/>
                <w:szCs w:val="20"/>
              </w:rPr>
            </w:pPr>
            <w:r>
              <w:rPr>
                <w:sz w:val="20"/>
                <w:szCs w:val="20"/>
              </w:rPr>
              <w:t xml:space="preserve">D</w:t>
            </w:r>
          </w:p>
        </w:tc>
        <w:tc>
          <w:tcPr>
            <w:tcW w:w="6060" w:type="dxa"/>
            <w:vAlign w:val="center"/>
          </w:tcPr>
          <w:p>
            <w:pPr>
              <w:spacing w:before="20" w:after="20" w:line="240" w:lineRule="auto"/>
              <w:jc w:val="left"/>
              <w:rPr>
                <w:sz w:val="20"/>
                <w:szCs w:val="20"/>
              </w:rPr>
            </w:pPr>
            <w:r>
              <w:rPr>
                <w:sz w:val="20"/>
                <w:szCs w:val="20"/>
              </w:rPr>
              <w:t xml:space="preserve">Evidence ungrounded (substring/quote gate failed)</w:t>
            </w:r>
          </w:p>
        </w:tc>
        <w:tc>
          <w:tcPr>
            <w:tcW w:w="900" w:type="dxa"/>
            <w:vAlign w:val="center"/>
          </w:tcPr>
          <w:p>
            <w:pPr>
              <w:spacing w:before="20" w:after="20" w:line="240" w:lineRule="auto"/>
              <w:jc w:val="center"/>
              <w:rPr>
                <w:sz w:val="20"/>
                <w:szCs w:val="20"/>
              </w:rPr>
            </w:pPr>
            <w:r>
              <w:rPr>
                <w:sz w:val="20"/>
                <w:szCs w:val="20"/>
              </w:rPr>
              <w:t xml:space="preserve">66</w:t>
            </w:r>
          </w:p>
        </w:tc>
        <w:tc>
          <w:tcPr>
            <w:tcW w:w="900" w:type="dxa"/>
            <w:vAlign w:val="center"/>
          </w:tcPr>
          <w:p>
            <w:pPr>
              <w:spacing w:before="20" w:after="20" w:line="240" w:lineRule="auto"/>
              <w:jc w:val="center"/>
              <w:rPr>
                <w:sz w:val="20"/>
                <w:szCs w:val="20"/>
              </w:rPr>
            </w:pPr>
            <w:r>
              <w:rPr>
                <w:sz w:val="20"/>
                <w:szCs w:val="20"/>
              </w:rPr>
              <w:t xml:space="preserve">11%</w:t>
            </w:r>
          </w:p>
        </w:tc>
        <w:tc>
          <w:tcPr>
            <w:tcW w:w="1620" w:type="dxa"/>
            <w:vAlign w:val="center"/>
          </w:tcPr>
          <w:p>
            <w:pPr>
              <w:spacing w:before="20" w:after="20" w:line="240" w:lineRule="auto"/>
              <w:jc w:val="center"/>
              <w:rPr>
                <w:sz w:val="20"/>
                <w:szCs w:val="20"/>
              </w:rPr>
            </w:pPr>
            <w:r>
              <w:rPr>
                <w:sz w:val="20"/>
                <w:szCs w:val="20"/>
              </w:rPr>
              <w:t xml:space="preserve">61/66</w:t>
            </w:r>
          </w:p>
        </w:tc>
      </w:tr>
      <w:tr>
        <w:trPr>
          <w:cantSplit/>
        </w:trPr>
        <w:tc>
          <w:tcPr>
            <w:tcW w:w="720" w:type="dxa"/>
            <w:vAlign w:val="center"/>
          </w:tcPr>
          <w:p>
            <w:pPr>
              <w:spacing w:before="20" w:after="20" w:line="240" w:lineRule="auto"/>
              <w:jc w:val="center"/>
              <w:rPr>
                <w:sz w:val="20"/>
                <w:szCs w:val="20"/>
              </w:rPr>
            </w:pPr>
            <w:r>
              <w:rPr>
                <w:sz w:val="20"/>
                <w:szCs w:val="20"/>
              </w:rPr>
              <w:t xml:space="preserve">B</w:t>
            </w:r>
          </w:p>
        </w:tc>
        <w:tc>
          <w:tcPr>
            <w:tcW w:w="6060" w:type="dxa"/>
            <w:vAlign w:val="center"/>
          </w:tcPr>
          <w:p>
            <w:pPr>
              <w:spacing w:before="20" w:after="20" w:line="240" w:lineRule="auto"/>
              <w:jc w:val="left"/>
              <w:rPr>
                <w:sz w:val="20"/>
                <w:szCs w:val="20"/>
              </w:rPr>
            </w:pPr>
            <w:r>
              <w:rPr>
                <w:sz w:val="20"/>
                <w:szCs w:val="20"/>
              </w:rPr>
              <w:t xml:space="preserve">Fetch error (4xx/5xx/timeout)</w:t>
            </w:r>
          </w:p>
        </w:tc>
        <w:tc>
          <w:tcPr>
            <w:tcW w:w="900" w:type="dxa"/>
            <w:vAlign w:val="center"/>
          </w:tcPr>
          <w:p>
            <w:pPr>
              <w:spacing w:before="20" w:after="20" w:line="240" w:lineRule="auto"/>
              <w:jc w:val="center"/>
              <w:rPr>
                <w:sz w:val="20"/>
                <w:szCs w:val="20"/>
              </w:rPr>
            </w:pPr>
            <w:r>
              <w:rPr>
                <w:sz w:val="20"/>
                <w:szCs w:val="20"/>
              </w:rPr>
              <w:t xml:space="preserve">51</w:t>
            </w:r>
          </w:p>
        </w:tc>
        <w:tc>
          <w:tcPr>
            <w:tcW w:w="900" w:type="dxa"/>
            <w:vAlign w:val="center"/>
          </w:tcPr>
          <w:p>
            <w:pPr>
              <w:spacing w:before="20" w:after="20" w:line="240" w:lineRule="auto"/>
              <w:jc w:val="center"/>
              <w:rPr>
                <w:sz w:val="20"/>
                <w:szCs w:val="20"/>
              </w:rPr>
            </w:pPr>
            <w:r>
              <w:rPr>
                <w:sz w:val="20"/>
                <w:szCs w:val="20"/>
              </w:rPr>
              <w:t xml:space="preserve">9%</w:t>
            </w:r>
          </w:p>
        </w:tc>
        <w:tc>
          <w:tcPr>
            <w:tcW w:w="1620" w:type="dxa"/>
            <w:vAlign w:val="center"/>
          </w:tcPr>
          <w:p>
            <w:pPr>
              <w:spacing w:before="20" w:after="20" w:line="240" w:lineRule="auto"/>
              <w:jc w:val="center"/>
              <w:rPr>
                <w:sz w:val="20"/>
                <w:szCs w:val="20"/>
              </w:rPr>
            </w:pPr>
            <w:r>
              <w:rPr>
                <w:sz w:val="20"/>
                <w:szCs w:val="20"/>
              </w:rPr>
              <w:t xml:space="preserve">51/51</w:t>
            </w:r>
          </w:p>
        </w:tc>
      </w:tr>
      <w:tr>
        <w:trPr>
          <w:cantSplit/>
        </w:trPr>
        <w:tc>
          <w:tcPr>
            <w:tcW w:w="720" w:type="dxa"/>
            <w:vAlign w:val="center"/>
          </w:tcPr>
          <w:p>
            <w:pPr>
              <w:spacing w:before="20" w:after="20" w:line="240" w:lineRule="auto"/>
              <w:jc w:val="center"/>
              <w:rPr>
                <w:sz w:val="20"/>
                <w:szCs w:val="20"/>
              </w:rPr>
            </w:pPr>
            <w:r>
              <w:rPr>
                <w:sz w:val="20"/>
                <w:szCs w:val="20"/>
              </w:rPr>
              <w:t xml:space="preserve">A</w:t>
            </w:r>
          </w:p>
        </w:tc>
        <w:tc>
          <w:tcPr>
            <w:tcW w:w="6060" w:type="dxa"/>
            <w:vAlign w:val="center"/>
          </w:tcPr>
          <w:p>
            <w:pPr>
              <w:spacing w:before="20" w:after="20" w:line="240" w:lineRule="auto"/>
              <w:jc w:val="left"/>
              <w:rPr>
                <w:sz w:val="20"/>
                <w:szCs w:val="20"/>
              </w:rPr>
            </w:pPr>
            <w:r>
              <w:rPr>
                <w:sz w:val="20"/>
                <w:szCs w:val="20"/>
              </w:rPr>
              <w:t xml:space="preserve">Thin web / no search results</w:t>
            </w:r>
          </w:p>
        </w:tc>
        <w:tc>
          <w:tcPr>
            <w:tcW w:w="900" w:type="dxa"/>
            <w:vAlign w:val="center"/>
          </w:tcPr>
          <w:p>
            <w:pPr>
              <w:spacing w:before="20" w:after="20" w:line="240" w:lineRule="auto"/>
              <w:jc w:val="center"/>
              <w:rPr>
                <w:sz w:val="20"/>
                <w:szCs w:val="20"/>
              </w:rPr>
            </w:pPr>
            <w:r>
              <w:rPr>
                <w:sz w:val="20"/>
                <w:szCs w:val="20"/>
              </w:rPr>
              <w:t xml:space="preserve">38</w:t>
            </w:r>
          </w:p>
        </w:tc>
        <w:tc>
          <w:tcPr>
            <w:tcW w:w="900" w:type="dxa"/>
            <w:vAlign w:val="center"/>
          </w:tcPr>
          <w:p>
            <w:pPr>
              <w:spacing w:before="20" w:after="20" w:line="240" w:lineRule="auto"/>
              <w:jc w:val="center"/>
              <w:rPr>
                <w:sz w:val="20"/>
                <w:szCs w:val="20"/>
              </w:rPr>
            </w:pPr>
            <w:r>
              <w:rPr>
                <w:sz w:val="20"/>
                <w:szCs w:val="20"/>
              </w:rPr>
              <w:t xml:space="preserve">7%</w:t>
            </w:r>
          </w:p>
        </w:tc>
        <w:tc>
          <w:tcPr>
            <w:tcW w:w="1620" w:type="dxa"/>
            <w:vAlign w:val="center"/>
          </w:tcPr>
          <w:p>
            <w:pPr>
              <w:spacing w:before="20" w:after="20" w:line="240" w:lineRule="auto"/>
              <w:jc w:val="center"/>
              <w:rPr>
                <w:sz w:val="20"/>
                <w:szCs w:val="20"/>
              </w:rPr>
            </w:pPr>
            <w:r>
              <w:rPr>
                <w:sz w:val="20"/>
                <w:szCs w:val="20"/>
              </w:rPr>
              <w:t xml:space="preserve">38/38</w:t>
            </w:r>
          </w:p>
        </w:tc>
      </w:tr>
      <w:tr>
        <w:trPr>
          <w:cantSplit/>
        </w:trPr>
        <w:tc>
          <w:tcPr>
            <w:tcW w:w="720" w:type="dxa"/>
            <w:vAlign w:val="center"/>
          </w:tcPr>
          <w:p>
            <w:pPr>
              <w:spacing w:before="20" w:after="20" w:line="240" w:lineRule="auto"/>
              <w:jc w:val="center"/>
              <w:rPr>
                <w:sz w:val="20"/>
                <w:szCs w:val="20"/>
              </w:rPr>
            </w:pPr>
            <w:r>
              <w:rPr>
                <w:sz w:val="20"/>
                <w:szCs w:val="20"/>
              </w:rPr>
              <w:t xml:space="preserve">F3</w:t>
            </w:r>
          </w:p>
        </w:tc>
        <w:tc>
          <w:tcPr>
            <w:tcW w:w="6060" w:type="dxa"/>
            <w:vAlign w:val="center"/>
          </w:tcPr>
          <w:p>
            <w:pPr>
              <w:spacing w:before="20" w:after="20" w:line="240" w:lineRule="auto"/>
              <w:jc w:val="left"/>
              <w:rPr>
                <w:sz w:val="20"/>
                <w:szCs w:val="20"/>
              </w:rPr>
            </w:pPr>
            <w:r>
              <w:rPr>
                <w:sz w:val="20"/>
                <w:szCs w:val="20"/>
              </w:rPr>
              <w:t xml:space="preserve">Search-empty hard failure</w:t>
            </w:r>
          </w:p>
        </w:tc>
        <w:tc>
          <w:tcPr>
            <w:tcW w:w="900" w:type="dxa"/>
            <w:vAlign w:val="center"/>
          </w:tcPr>
          <w:p>
            <w:pPr>
              <w:spacing w:before="20" w:after="20" w:line="240" w:lineRule="auto"/>
              <w:jc w:val="center"/>
              <w:rPr>
                <w:sz w:val="20"/>
                <w:szCs w:val="20"/>
              </w:rPr>
            </w:pPr>
            <w:r>
              <w:rPr>
                <w:sz w:val="20"/>
                <w:szCs w:val="20"/>
              </w:rPr>
              <w:t xml:space="preserve">21</w:t>
            </w:r>
          </w:p>
        </w:tc>
        <w:tc>
          <w:tcPr>
            <w:tcW w:w="900" w:type="dxa"/>
            <w:vAlign w:val="center"/>
          </w:tcPr>
          <w:p>
            <w:pPr>
              <w:spacing w:before="20" w:after="20" w:line="240" w:lineRule="auto"/>
              <w:jc w:val="center"/>
              <w:rPr>
                <w:sz w:val="20"/>
                <w:szCs w:val="20"/>
              </w:rPr>
            </w:pPr>
            <w:r>
              <w:rPr>
                <w:sz w:val="20"/>
                <w:szCs w:val="20"/>
              </w:rPr>
              <w:t xml:space="preserve">4%</w:t>
            </w:r>
          </w:p>
        </w:tc>
        <w:tc>
          <w:tcPr>
            <w:tcW w:w="1620" w:type="dxa"/>
            <w:vAlign w:val="center"/>
          </w:tcPr>
          <w:p>
            <w:pPr>
              <w:spacing w:before="20" w:after="20" w:line="240" w:lineRule="auto"/>
              <w:jc w:val="center"/>
              <w:rPr>
                <w:sz w:val="20"/>
                <w:szCs w:val="20"/>
              </w:rPr>
            </w:pPr>
            <w:r>
              <w:rPr>
                <w:sz w:val="20"/>
                <w:szCs w:val="20"/>
              </w:rPr>
              <w:t xml:space="preserve">n/a</w:t>
            </w:r>
          </w:p>
        </w:tc>
      </w:tr>
      <w:tr>
        <w:trPr>
          <w:cantSplit/>
        </w:trPr>
        <w:tc>
          <w:tcPr>
            <w:tcW w:w="720" w:type="dxa"/>
            <w:vAlign w:val="center"/>
          </w:tcPr>
          <w:p>
            <w:pPr>
              <w:spacing w:before="20" w:after="20" w:line="240" w:lineRule="auto"/>
              <w:jc w:val="center"/>
              <w:rPr>
                <w:sz w:val="20"/>
                <w:szCs w:val="20"/>
              </w:rPr>
            </w:pPr>
            <w:r>
              <w:rPr>
                <w:sz w:val="20"/>
                <w:szCs w:val="20"/>
              </w:rPr>
              <w:t xml:space="preserve">C</w:t>
            </w:r>
          </w:p>
        </w:tc>
        <w:tc>
          <w:tcPr>
            <w:tcW w:w="6060" w:type="dxa"/>
            <w:vAlign w:val="center"/>
          </w:tcPr>
          <w:p>
            <w:pPr>
              <w:spacing w:before="20" w:after="20" w:line="240" w:lineRule="auto"/>
              <w:jc w:val="left"/>
              <w:rPr>
                <w:sz w:val="20"/>
                <w:szCs w:val="20"/>
              </w:rPr>
            </w:pPr>
            <w:r>
              <w:rPr>
                <w:sz w:val="20"/>
                <w:szCs w:val="20"/>
              </w:rPr>
              <w:t xml:space="preserve">Deny-listed / MQA source (leakage guard)</w:t>
            </w:r>
          </w:p>
        </w:tc>
        <w:tc>
          <w:tcPr>
            <w:tcW w:w="900" w:type="dxa"/>
            <w:vAlign w:val="center"/>
          </w:tcPr>
          <w:p>
            <w:pPr>
              <w:spacing w:before="20" w:after="20" w:line="240" w:lineRule="auto"/>
              <w:jc w:val="center"/>
              <w:rPr>
                <w:sz w:val="20"/>
                <w:szCs w:val="20"/>
              </w:rPr>
            </w:pPr>
            <w:r>
              <w:rPr>
                <w:sz w:val="20"/>
                <w:szCs w:val="20"/>
              </w:rPr>
              <w:t xml:space="preserve">8</w:t>
            </w:r>
          </w:p>
        </w:tc>
        <w:tc>
          <w:tcPr>
            <w:tcW w:w="900" w:type="dxa"/>
            <w:vAlign w:val="center"/>
          </w:tcPr>
          <w:p>
            <w:pPr>
              <w:spacing w:before="20" w:after="20" w:line="240" w:lineRule="auto"/>
              <w:jc w:val="center"/>
              <w:rPr>
                <w:sz w:val="20"/>
                <w:szCs w:val="20"/>
              </w:rPr>
            </w:pPr>
            <w:r>
              <w:rPr>
                <w:sz w:val="20"/>
                <w:szCs w:val="20"/>
              </w:rPr>
              <w:t xml:space="preserve">1%</w:t>
            </w:r>
          </w:p>
        </w:tc>
        <w:tc>
          <w:tcPr>
            <w:tcW w:w="1620" w:type="dxa"/>
            <w:vAlign w:val="center"/>
          </w:tcPr>
          <w:p>
            <w:pPr>
              <w:spacing w:before="20" w:after="20" w:line="240" w:lineRule="auto"/>
              <w:jc w:val="center"/>
              <w:rPr>
                <w:sz w:val="20"/>
                <w:szCs w:val="20"/>
              </w:rPr>
            </w:pPr>
            <w:r>
              <w:rPr>
                <w:sz w:val="20"/>
                <w:szCs w:val="20"/>
              </w:rPr>
              <w:t xml:space="preserve">n/a</w:t>
            </w:r>
          </w:p>
        </w:tc>
      </w:tr>
      <w:tr>
        <w:trPr>
          <w:cantSplit/>
        </w:trPr>
        <w:tc>
          <w:tcPr>
            <w:tcW w:w="720" w:type="dxa"/>
            <w:vAlign w:val="center"/>
          </w:tcPr>
          <w:p>
            <w:pPr>
              <w:spacing w:before="20" w:after="20" w:line="240" w:lineRule="auto"/>
              <w:jc w:val="center"/>
              <w:rPr>
                <w:sz w:val="20"/>
                <w:szCs w:val="20"/>
              </w:rPr>
            </w:pPr>
            <w:r>
              <w:rPr>
                <w:sz w:val="20"/>
                <w:szCs w:val="20"/>
              </w:rPr>
              <w:t xml:space="preserve">F1</w:t>
            </w:r>
          </w:p>
        </w:tc>
        <w:tc>
          <w:tcPr>
            <w:tcW w:w="6060" w:type="dxa"/>
            <w:vAlign w:val="center"/>
          </w:tcPr>
          <w:p>
            <w:pPr>
              <w:spacing w:before="20" w:after="20" w:line="240" w:lineRule="auto"/>
              <w:jc w:val="left"/>
              <w:rPr>
                <w:sz w:val="20"/>
                <w:szCs w:val="20"/>
              </w:rPr>
            </w:pPr>
            <w:r>
              <w:rPr>
                <w:sz w:val="20"/>
                <w:szCs w:val="20"/>
              </w:rPr>
              <w:t xml:space="preserve">Schema-invalid hard failure</w:t>
            </w:r>
          </w:p>
        </w:tc>
        <w:tc>
          <w:tcPr>
            <w:tcW w:w="900" w:type="dxa"/>
            <w:vAlign w:val="center"/>
          </w:tcPr>
          <w:p>
            <w:pPr>
              <w:spacing w:before="20" w:after="20" w:line="240" w:lineRule="auto"/>
              <w:jc w:val="center"/>
              <w:rPr>
                <w:sz w:val="20"/>
                <w:szCs w:val="20"/>
              </w:rPr>
            </w:pPr>
            <w:r>
              <w:rPr>
                <w:sz w:val="20"/>
                <w:szCs w:val="20"/>
              </w:rPr>
              <w:t xml:space="preserve">5</w:t>
            </w:r>
          </w:p>
        </w:tc>
        <w:tc>
          <w:tcPr>
            <w:tcW w:w="900" w:type="dxa"/>
            <w:vAlign w:val="center"/>
          </w:tcPr>
          <w:p>
            <w:pPr>
              <w:spacing w:before="20" w:after="20" w:line="240" w:lineRule="auto"/>
              <w:jc w:val="center"/>
              <w:rPr>
                <w:sz w:val="20"/>
                <w:szCs w:val="20"/>
              </w:rPr>
            </w:pPr>
            <w:r>
              <w:rPr>
                <w:sz w:val="20"/>
                <w:szCs w:val="20"/>
              </w:rPr>
              <w:t xml:space="preserve">1%</w:t>
            </w:r>
          </w:p>
        </w:tc>
        <w:tc>
          <w:tcPr>
            <w:tcW w:w="1620" w:type="dxa"/>
            <w:vAlign w:val="center"/>
          </w:tcPr>
          <w:p>
            <w:pPr>
              <w:spacing w:before="20" w:after="20" w:line="240" w:lineRule="auto"/>
              <w:jc w:val="center"/>
              <w:rPr>
                <w:sz w:val="20"/>
                <w:szCs w:val="20"/>
              </w:rPr>
            </w:pPr>
            <w:r>
              <w:rPr>
                <w:sz w:val="20"/>
                <w:szCs w:val="20"/>
              </w:rPr>
              <w:t xml:space="preserve">n/a</w:t>
            </w:r>
          </w:p>
        </w:tc>
      </w:tr>
      <w:tr>
        <w:trPr>
          <w:cantSplit/>
        </w:trPr>
        <w:tc>
          <w:tcPr>
            <w:tcW w:w="720" w:type="dxa"/>
            <w:vAlign w:val="center"/>
          </w:tcPr>
          <w:p>
            <w:pPr>
              <w:spacing w:before="20" w:after="20" w:line="240" w:lineRule="auto"/>
              <w:jc w:val="center"/>
              <w:rPr>
                <w:sz w:val="20"/>
                <w:szCs w:val="20"/>
              </w:rPr>
            </w:pPr>
            <w:r>
              <w:rPr>
                <w:sz w:val="20"/>
                <w:szCs w:val="20"/>
              </w:rPr>
              <w:t xml:space="preserve">Z</w:t>
            </w:r>
          </w:p>
        </w:tc>
        <w:tc>
          <w:tcPr>
            <w:tcW w:w="6060" w:type="dxa"/>
            <w:vAlign w:val="center"/>
          </w:tcPr>
          <w:p>
            <w:pPr>
              <w:spacing w:before="20" w:after="20" w:line="240" w:lineRule="auto"/>
              <w:jc w:val="left"/>
              <w:rPr>
                <w:sz w:val="20"/>
                <w:szCs w:val="20"/>
              </w:rPr>
            </w:pPr>
            <w:r>
              <w:rPr>
                <w:sz w:val="20"/>
                <w:szCs w:val="20"/>
              </w:rPr>
              <w:t xml:space="preserve">Other</w:t>
            </w:r>
          </w:p>
        </w:tc>
        <w:tc>
          <w:tcPr>
            <w:tcW w:w="900" w:type="dxa"/>
            <w:vAlign w:val="center"/>
          </w:tcPr>
          <w:p>
            <w:pPr>
              <w:spacing w:before="20" w:after="20" w:line="240" w:lineRule="auto"/>
              <w:jc w:val="center"/>
              <w:rPr>
                <w:sz w:val="20"/>
                <w:szCs w:val="20"/>
              </w:rPr>
            </w:pPr>
            <w:r>
              <w:rPr>
                <w:sz w:val="20"/>
                <w:szCs w:val="20"/>
              </w:rPr>
              <w:t xml:space="preserve">9</w:t>
            </w:r>
          </w:p>
        </w:tc>
        <w:tc>
          <w:tcPr>
            <w:tcW w:w="900" w:type="dxa"/>
            <w:vAlign w:val="center"/>
          </w:tcPr>
          <w:p>
            <w:pPr>
              <w:spacing w:before="20" w:after="20" w:line="240" w:lineRule="auto"/>
              <w:jc w:val="center"/>
              <w:rPr>
                <w:sz w:val="20"/>
                <w:szCs w:val="20"/>
              </w:rPr>
            </w:pPr>
            <w:r>
              <w:rPr>
                <w:sz w:val="20"/>
                <w:szCs w:val="20"/>
              </w:rPr>
              <w:t xml:space="preserve">2%</w:t>
            </w:r>
          </w:p>
        </w:tc>
        <w:tc>
          <w:tcPr>
            <w:tcW w:w="1620" w:type="dxa"/>
            <w:vAlign w:val="center"/>
          </w:tcPr>
          <w:p>
            <w:pPr>
              <w:spacing w:before="20" w:after="20" w:line="240" w:lineRule="auto"/>
              <w:jc w:val="center"/>
              <w:rPr>
                <w:sz w:val="20"/>
                <w:szCs w:val="20"/>
              </w:rPr>
            </w:pPr>
            <w:r>
              <w:rPr>
                <w:sz w:val="20"/>
                <w:szCs w:val="20"/>
              </w:rPr>
              <w:t xml:space="preserve">n/a</w:t>
            </w:r>
          </w:p>
        </w:tc>
      </w:tr>
      <w:tr>
        <w:trPr>
          <w:cantSplit/>
        </w:trPr>
        <w:tc>
          <w:tcPr>
            <w:tcW w:w="720" w:type="dxa"/>
            <w:shd w:val="clear" w:color="auto" w:fill="DCE3F0"/>
            <w:vAlign w:val="center"/>
          </w:tcPr>
          <w:p>
            <w:pPr>
              <w:spacing w:before="20" w:after="20" w:line="240" w:lineRule="auto"/>
              <w:jc w:val="center"/>
              <w:rPr>
                <w:b/>
                <w:sz w:val="20"/>
                <w:szCs w:val="20"/>
              </w:rPr>
            </w:pPr>
            <w:r>
              <w:rPr>
                <w:b/>
                <w:sz w:val="20"/>
                <w:szCs w:val="20"/>
              </w:rPr>
              <w:t xml:space="preserve"/>
            </w:r>
          </w:p>
        </w:tc>
        <w:tc>
          <w:tcPr>
            <w:tcW w:w="6060" w:type="dxa"/>
            <w:shd w:val="clear" w:color="auto" w:fill="DCE3F0"/>
            <w:vAlign w:val="center"/>
          </w:tcPr>
          <w:p>
            <w:pPr>
              <w:spacing w:before="20" w:after="20" w:line="240" w:lineRule="auto"/>
              <w:jc w:val="left"/>
              <w:rPr>
                <w:b/>
                <w:sz w:val="20"/>
                <w:szCs w:val="20"/>
              </w:rPr>
            </w:pPr>
            <w:r>
              <w:rPr>
                <w:b/>
                <w:sz w:val="20"/>
                <w:szCs w:val="20"/>
              </w:rPr>
              <w:t xml:space="preserve">Total (all no-commits)</w:t>
            </w:r>
          </w:p>
        </w:tc>
        <w:tc>
          <w:tcPr>
            <w:tcW w:w="900" w:type="dxa"/>
            <w:shd w:val="clear" w:color="auto" w:fill="DCE3F0"/>
            <w:vAlign w:val="center"/>
          </w:tcPr>
          <w:p>
            <w:pPr>
              <w:spacing w:before="20" w:after="20" w:line="240" w:lineRule="auto"/>
              <w:jc w:val="center"/>
              <w:rPr>
                <w:b/>
                <w:sz w:val="20"/>
                <w:szCs w:val="20"/>
              </w:rPr>
            </w:pPr>
            <w:r>
              <w:rPr>
                <w:b/>
                <w:sz w:val="20"/>
                <w:szCs w:val="20"/>
              </w:rPr>
              <w:t xml:space="preserve">580</w:t>
            </w:r>
          </w:p>
        </w:tc>
        <w:tc>
          <w:tcPr>
            <w:tcW w:w="900" w:type="dxa"/>
            <w:shd w:val="clear" w:color="auto" w:fill="DCE3F0"/>
            <w:vAlign w:val="center"/>
          </w:tcPr>
          <w:p>
            <w:pPr>
              <w:spacing w:before="20" w:after="20" w:line="240" w:lineRule="auto"/>
              <w:jc w:val="center"/>
              <w:rPr>
                <w:b/>
                <w:sz w:val="20"/>
                <w:szCs w:val="20"/>
              </w:rPr>
            </w:pPr>
            <w:r>
              <w:rPr>
                <w:b/>
                <w:sz w:val="20"/>
                <w:szCs w:val="20"/>
              </w:rPr>
              <w:t xml:space="preserve">100%</w:t>
            </w:r>
          </w:p>
        </w:tc>
        <w:tc>
          <w:tcPr>
            <w:tcW w:w="1620" w:type="dxa"/>
            <w:shd w:val="clear" w:color="auto" w:fill="DCE3F0"/>
            <w:vAlign w:val="center"/>
          </w:tcPr>
          <w:p>
            <w:pPr>
              <w:spacing w:before="20" w:after="20" w:line="240" w:lineRule="auto"/>
              <w:jc w:val="center"/>
              <w:rPr>
                <w:b/>
                <w:sz w:val="20"/>
                <w:szCs w:val="20"/>
              </w:rPr>
            </w:pPr>
            <w:r>
              <w:rPr>
                <w:b/>
                <w:sz w:val="20"/>
                <w:szCs w:val="20"/>
              </w:rPr>
              <w:t xml:space="preserve">511/537</w:t>
            </w:r>
          </w:p>
        </w:tc>
      </w:tr>
    </w:tbl>
    <w:p>
      <w:pPr>
        <w:spacing w:before="0" w:after="120"/>
        <w:rPr>
          <w:sz w:val="22"/>
          <w:szCs w:val="22"/>
        </w:rPr>
      </w:pPr>
    </w:p>
    <w:p w14:paraId="5159A57D" w14:textId="7DDE04F8" w:rsidR="00303642" w:rsidRDefault="00A165A3" w:rsidP="00303642">
      <w:pPr>
        <w:pStyle w:val="ListParagraph"/>
        <w:spacing w:before="40" w:after="40"/>
        <w:ind w:left="720"/>
        <w:rPr>
          <w:sz w:val="22"/>
          <w:szCs w:val="22"/>
        </w:rPr>
      </w:pPr>
      <w:r>
        <w:rPr>
          <w:sz w:val="22"/>
          <w:szCs w:val="22"/>
        </w:rPr>
        <w:t xml:space="preserve">Claude I need you to make this table prettier. Is it in the right place? Is this table showing abstentions? </w:t>
      </w:r>
      <w:commentRangeStart w:id="24"/>
      <w:commentRangeEnd w:id="24"/>
      <w:r>
        <w:rPr>
          <w:rStyle w:val="CommentReference"/>
        </w:rPr>
        <w:commentReference w:id="24"/>
      </w:r>
    </w:p>
    <w:p w14:paraId="0D297F78" w14:textId="77777777" w:rsidR="00A165A3" w:rsidRDefault="00A165A3" w:rsidP="00303642">
      <w:pPr>
        <w:pStyle w:val="ListParagraph"/>
        <w:spacing w:before="40" w:after="40"/>
        <w:ind w:left="720"/>
        <w:rPr>
          <w:sz w:val="22"/>
          <w:szCs w:val="22"/>
        </w:rPr>
      </w:pPr>
    </w:p>
    <w:p w14:paraId="3273F9D4" w14:textId="1A9B42AD" w:rsidR="00303642" w:rsidRPr="00303642" w:rsidRDefault="00303642" w:rsidP="00303642">
      <w:pPr>
        <w:pStyle w:val="ListParagraph"/>
        <w:spacing w:before="40" w:after="40"/>
        <w:ind w:left="720"/>
        <w:rPr>
          <w:sz w:val="22"/>
          <w:szCs w:val="22"/>
        </w:rPr>
      </w:pPr>
      <w:r>
        <w:rPr>
          <w:sz w:val="22"/>
          <w:szCs w:val="22"/>
        </w:rPr>
        <w:t xml:space="preserve">Answer confidence asks the agents to rate how much the evidence supports the chosen label, and gates answer commitment. This floor has proven to gate more wrong answers than the Verifier and Adjudicator combined, and makes sense in the context of the ODMI report: It is simpler to judge how convincing evidence is for a claim than it is to provide counter-evidence, especially when thin web-presence provides little in either direction. The lack of falsifiability of most questions means that often there isn’t somewhere on the web stating the negative, so the agent will commit some weak evidence so it can answer, but will easily flag it as weak. </w:t>
      </w:r>
    </w:p>
    <w:p w14:paraId="1390BB73" w14:textId="77777777" w:rsidR="00303642" w:rsidRDefault="00303642" w:rsidP="00CB1A27">
      <w:pPr>
        <w:pStyle w:val="ListParagraph"/>
        <w:spacing w:before="40" w:after="40"/>
        <w:ind w:left="720"/>
        <w:rPr>
          <w:sz w:val="22"/>
          <w:szCs w:val="22"/>
        </w:rPr>
      </w:pPr>
    </w:p>
    <w:p w14:paraId="6F51C56E" w14:textId="09CA0CC5" w:rsidR="00303642" w:rsidRDefault="00303642" w:rsidP="00303642">
      <w:pPr>
        <w:pStyle w:val="ListParagraph"/>
        <w:spacing w:before="40" w:after="40"/>
        <w:ind w:left="720"/>
        <w:rPr>
          <w:sz w:val="22"/>
          <w:szCs w:val="22"/>
        </w:rPr>
      </w:pPr>
      <w:r>
        <w:rPr>
          <w:sz w:val="22"/>
          <w:szCs w:val="22"/>
        </w:rPr>
        <w:t xml:space="preserve">Abstention per dimension is roughly uniform, which may be surprising as Impact questions often ask for subjective answers about open data reuse, compared to Portal questions which ask about objective portal features. </w:t>
      </w:r>
    </w:p>
    <w:p w14:paraId="4E06A0C0" w14:textId="77777777" w:rsidR="00303642" w:rsidRDefault="00303642" w:rsidP="00CB1A27">
      <w:pPr>
        <w:pStyle w:val="ListParagraph"/>
        <w:spacing w:before="40" w:after="40"/>
        <w:ind w:left="720"/>
        <w:rPr>
          <w:sz w:val="22"/>
          <w:szCs w:val="22"/>
        </w:rPr>
      </w:pPr>
    </w:p>
    <w:p w14:paraId="6E7676D1" w14:textId="3D7ACF9E" w:rsidR="0046251F" w:rsidRDefault="007E7D9E" w:rsidP="00CB1A27">
      <w:pPr>
        <w:pStyle w:val="ListParagraph"/>
        <w:spacing w:before="40" w:after="40"/>
        <w:ind w:left="720"/>
        <w:rPr>
          <w:sz w:val="22"/>
          <w:szCs w:val="22"/>
        </w:rPr>
      </w:pPr>
      <w:r>
        <w:rPr>
          <w:noProof/>
          <w:sz w:val="22"/>
          <w:szCs w:val="22"/>
        </w:rPr>
        <w:drawing>
          <wp:inline distT="0" distB="0" distL="0" distR="0" wp14:anchorId="4C293C62" wp14:editId="5C537F3B">
            <wp:extent cx="6479540" cy="3213735"/>
            <wp:effectExtent l="0" t="0" r="0" b="0"/>
            <wp:docPr id="638363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63869" name="Picture 638363869"/>
                    <pic:cNvPicPr/>
                  </pic:nvPicPr>
                  <pic:blipFill>
                    <a:blip r:embed="rId13">
                      <a:extLst>
                        <a:ext uri="{28A0092B-C50C-407E-A947-70E740481C1C}">
                          <a14:useLocalDpi xmlns:a14="http://schemas.microsoft.com/office/drawing/2010/main" val="0"/>
                        </a:ext>
                      </a:extLst>
                    </a:blip>
                    <a:stretch>
                      <a:fillRect/>
                    </a:stretch>
                  </pic:blipFill>
                  <pic:spPr>
                    <a:xfrm>
                      <a:off x="0" y="0"/>
                      <a:ext cx="6479540" cy="3213735"/>
                    </a:xfrm>
                    <a:prstGeom prst="rect">
                      <a:avLst/>
                    </a:prstGeom>
                  </pic:spPr>
                </pic:pic>
              </a:graphicData>
            </a:graphic>
          </wp:inline>
        </w:drawing>
      </w:r>
    </w:p>
    <w:p w14:paraId="43BB2A50" w14:textId="77777777" w:rsidR="0046251F" w:rsidRDefault="0046251F" w:rsidP="00CB1A27">
      <w:pPr>
        <w:pStyle w:val="ListParagraph"/>
        <w:spacing w:before="40" w:after="40"/>
        <w:ind w:left="720"/>
        <w:rPr>
          <w:sz w:val="22"/>
          <w:szCs w:val="22"/>
        </w:rPr>
      </w:pPr>
    </w:p>
    <w:p w14:paraId="52122891" w14:textId="77777777" w:rsidR="0046251F" w:rsidRPr="00CB1A27" w:rsidRDefault="0046251F" w:rsidP="00CB1A27">
      <w:pPr>
        <w:pStyle w:val="ListParagraph"/>
        <w:spacing w:before="40" w:after="40"/>
        <w:ind w:left="720"/>
        <w:rPr>
          <w:sz w:val="22"/>
          <w:szCs w:val="22"/>
        </w:rPr>
      </w:pPr>
    </w:p>
    <w:p w14:paraId="7FAF3217" w14:textId="48B1D49D" w:rsidR="006C50A9" w:rsidRDefault="00B0032C" w:rsidP="006C50A9">
      <w:pPr>
        <w:pStyle w:val="Heading2"/>
      </w:pPr>
      <w:r>
        <w:t>Language</w:t>
      </w:r>
    </w:p>
    <w:p w14:paraId="54B59897" w14:textId="5973D9A3" w:rsidR="006C50A9" w:rsidRDefault="006C50A9" w:rsidP="006C50A9">
      <w:pPr>
        <w:pStyle w:val="ListParagraph"/>
        <w:spacing w:before="40" w:after="40"/>
        <w:ind w:left="720"/>
        <w:rPr>
          <w:sz w:val="22"/>
          <w:szCs w:val="22"/>
        </w:rPr>
      </w:pPr>
      <w:r>
        <w:rPr>
          <w:sz w:val="22"/>
          <w:szCs w:val="22"/>
        </w:rPr>
        <w:t xml:space="preserve">Claude’s comprehension of each language was expected to be a deciding factor in the success for many countries, as it tracks that poor understanding and translation of small European </w:t>
        <w:lastRenderedPageBreak/>
        <w:t>languages would affect the model’s ability to find evidence. Claude’s ability to operate in a language understandably comes down to how ubiquitious it is in the training dataset. Large languages with vast speaker populations like French and Spanish perform almost identically to English [citation], and niche languages such as Maltese or Estonian perform worse. There hasn’t been a definitive benchmark for language comprehension, but speaker population serves as a proxy.</w:t>
      </w:r>
    </w:p>
    <w:p w14:paraId="2E3669C1" w14:textId="3B1A4665" w:rsidR="00A165A3" w:rsidRDefault="00A165A3" w:rsidP="006C50A9">
      <w:pPr>
        <w:pStyle w:val="ListParagraph"/>
        <w:spacing w:before="40" w:after="40"/>
        <w:ind w:left="720"/>
        <w:rPr>
          <w:sz w:val="22"/>
          <w:szCs w:val="22"/>
        </w:rPr>
      </w:pPr>
      <w:r>
        <w:rPr>
          <w:sz w:val="22"/>
          <w:szCs w:val="22"/>
        </w:rPr>
        <w:t xml:space="preserve">However, through Experiments (link to section), it was found the language causes the system very little issue, but thin web-presence dominates the failure modes.  CLAUDE GIVE ME SOME MORE INSIGHTIFUL POINTS HERE. </w:t>
      </w:r>
      <w:commentRangeStart w:id="27"/>
      <w:commentRangeEnd w:id="27"/>
      <w:r>
        <w:rPr>
          <w:rStyle w:val="CommentReference"/>
        </w:rPr>
        <w:commentReference w:id="27"/>
      </w:r>
    </w:p>
    <w:p w14:paraId="38185B25" w14:textId="77777777" w:rsidR="006C50A9" w:rsidRDefault="006C50A9" w:rsidP="006C50A9">
      <w:pPr>
        <w:pStyle w:val="ListParagraph"/>
        <w:spacing w:before="40" w:after="40"/>
        <w:ind w:left="720"/>
        <w:rPr>
          <w:sz w:val="22"/>
          <w:szCs w:val="22"/>
        </w:rPr>
      </w:pPr>
    </w:p>
    <w:p w14:paraId="173C2E86" w14:textId="78A395FD" w:rsidR="00E47371" w:rsidRDefault="006C50A9" w:rsidP="006C50A9">
      <w:pPr>
        <w:pStyle w:val="ListParagraph"/>
        <w:spacing w:before="40" w:after="40"/>
        <w:ind w:left="720"/>
        <w:rPr>
          <w:sz w:val="22"/>
          <w:szCs w:val="22"/>
        </w:rPr>
      </w:pPr>
      <w:r>
        <w:rPr>
          <w:sz w:val="22"/>
          <w:szCs w:val="22"/>
        </w:rPr>
        <w:t xml:space="preserve"> </w:t>
      </w:r>
    </w:p>
    <w:p w14:paraId="7079A5D8" w14:textId="77777777" w:rsidR="00F72AFB" w:rsidRDefault="00000000">
      <w:pPr>
        <w:pStyle w:val="Heading1"/>
      </w:pPr>
      <w:r>
        <w:t>Project Schedule</w:t>
      </w:r>
    </w:p>
    <w:p w14:paraId="6B788D6C" w14:textId="77777777" w:rsidR="0045454A" w:rsidRDefault="0045454A">
      <w:pPr>
        <w:spacing w:before="40" w:after="220"/>
        <w:rPr>
          <w:i/>
          <w:iCs/>
          <w:color w:val="C00000"/>
          <w:sz w:val="22"/>
          <w:szCs w:val="22"/>
        </w:rPr>
      </w:pPr>
    </w:p>
    <w:p w14:paraId="575E3320" w14:textId="735A499E" w:rsidR="0045454A" w:rsidRDefault="0045454A" w:rsidP="0045454A">
      <w:pPr>
        <w:pStyle w:val="ListParagraph"/>
        <w:numPr>
          <w:ilvl w:val="0"/>
          <w:numId w:val="3"/>
        </w:numPr>
        <w:spacing w:before="40" w:after="220"/>
        <w:rPr>
          <w:sz w:val="22"/>
          <w:szCs w:val="22"/>
        </w:rPr>
      </w:pPr>
      <w:r>
        <w:rPr>
          <w:sz w:val="22"/>
          <w:szCs w:val="22"/>
        </w:rPr>
        <w:t>Finetune retry logic, testing how chaining the feedback from the verifier back into the researchers prompt affects performance – and potential other routes for retry distinction</w:t>
      </w:r>
    </w:p>
    <w:p w14:paraId="2D720508" w14:textId="4C9DCF1D" w:rsidR="00DE6CC5" w:rsidRPr="0045454A" w:rsidRDefault="00DE6CC5" w:rsidP="0045454A">
      <w:pPr>
        <w:pStyle w:val="ListParagraph"/>
        <w:numPr>
          <w:ilvl w:val="0"/>
          <w:numId w:val="3"/>
        </w:numPr>
        <w:spacing w:before="40" w:after="220"/>
        <w:rPr>
          <w:sz w:val="22"/>
          <w:szCs w:val="22"/>
        </w:rPr>
      </w:pPr>
      <w:r>
        <w:rPr>
          <w:sz w:val="22"/>
          <w:szCs w:val="22"/>
        </w:rPr>
        <w:t>Assess failure modes, trying to fix what we can</w:t>
      </w:r>
    </w:p>
    <w:p w14:paraId="7144DA97" w14:textId="2176EE51" w:rsidR="0045454A" w:rsidRPr="0045454A" w:rsidRDefault="0045454A" w:rsidP="0045454A">
      <w:pPr>
        <w:pStyle w:val="ListParagraph"/>
        <w:numPr>
          <w:ilvl w:val="0"/>
          <w:numId w:val="3"/>
        </w:numPr>
        <w:spacing w:before="40" w:after="220"/>
        <w:rPr>
          <w:sz w:val="22"/>
          <w:szCs w:val="22"/>
        </w:rPr>
      </w:pPr>
      <w:r>
        <w:rPr>
          <w:sz w:val="22"/>
          <w:szCs w:val="22"/>
        </w:rPr>
        <w:t xml:space="preserve">Family 2: Verifier strategy comparison across the four prompt framings, on hallucination catch rate vs false rejection rate </w:t>
      </w:r>
    </w:p>
    <w:p w14:paraId="7982C5CB" w14:textId="1CE8CD4B" w:rsidR="0045454A" w:rsidRPr="0045454A" w:rsidRDefault="0045454A" w:rsidP="0045454A">
      <w:pPr>
        <w:pStyle w:val="ListParagraph"/>
        <w:numPr>
          <w:ilvl w:val="0"/>
          <w:numId w:val="3"/>
        </w:numPr>
        <w:spacing w:before="40" w:after="220"/>
        <w:rPr>
          <w:sz w:val="22"/>
          <w:szCs w:val="22"/>
        </w:rPr>
      </w:pPr>
      <w:r>
        <w:rPr>
          <w:sz w:val="22"/>
          <w:szCs w:val="22"/>
        </w:rPr>
        <w:t xml:space="preserve">Family 3: model variants (Haiku, Sonnet, Opus) plus tiered escalation </w:t>
      </w:r>
    </w:p>
    <w:p w14:paraId="28EAEF03" w14:textId="77777777" w:rsidR="0045454A" w:rsidRPr="0045454A" w:rsidRDefault="0045454A" w:rsidP="0045454A">
      <w:pPr>
        <w:pStyle w:val="ListParagraph"/>
        <w:numPr>
          <w:ilvl w:val="0"/>
          <w:numId w:val="3"/>
        </w:numPr>
        <w:spacing w:before="40" w:after="220"/>
        <w:rPr>
          <w:sz w:val="22"/>
          <w:szCs w:val="22"/>
        </w:rPr>
      </w:pPr>
      <w:r>
        <w:rPr>
          <w:sz w:val="22"/>
          <w:szCs w:val="22"/>
        </w:rPr>
        <w:t>Run the controlled per-dimension test, isolating accuracy from search-API variation</w:t>
      </w:r>
    </w:p>
    <w:p w14:paraId="57E02014" w14:textId="6C813F41" w:rsidR="0045454A" w:rsidRPr="0045454A" w:rsidRDefault="0045454A" w:rsidP="0045454A">
      <w:pPr>
        <w:pStyle w:val="ListParagraph"/>
        <w:numPr>
          <w:ilvl w:val="0"/>
          <w:numId w:val="3"/>
        </w:numPr>
        <w:spacing w:before="40" w:after="220"/>
        <w:rPr>
          <w:sz w:val="22"/>
          <w:szCs w:val="22"/>
        </w:rPr>
      </w:pPr>
      <w:r>
        <w:rPr>
          <w:sz w:val="22"/>
          <w:szCs w:val="22"/>
        </w:rPr>
        <w:t xml:space="preserve">Draft the failure-mode taxonomy from the multi-country runs </w:t>
      </w:r>
    </w:p>
    <w:p w14:paraId="4C3B7EE0" w14:textId="4D33BC84" w:rsidR="0045454A" w:rsidRPr="0045454A" w:rsidRDefault="0045454A" w:rsidP="0045454A">
      <w:pPr>
        <w:pStyle w:val="ListParagraph"/>
        <w:numPr>
          <w:ilvl w:val="0"/>
          <w:numId w:val="3"/>
        </w:numPr>
        <w:spacing w:before="40" w:after="220"/>
        <w:rPr>
          <w:sz w:val="22"/>
          <w:szCs w:val="22"/>
        </w:rPr>
      </w:pPr>
      <w:r>
        <w:rPr>
          <w:sz w:val="22"/>
          <w:szCs w:val="22"/>
        </w:rPr>
        <w:t xml:space="preserve">Data analysis, write-up, final review and dissertation submission </w:t>
      </w:r>
    </w:p>
    <w:p w14:paraId="54D3EF71" w14:textId="7DCF4FF6" w:rsidR="00DE6CC5" w:rsidRPr="0045454A" w:rsidRDefault="00DE6CC5" w:rsidP="00DE6CC5">
      <w:pPr>
        <w:pStyle w:val="ListParagraph"/>
        <w:numPr>
          <w:ilvl w:val="0"/>
          <w:numId w:val="3"/>
        </w:numPr>
        <w:spacing w:before="40" w:after="220"/>
        <w:rPr>
          <w:sz w:val="22"/>
          <w:szCs w:val="22"/>
        </w:rPr>
      </w:pPr>
      <w:r>
        <w:rPr>
          <w:sz w:val="22"/>
          <w:szCs w:val="22"/>
        </w:rPr>
        <w:lastRenderedPageBreak/>
        <w:t xml:space="preserve">Phase B: scale out to maturity*language matrix countries </w:t>
      </w:r>
      <w:r>
        <w:rPr>
          <w:noProof/>
          <w:sz w:val="22"/>
          <w:szCs w:val="22"/>
        </w:rPr>
        <w:drawing>
          <wp:inline distT="0" distB="0" distL="0" distR="0" wp14:anchorId="153B852F" wp14:editId="4295E986">
            <wp:extent cx="6479540" cy="4676140"/>
            <wp:effectExtent l="0" t="0" r="0" b="0"/>
            <wp:docPr id="982396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96956" name="Picture 982396956"/>
                    <pic:cNvPicPr/>
                  </pic:nvPicPr>
                  <pic:blipFill>
                    <a:blip r:embed="rId14"/>
                    <a:stretch>
                      <a:fillRect/>
                    </a:stretch>
                  </pic:blipFill>
                  <pic:spPr>
                    <a:xfrm>
                      <a:off x="0" y="0"/>
                      <a:ext cx="6479540" cy="4676140"/>
                    </a:xfrm>
                    <a:prstGeom prst="rect">
                      <a:avLst/>
                    </a:prstGeom>
                  </pic:spPr>
                </pic:pic>
              </a:graphicData>
            </a:graphic>
          </wp:inline>
        </w:drawing>
      </w:r>
    </w:p>
    <w:p w14:paraId="321CAC16" w14:textId="77777777" w:rsidR="003962AC" w:rsidRDefault="00000000">
      <w:pPr>
        <w:pBdr>
          <w:left w:val="single" w:sz="18" w:space="6" w:color="E0A000"/>
        </w:pBdr>
        <w:shd w:val="clear" w:color="auto" w:fill="FFF6D5"/>
        <w:spacing w:before="40" w:after="160"/>
        <w:ind w:left="144"/>
        <w:rPr>
          <w:sz w:val="20"/>
          <w:szCs w:val="20"/>
        </w:rPr>
      </w:pPr>
      <w:r>
        <w:rPr>
          <w:b/>
          <w:bCs/>
          <w:color w:val="1E7D1E"/>
          <w:sz w:val="20"/>
          <w:szCs w:val="20"/>
        </w:rPr>
        <w:t>+[ Status update: verifier-strategy family closed (EXP-11/12/13, incumbent retained, D45); retry-chaining built behind --chained (EXP-7, re-test EXP-20); dev-set ablations EXP-14/16/17 all null. Phase B is now the D47 dev set plus 8 held-out, not 6 countries by 143. ]</w:t>
      </w:r>
    </w:p>
    <w:p w14:paraId="6C853249" w14:textId="77777777" w:rsidR="00F72AFB" w:rsidRDefault="00000000">
      <w:pPr>
        <w:pStyle w:val="Heading2"/>
      </w:pPr>
      <w:commentRangeStart w:id="20"/>
      <w:r>
        <w:t>Work Completed to Date</w:t>
      </w:r>
      <w:commentRangeEnd w:id="20"/>
      <w:r>
        <w:rPr>
          <w:rStyle w:val="CommentReference"/>
          <w:sz w:val="26"/>
          <w:szCs w:val="26"/>
        </w:rPr>
        <w:commentReference w:id="20"/>
      </w:r>
    </w:p>
    <w:p>
      <w:pPr>
        <w:spacing w:before="160" w:after="60"/>
        <w:rPr>
          <w:b/>
          <w:sz w:val="22"/>
          <w:szCs w:val="22"/>
        </w:rPr>
      </w:pPr>
      <w:r>
        <w:rPr>
          <w:b/>
          <w:sz w:val="22"/>
          <w:szCs w:val="22"/>
        </w:rPr>
        <w:t xml:space="preserve">Malta development baseline (n = 60):</w:t>
      </w:r>
    </w:p>
    <w:tbl>
      <w:tblPr>
        <w:tblW w:w="102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108" w:type="dxa"/>
          <w:bottom w:w="40" w:type="dxa"/>
          <w:right w:w="108" w:type="dxa"/>
        </w:tblCellMar>
        <w:tblLook w:val="04A0" w:firstRow="1" w:lastRow="0" w:firstColumn="1" w:lastColumn="0" w:noHBand="0" w:noVBand="1"/>
      </w:tblPr>
      <w:tblGrid>
        <w:gridCol w:w="6200"/>
        <w:gridCol w:w="4000"/>
      </w:tblGrid>
      <w:tr>
        <w:trPr>
          <w:cantSplit/>
        </w:trPr>
        <w:tc>
          <w:tcPr>
            <w:tcW w:w="6200" w:type="dxa"/>
            <w:shd w:val="clear" w:color="auto" w:fill="1F3864"/>
            <w:vAlign w:val="center"/>
          </w:tcPr>
          <w:p>
            <w:pPr>
              <w:spacing w:before="20" w:after="20" w:line="240" w:lineRule="auto"/>
              <w:jc w:val="left"/>
              <w:rPr>
                <w:b/>
                <w:color w:val="FFFFFF"/>
                <w:sz w:val="20"/>
                <w:szCs w:val="20"/>
              </w:rPr>
            </w:pPr>
            <w:r>
              <w:rPr>
                <w:b/>
                <w:color w:val="FFFFFF"/>
                <w:sz w:val="20"/>
                <w:szCs w:val="20"/>
              </w:rPr>
              <w:t xml:space="preserve">Metric</w:t>
            </w:r>
          </w:p>
        </w:tc>
        <w:tc>
          <w:tcPr>
            <w:tcW w:w="4000" w:type="dxa"/>
            <w:shd w:val="clear" w:color="auto" w:fill="1F3864"/>
            <w:vAlign w:val="center"/>
          </w:tcPr>
          <w:p>
            <w:pPr>
              <w:spacing w:before="20" w:after="20" w:line="240" w:lineRule="auto"/>
              <w:jc w:val="center"/>
              <w:rPr>
                <w:b/>
                <w:color w:val="FFFFFF"/>
                <w:sz w:val="20"/>
                <w:szCs w:val="20"/>
              </w:rPr>
            </w:pPr>
            <w:r>
              <w:rPr>
                <w:b/>
                <w:color w:val="FFFFFF"/>
                <w:sz w:val="20"/>
                <w:szCs w:val="20"/>
              </w:rPr>
              <w:t xml:space="preserve">Value</w:t>
            </w:r>
          </w:p>
        </w:tc>
      </w:tr>
      <w:tr>
        <w:trPr>
          <w:cantSplit/>
        </w:trPr>
        <w:tc>
          <w:tcPr>
            <w:tcW w:w="6200" w:type="dxa"/>
            <w:vAlign w:val="center"/>
          </w:tcPr>
          <w:p>
            <w:pPr>
              <w:spacing w:before="20" w:after="20" w:line="240" w:lineRule="auto"/>
              <w:jc w:val="left"/>
              <w:rPr>
                <w:sz w:val="20"/>
                <w:szCs w:val="20"/>
              </w:rPr>
            </w:pPr>
            <w:r>
              <w:rPr>
                <w:sz w:val="20"/>
                <w:szCs w:val="20"/>
              </w:rPr>
              <w:t xml:space="preserve">Pairs evaluated</w:t>
            </w:r>
          </w:p>
        </w:tc>
        <w:tc>
          <w:tcPr>
            <w:tcW w:w="4000" w:type="dxa"/>
            <w:vAlign w:val="center"/>
          </w:tcPr>
          <w:p>
            <w:pPr>
              <w:spacing w:before="20" w:after="20" w:line="240" w:lineRule="auto"/>
              <w:jc w:val="center"/>
              <w:rPr>
                <w:sz w:val="20"/>
                <w:szCs w:val="20"/>
              </w:rPr>
            </w:pPr>
            <w:r>
              <w:rPr>
                <w:sz w:val="20"/>
                <w:szCs w:val="20"/>
              </w:rPr>
              <w:t xml:space="preserve">60 (30 yes-gold, 30 no-gold)</w:t>
            </w:r>
          </w:p>
        </w:tc>
      </w:tr>
      <w:tr>
        <w:trPr>
          <w:cantSplit/>
        </w:trPr>
        <w:tc>
          <w:tcPr>
            <w:tcW w:w="6200" w:type="dxa"/>
            <w:vAlign w:val="center"/>
          </w:tcPr>
          <w:p>
            <w:pPr>
              <w:spacing w:before="20" w:after="20" w:line="240" w:lineRule="auto"/>
              <w:jc w:val="left"/>
              <w:rPr>
                <w:sz w:val="20"/>
                <w:szCs w:val="20"/>
              </w:rPr>
            </w:pPr>
            <w:r>
              <w:rPr>
                <w:sz w:val="20"/>
                <w:szCs w:val="20"/>
              </w:rPr>
              <w:t xml:space="preserve">Committed answers</w:t>
            </w:r>
          </w:p>
        </w:tc>
        <w:tc>
          <w:tcPr>
            <w:tcW w:w="4000" w:type="dxa"/>
            <w:vAlign w:val="center"/>
          </w:tcPr>
          <w:p>
            <w:pPr>
              <w:spacing w:before="20" w:after="20" w:line="240" w:lineRule="auto"/>
              <w:jc w:val="center"/>
              <w:rPr>
                <w:sz w:val="20"/>
                <w:szCs w:val="20"/>
              </w:rPr>
            </w:pPr>
            <w:r>
              <w:rPr>
                <w:sz w:val="20"/>
                <w:szCs w:val="20"/>
              </w:rPr>
              <w:t xml:space="preserve">43</w:t>
            </w:r>
          </w:p>
        </w:tc>
      </w:tr>
      <w:tr>
        <w:trPr>
          <w:cantSplit/>
        </w:trPr>
        <w:tc>
          <w:tcPr>
            <w:tcW w:w="6200" w:type="dxa"/>
            <w:vAlign w:val="center"/>
          </w:tcPr>
          <w:p>
            <w:pPr>
              <w:spacing w:before="20" w:after="20" w:line="240" w:lineRule="auto"/>
              <w:jc w:val="left"/>
              <w:rPr>
                <w:sz w:val="20"/>
                <w:szCs w:val="20"/>
              </w:rPr>
            </w:pPr>
            <w:r>
              <w:rPr>
                <w:sz w:val="20"/>
                <w:szCs w:val="20"/>
              </w:rPr>
              <w:t xml:space="preserve">Honest abstentions (inconclusive)</w:t>
            </w:r>
          </w:p>
        </w:tc>
        <w:tc>
          <w:tcPr>
            <w:tcW w:w="4000" w:type="dxa"/>
            <w:vAlign w:val="center"/>
          </w:tcPr>
          <w:p>
            <w:pPr>
              <w:spacing w:before="20" w:after="20" w:line="240" w:lineRule="auto"/>
              <w:jc w:val="center"/>
              <w:rPr>
                <w:sz w:val="20"/>
                <w:szCs w:val="20"/>
              </w:rPr>
            </w:pPr>
            <w:r>
              <w:rPr>
                <w:sz w:val="20"/>
                <w:szCs w:val="20"/>
              </w:rPr>
              <w:t xml:space="preserve">17</w:t>
            </w:r>
          </w:p>
        </w:tc>
      </w:tr>
      <w:tr>
        <w:trPr>
          <w:cantSplit/>
        </w:trPr>
        <w:tc>
          <w:tcPr>
            <w:tcW w:w="6200" w:type="dxa"/>
            <w:vAlign w:val="center"/>
          </w:tcPr>
          <w:p>
            <w:pPr>
              <w:spacing w:before="20" w:after="20" w:line="240" w:lineRule="auto"/>
              <w:jc w:val="left"/>
              <w:rPr>
                <w:sz w:val="20"/>
                <w:szCs w:val="20"/>
              </w:rPr>
            </w:pPr>
            <w:r>
              <w:rPr>
                <w:sz w:val="20"/>
                <w:szCs w:val="20"/>
              </w:rPr>
              <w:t xml:space="preserve">Committed accuracy</w:t>
            </w:r>
          </w:p>
        </w:tc>
        <w:tc>
          <w:tcPr>
            <w:tcW w:w="4000" w:type="dxa"/>
            <w:vAlign w:val="center"/>
          </w:tcPr>
          <w:p>
            <w:pPr>
              <w:spacing w:before="20" w:after="20" w:line="240" w:lineRule="auto"/>
              <w:jc w:val="center"/>
              <w:rPr>
                <w:sz w:val="20"/>
                <w:szCs w:val="20"/>
              </w:rPr>
            </w:pPr>
            <w:r>
              <w:rPr>
                <w:sz w:val="20"/>
                <w:szCs w:val="20"/>
              </w:rPr>
              <w:t xml:space="preserve">32 / 43 (74%)</w:t>
            </w:r>
          </w:p>
        </w:tc>
      </w:tr>
      <w:tr>
        <w:trPr>
          <w:cantSplit/>
        </w:trPr>
        <w:tc>
          <w:tcPr>
            <w:tcW w:w="6200" w:type="dxa"/>
            <w:vAlign w:val="center"/>
          </w:tcPr>
          <w:p>
            <w:pPr>
              <w:spacing w:before="20" w:after="20" w:line="240" w:lineRule="auto"/>
              <w:jc w:val="left"/>
              <w:rPr>
                <w:sz w:val="20"/>
                <w:szCs w:val="20"/>
              </w:rPr>
            </w:pPr>
            <w:r>
              <w:rPr>
                <w:sz w:val="20"/>
                <w:szCs w:val="20"/>
              </w:rPr>
              <w:t xml:space="preserve">No-gold recall (TNR)</w:t>
            </w:r>
          </w:p>
        </w:tc>
        <w:tc>
          <w:tcPr>
            <w:tcW w:w="4000" w:type="dxa"/>
            <w:vAlign w:val="center"/>
          </w:tcPr>
          <w:p>
            <w:pPr>
              <w:spacing w:before="20" w:after="20" w:line="240" w:lineRule="auto"/>
              <w:jc w:val="center"/>
              <w:rPr>
                <w:sz w:val="20"/>
                <w:szCs w:val="20"/>
              </w:rPr>
            </w:pPr>
            <w:r>
              <w:rPr>
                <w:sz w:val="20"/>
                <w:szCs w:val="20"/>
              </w:rPr>
              <w:t xml:space="preserve">0.87 (3 false positives of 23 committed)</w:t>
            </w:r>
          </w:p>
        </w:tc>
      </w:tr>
      <w:tr>
        <w:trPr>
          <w:cantSplit/>
        </w:trPr>
        <w:tc>
          <w:tcPr>
            <w:tcW w:w="6200" w:type="dxa"/>
            <w:vAlign w:val="center"/>
          </w:tcPr>
          <w:p>
            <w:pPr>
              <w:spacing w:before="20" w:after="20" w:line="240" w:lineRule="auto"/>
              <w:jc w:val="left"/>
              <w:rPr>
                <w:sz w:val="20"/>
                <w:szCs w:val="20"/>
              </w:rPr>
            </w:pPr>
            <w:r>
              <w:rPr>
                <w:sz w:val="20"/>
                <w:szCs w:val="20"/>
              </w:rPr>
              <w:t xml:space="preserve">Yes-gold recall (TPR)</w:t>
            </w:r>
          </w:p>
        </w:tc>
        <w:tc>
          <w:tcPr>
            <w:tcW w:w="4000" w:type="dxa"/>
            <w:vAlign w:val="center"/>
          </w:tcPr>
          <w:p>
            <w:pPr>
              <w:spacing w:before="20" w:after="20" w:line="240" w:lineRule="auto"/>
              <w:jc w:val="center"/>
              <w:rPr>
                <w:sz w:val="20"/>
                <w:szCs w:val="20"/>
              </w:rPr>
            </w:pPr>
            <w:r>
              <w:rPr>
                <w:sz w:val="20"/>
                <w:szCs w:val="20"/>
              </w:rPr>
              <w:t xml:space="preserve">0.60</w:t>
            </w:r>
          </w:p>
        </w:tc>
      </w:tr>
      <w:tr>
        <w:trPr>
          <w:cantSplit/>
        </w:trPr>
        <w:tc>
          <w:tcPr>
            <w:tcW w:w="6200" w:type="dxa"/>
            <w:vAlign w:val="center"/>
          </w:tcPr>
          <w:p>
            <w:pPr>
              <w:spacing w:before="20" w:after="20" w:line="240" w:lineRule="auto"/>
              <w:jc w:val="left"/>
              <w:rPr>
                <w:sz w:val="20"/>
                <w:szCs w:val="20"/>
              </w:rPr>
            </w:pPr>
            <w:r>
              <w:rPr>
                <w:sz w:val="20"/>
                <w:szCs w:val="20"/>
              </w:rPr>
              <w:t xml:space="preserve">Youden's J</w:t>
            </w:r>
          </w:p>
        </w:tc>
        <w:tc>
          <w:tcPr>
            <w:tcW w:w="4000" w:type="dxa"/>
            <w:vAlign w:val="center"/>
          </w:tcPr>
          <w:p>
            <w:pPr>
              <w:spacing w:before="20" w:after="20" w:line="240" w:lineRule="auto"/>
              <w:jc w:val="center"/>
              <w:rPr>
                <w:sz w:val="20"/>
                <w:szCs w:val="20"/>
              </w:rPr>
            </w:pPr>
            <w:r>
              <w:rPr>
                <w:sz w:val="20"/>
                <w:szCs w:val="20"/>
              </w:rPr>
              <w:t xml:space="preserve">0.47</w:t>
            </w:r>
          </w:p>
        </w:tc>
      </w:tr>
      <w:tr>
        <w:trPr>
          <w:cantSplit/>
        </w:trPr>
        <w:tc>
          <w:tcPr>
            <w:tcW w:w="6200" w:type="dxa"/>
            <w:vAlign w:val="center"/>
          </w:tcPr>
          <w:p>
            <w:pPr>
              <w:spacing w:before="20" w:after="20" w:line="240" w:lineRule="auto"/>
              <w:jc w:val="left"/>
              <w:rPr>
                <w:sz w:val="20"/>
                <w:szCs w:val="20"/>
              </w:rPr>
            </w:pPr>
            <w:r>
              <w:rPr>
                <w:sz w:val="20"/>
                <w:szCs w:val="20"/>
              </w:rPr>
              <w:t xml:space="preserve">Mean commit confidence</w:t>
            </w:r>
          </w:p>
        </w:tc>
        <w:tc>
          <w:tcPr>
            <w:tcW w:w="4000" w:type="dxa"/>
            <w:vAlign w:val="center"/>
          </w:tcPr>
          <w:p>
            <w:pPr>
              <w:spacing w:before="20" w:after="20" w:line="240" w:lineRule="auto"/>
              <w:jc w:val="center"/>
              <w:rPr>
                <w:sz w:val="20"/>
                <w:szCs w:val="20"/>
              </w:rPr>
            </w:pPr>
            <w:r>
              <w:rPr>
                <w:sz w:val="20"/>
                <w:szCs w:val="20"/>
              </w:rPr>
              <w:t xml:space="preserve">0.58</w:t>
            </w:r>
          </w:p>
        </w:tc>
      </w:tr>
      <w:tr>
        <w:trPr>
          <w:cantSplit/>
        </w:trPr>
        <w:tc>
          <w:tcPr>
            <w:tcW w:w="6200" w:type="dxa"/>
            <w:vAlign w:val="center"/>
          </w:tcPr>
          <w:p>
            <w:pPr>
              <w:spacing w:before="20" w:after="20" w:line="240" w:lineRule="auto"/>
              <w:jc w:val="left"/>
              <w:rPr>
                <w:sz w:val="20"/>
                <w:szCs w:val="20"/>
              </w:rPr>
            </w:pPr>
            <w:r>
              <w:rPr>
                <w:sz w:val="20"/>
                <w:szCs w:val="20"/>
              </w:rPr>
              <w:t xml:space="preserve">Web-answerable vs self-report accuracy</w:t>
            </w:r>
          </w:p>
        </w:tc>
        <w:tc>
          <w:tcPr>
            <w:tcW w:w="4000" w:type="dxa"/>
            <w:vAlign w:val="center"/>
          </w:tcPr>
          <w:p>
            <w:pPr>
              <w:spacing w:before="20" w:after="20" w:line="240" w:lineRule="auto"/>
              <w:jc w:val="center"/>
              <w:rPr>
                <w:sz w:val="20"/>
                <w:szCs w:val="20"/>
              </w:rPr>
            </w:pPr>
            <w:r>
              <w:rPr>
                <w:sz w:val="20"/>
                <w:szCs w:val="20"/>
              </w:rPr>
              <w:t xml:space="preserve">79% vs 40%</w:t>
            </w:r>
          </w:p>
        </w:tc>
      </w:tr>
      <w:tr>
        <w:trPr>
          <w:cantSplit/>
        </w:trPr>
        <w:tc>
          <w:tcPr>
            <w:tcW w:w="6200" w:type="dxa"/>
            <w:vAlign w:val="center"/>
          </w:tcPr>
          <w:p>
            <w:pPr>
              <w:spacing w:before="20" w:after="20" w:line="240" w:lineRule="auto"/>
              <w:jc w:val="left"/>
              <w:rPr>
                <w:sz w:val="20"/>
                <w:szCs w:val="20"/>
              </w:rPr>
            </w:pPr>
            <w:r>
              <w:rPr>
                <w:sz w:val="20"/>
                <w:szCs w:val="20"/>
              </w:rPr>
              <w:t xml:space="preserve">Data-leakage hits</w:t>
            </w:r>
          </w:p>
        </w:tc>
        <w:tc>
          <w:tcPr>
            <w:tcW w:w="4000" w:type="dxa"/>
            <w:vAlign w:val="center"/>
          </w:tcPr>
          <w:p>
            <w:pPr>
              <w:spacing w:before="20" w:after="20" w:line="240" w:lineRule="auto"/>
              <w:jc w:val="center"/>
              <w:rPr>
                <w:sz w:val="20"/>
                <w:szCs w:val="20"/>
              </w:rPr>
            </w:pPr>
            <w:r>
              <w:rPr>
                <w:sz w:val="20"/>
                <w:szCs w:val="20"/>
              </w:rPr>
              <w:t xml:space="preserve">0</w:t>
            </w:r>
          </w:p>
        </w:tc>
      </w:tr>
      <w:tr>
        <w:trPr>
          <w:cantSplit/>
        </w:trPr>
        <w:tc>
          <w:tcPr>
            <w:tcW w:w="6200" w:type="dxa"/>
            <w:vAlign w:val="center"/>
          </w:tcPr>
          <w:p>
            <w:pPr>
              <w:spacing w:before="20" w:after="20" w:line="240" w:lineRule="auto"/>
              <w:jc w:val="left"/>
              <w:rPr>
                <w:sz w:val="20"/>
                <w:szCs w:val="20"/>
              </w:rPr>
            </w:pPr>
            <w:r>
              <w:rPr>
                <w:sz w:val="20"/>
                <w:szCs w:val="20"/>
              </w:rPr>
              <w:t xml:space="preserve">Batch cost</w:t>
            </w:r>
          </w:p>
        </w:tc>
        <w:tc>
          <w:tcPr>
            <w:tcW w:w="4000" w:type="dxa"/>
            <w:vAlign w:val="center"/>
          </w:tcPr>
          <w:p>
            <w:pPr>
              <w:spacing w:before="20" w:after="20" w:line="240" w:lineRule="auto"/>
              <w:jc w:val="center"/>
              <w:rPr>
                <w:sz w:val="20"/>
                <w:szCs w:val="20"/>
              </w:rPr>
            </w:pPr>
            <w:r>
              <w:rPr>
                <w:sz w:val="20"/>
                <w:szCs w:val="20"/>
              </w:rPr>
              <w:t xml:space="preserve">about GBP 3.93 (about USD 4.98)</w:t>
            </w:r>
          </w:p>
        </w:tc>
      </w:tr>
    </w:tbl>
    <w:p>
      <w:pPr>
        <w:spacing w:before="0" w:after="120"/>
        <w:rPr>
          <w:sz w:val="22"/>
          <w:szCs w:val="22"/>
        </w:rPr>
      </w:pPr>
    </w:p>
    <w:p w14:paraId="286F8EF2" w14:textId="77777777" w:rsidR="003962AC" w:rsidRDefault="00000000">
      <w:pPr>
        <w:pBdr>
          <w:left w:val="single" w:sz="18" w:space="6" w:color="E0A000"/>
        </w:pBdr>
        <w:shd w:val="clear" w:color="auto" w:fill="FFF6D5"/>
        <w:spacing w:before="40" w:after="40"/>
        <w:ind w:left="144"/>
        <w:rPr>
          <w:sz w:val="20"/>
          <w:szCs w:val="20"/>
        </w:rPr>
      </w:pPr>
      <w:r>
        <w:rPr>
          <w:b/>
          <w:bCs/>
          <w:color w:val="1E7D1E"/>
          <w:sz w:val="20"/>
          <w:szCs w:val="20"/>
        </w:rPr>
        <w:t>+[ Results now exist; add a Results section. Malta dev baseline (n = 60): 43 committed plus 17 honest inconclusive; committed accuracy 32 of 43; no-gold recall (TNR) 0.87 with 3 false positives of 23 committed; yes-gold recall (TPR) 0.60; Youden J 0.47; mean commit confidence 0.58; zero data-leakage; web questions 79% committed accuracy vs self-report 40%; batch cost about 4.98 USD (about 3.93 GBP). ]</w:t>
      </w:r>
      <w:r>
        <w:rPr>
          <w:sz w:val="20"/>
          <w:szCs w:val="20"/>
        </w:rPr>
        <w:br/>
      </w:r>
      <w:r>
        <w:rPr>
          <w:b/>
          <w:bCs/>
          <w:color w:val="1E7D1E"/>
          <w:sz w:val="20"/>
          <w:szCs w:val="20"/>
        </w:rPr>
        <w:t>+[ Verifier programme closed (D45): four pre-registered attacks all null, incumbent retained; the verdict decides only 9 of 237 in-loop commits, so the 0.65 floor is the binding precision control. Matcher v2 shipped. ]</w:t>
      </w:r>
    </w:p>
    <w:p w14:paraId="56BCF69D" w14:textId="77777777" w:rsidR="00F72AFB" w:rsidRDefault="00000000">
      <w:pPr>
        <w:pStyle w:val="Heading2"/>
      </w:pPr>
      <w:commentRangeStart w:id="21"/>
      <w:r>
        <w:t>Phase Overview</w:t>
      </w:r>
      <w:commentRangeEnd w:id="21"/>
      <w:r>
        <w:rPr>
          <w:rStyle w:val="CommentReference"/>
          <w:sz w:val="26"/>
          <w:szCs w:val="26"/>
        </w:rPr>
        <w:commentReference w:id="21"/>
      </w:r>
    </w:p>
    <w:p w14:paraId="05B9F0DE" w14:textId="77777777" w:rsidR="00F72AFB" w:rsidRDefault="00000000">
      <w:pPr>
        <w:pStyle w:val="Heading2"/>
      </w:pPr>
      <w:r>
        <w:t>Milestones</w:t>
      </w:r>
    </w:p>
    <w:p w14:paraId="222F8BE5" w14:textId="77777777" w:rsidR="00F72AFB" w:rsidRDefault="00F72AFB">
      <w:pPr>
        <w:spacing w:before="80" w:after="8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500"/>
        <w:gridCol w:w="2500"/>
        <w:gridCol w:w="2300"/>
      </w:tblGrid>
      <w:tr w:rsidR="00F72AFB" w14:paraId="69B8AB7E"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169594" w14:textId="77777777" w:rsidR="00F72AFB" w:rsidRDefault="00000000">
            <w:r>
              <w:rPr>
                <w:b/>
                <w:bCs/>
                <w:color w:val="FFFFFF"/>
                <w:sz w:val="20"/>
                <w:szCs w:val="20"/>
              </w:rPr>
              <w:t>#</w:t>
            </w:r>
          </w:p>
        </w:tc>
        <w:tc>
          <w:tcPr>
            <w:tcW w:w="4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7509E3" w14:textId="77777777" w:rsidR="00F72AFB" w:rsidRDefault="00000000">
            <w:r>
              <w:rPr>
                <w:b/>
                <w:bCs/>
                <w:color w:val="FFFFFF"/>
                <w:sz w:val="20"/>
                <w:szCs w:val="20"/>
              </w:rPr>
              <w:t>Milestone</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090902" w14:textId="77777777" w:rsidR="00F72AFB" w:rsidRDefault="00000000">
            <w:r>
              <w:rPr>
                <w:b/>
                <w:bCs/>
                <w:color w:val="FFFFFF"/>
                <w:sz w:val="20"/>
                <w:szCs w:val="20"/>
              </w:rPr>
              <w:t>Target</w:t>
            </w:r>
          </w:p>
        </w:tc>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AB4666" w14:textId="77777777" w:rsidR="00F72AFB" w:rsidRDefault="00000000">
            <w:r>
              <w:rPr>
                <w:b/>
                <w:bCs/>
                <w:color w:val="FFFFFF"/>
                <w:sz w:val="20"/>
                <w:szCs w:val="20"/>
              </w:rPr>
              <w:t>Status</w:t>
            </w:r>
          </w:p>
        </w:tc>
      </w:tr>
      <w:tr w:rsidR="00F72AFB" w14:paraId="4E170CCB"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97E4F3" w14:textId="77777777" w:rsidR="00F72AFB" w:rsidRDefault="00000000">
            <w:r>
              <w:rPr>
                <w:b/>
                <w:bCs/>
                <w:sz w:val="20"/>
                <w:szCs w:val="20"/>
              </w:rPr>
              <w:t>M1</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3738DD" w14:textId="77777777" w:rsidR="00F72AFB" w:rsidRDefault="00000000">
            <w:r>
              <w:rPr>
                <w:sz w:val="20"/>
                <w:szCs w:val="20"/>
              </w:rPr>
              <w:t>Preliminary report submitted</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8D300E" w14:textId="77777777" w:rsidR="00F72AFB" w:rsidRDefault="00000000">
            <w:r>
              <w:rPr>
                <w:sz w:val="20"/>
                <w:szCs w:val="20"/>
              </w:rPr>
              <w:t>June 2026</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7964A5" w14:textId="77777777" w:rsidR="00F72AFB" w:rsidRDefault="00000000">
            <w:r>
              <w:rPr>
                <w:sz w:val="20"/>
                <w:szCs w:val="20"/>
              </w:rPr>
              <w:t>In progress</w:t>
            </w:r>
          </w:p>
        </w:tc>
      </w:tr>
      <w:tr w:rsidR="00F72AFB" w14:paraId="020C84F2"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2B570" w14:textId="77777777" w:rsidR="00F72AFB" w:rsidRDefault="00000000">
            <w:r>
              <w:rPr>
                <w:b/>
                <w:bCs/>
                <w:sz w:val="20"/>
                <w:szCs w:val="20"/>
              </w:rPr>
              <w:t>M2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786E5" w14:textId="77777777" w:rsidR="00F72AFB" w:rsidRDefault="00000000">
            <w:r>
              <w:rPr>
                <w:sz w:val="20"/>
                <w:szCs w:val="20"/>
              </w:rPr>
              <w:t>D29 DIY Search API pipeline in production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EC6AD" w14:textId="77777777" w:rsidR="00F72AFB" w:rsidRDefault="00000000">
            <w:r>
              <w:rPr>
                <w:sz w:val="20"/>
                <w:szCs w:val="20"/>
              </w:rPr>
              <w:t>June 2026</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89942" w14:textId="77777777" w:rsidR="00F72AFB" w:rsidRDefault="00000000">
            <w:r>
              <w:rPr>
                <w:sz w:val="20"/>
                <w:szCs w:val="20"/>
              </w:rPr>
              <w:t>Built; awaiting quota reset</w:t>
            </w:r>
          </w:p>
        </w:tc>
      </w:tr>
      <w:tr w:rsidR="00F72AFB" w14:paraId="1C51F156"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54F714" w14:textId="77777777" w:rsidR="00F72AFB" w:rsidRDefault="00000000">
            <w:r>
              <w:rPr>
                <w:b/>
                <w:bCs/>
                <w:sz w:val="20"/>
                <w:szCs w:val="20"/>
              </w:rPr>
              <w:t>M3</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9798D5" w14:textId="77777777" w:rsidR="00F72AFB" w:rsidRDefault="00000000">
            <w:r>
              <w:rPr>
                <w:sz w:val="20"/>
                <w:szCs w:val="20"/>
              </w:rPr>
              <w:t>Phase A complete (all 143 FR questions)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CED056" w14:textId="77777777" w:rsidR="00F72AFB" w:rsidRDefault="00000000">
            <w:r>
              <w:rPr>
                <w:sz w:val="20"/>
                <w:szCs w:val="20"/>
              </w:rPr>
              <w:t>Late June 2026</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1B4C7B" w14:textId="77777777" w:rsidR="00F72AFB" w:rsidRDefault="00000000">
            <w:r>
              <w:rPr>
                <w:sz w:val="20"/>
                <w:szCs w:val="20"/>
              </w:rPr>
              <w:t>Pending D29</w:t>
            </w:r>
          </w:p>
        </w:tc>
      </w:tr>
      <w:tr w:rsidR="00F72AFB" w14:paraId="6E619E0F"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4443D" w14:textId="77777777" w:rsidR="00F72AFB" w:rsidRDefault="00000000">
            <w:r>
              <w:rPr>
                <w:b/>
                <w:bCs/>
                <w:sz w:val="20"/>
                <w:szCs w:val="20"/>
              </w:rPr>
              <w:t>M4</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AA363" w14:textId="77777777" w:rsidR="00F72AFB" w:rsidRDefault="00000000">
            <w:r>
              <w:rPr>
                <w:sz w:val="20"/>
                <w:szCs w:val="20"/>
              </w:rPr>
              <w:t>Phase B complete (6 countries × 143 Qs)</w:t>
            </w:r>
            <w:commentRangeStart w:id="31"/>
            <w:commentRangeEnd w:id="31"/>
            <w:r>
              <w:rPr>
                <w:rStyle w:val="CommentReference"/>
              </w:rPr>
              <w:commentReference w:id="31"/>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BAF4E4" w14:textId="77777777" w:rsidR="00F72AFB" w:rsidRDefault="00000000">
            <w:r>
              <w:rPr>
                <w:sz w:val="20"/>
                <w:szCs w:val="20"/>
              </w:rPr>
              <w:t>Mid-July 2026</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1A633" w14:textId="77777777" w:rsidR="00F72AFB" w:rsidRDefault="00000000">
            <w:r>
              <w:rPr>
                <w:sz w:val="20"/>
                <w:szCs w:val="20"/>
              </w:rPr>
              <w:t>Not started</w:t>
            </w:r>
          </w:p>
        </w:tc>
      </w:tr>
      <w:tr w:rsidR="00F72AFB" w14:paraId="503989E5"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F993BF" w14:textId="77777777" w:rsidR="00F72AFB" w:rsidRDefault="00000000">
            <w:r>
              <w:rPr>
                <w:b/>
                <w:bCs/>
                <w:sz w:val="20"/>
                <w:szCs w:val="20"/>
              </w:rPr>
              <w:lastRenderedPageBreak/>
              <w:t>M5</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A5DF2D" w14:textId="77777777" w:rsidR="00F72AFB" w:rsidRDefault="00000000">
            <w:r>
              <w:rPr>
                <w:sz w:val="20"/>
                <w:szCs w:val="20"/>
              </w:rPr>
              <w:t>Verifier strategy comparison (Family 2)</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6FA48D" w14:textId="77777777" w:rsidR="00F72AFB" w:rsidRDefault="00000000">
            <w:r>
              <w:rPr>
                <w:sz w:val="20"/>
                <w:szCs w:val="20"/>
              </w:rPr>
              <w:t>Mid-July 2026</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08A1F1" w14:textId="77777777" w:rsidR="00F72AFB" w:rsidRDefault="00000000">
            <w:r>
              <w:rPr>
                <w:sz w:val="20"/>
                <w:szCs w:val="20"/>
              </w:rPr>
              <w:t>Not started</w:t>
            </w:r>
          </w:p>
        </w:tc>
      </w:tr>
      <w:tr w:rsidR="00F72AFB" w14:paraId="7EA327BA"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BECE2" w14:textId="77777777" w:rsidR="00F72AFB" w:rsidRDefault="00000000">
            <w:r>
              <w:rPr>
                <w:b/>
                <w:bCs/>
                <w:sz w:val="20"/>
                <w:szCs w:val="20"/>
              </w:rPr>
              <w:t>M6</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B7A03" w14:textId="77777777" w:rsidR="00F72AFB" w:rsidRDefault="00000000">
            <w:r>
              <w:rPr>
                <w:sz w:val="20"/>
                <w:szCs w:val="20"/>
              </w:rPr>
              <w:t>Model variant experiments (Family 3)</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48BC0" w14:textId="77777777" w:rsidR="00F72AFB" w:rsidRDefault="00000000">
            <w:r>
              <w:rPr>
                <w:sz w:val="20"/>
                <w:szCs w:val="20"/>
              </w:rPr>
              <w:t>Late July 2026</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E2033D" w14:textId="77777777" w:rsidR="00F72AFB" w:rsidRDefault="00000000">
            <w:r>
              <w:rPr>
                <w:sz w:val="20"/>
                <w:szCs w:val="20"/>
              </w:rPr>
              <w:t>Not started</w:t>
            </w:r>
          </w:p>
        </w:tc>
      </w:tr>
      <w:tr w:rsidR="00F72AFB" w14:paraId="579FBC9D" w14:textId="77777777">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381257" w14:textId="77777777" w:rsidR="00F72AFB" w:rsidRDefault="00000000">
            <w:r>
              <w:rPr>
                <w:b/>
                <w:bCs/>
                <w:sz w:val="20"/>
                <w:szCs w:val="20"/>
              </w:rPr>
              <w:t>M7</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24728B" w14:textId="77777777" w:rsidR="00F72AFB" w:rsidRDefault="00000000">
            <w:r>
              <w:rPr>
                <w:sz w:val="20"/>
                <w:szCs w:val="20"/>
              </w:rPr>
              <w:t>Failure-mode taxonomy drafted</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4AF74B" w14:textId="77777777" w:rsidR="00F72AFB" w:rsidRDefault="00000000">
            <w:r>
              <w:rPr>
                <w:sz w:val="20"/>
                <w:szCs w:val="20"/>
              </w:rPr>
              <w:t>Late July 2026</w:t>
            </w:r>
          </w:p>
        </w:tc>
        <w:tc>
          <w:tcPr>
            <w:tcW w:w="2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FDC5F3" w14:textId="77777777" w:rsidR="00F72AFB" w:rsidRDefault="00000000">
            <w:r>
              <w:rPr>
                <w:sz w:val="20"/>
                <w:szCs w:val="20"/>
              </w:rPr>
              <w:t>Not started</w:t>
            </w:r>
          </w:p>
        </w:tc>
      </w:tr>
      <w:tr w:rsidR="00F72AFB" w14:paraId="5A9AD35F"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3BBDD" w14:textId="77777777" w:rsidR="00F72AFB" w:rsidRDefault="00000000">
            <w:r>
              <w:rPr>
                <w:b/>
                <w:bCs/>
                <w:sz w:val="20"/>
                <w:szCs w:val="20"/>
              </w:rPr>
              <w:t>M8</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AC52E" w14:textId="77777777" w:rsidR="00F72AFB" w:rsidRDefault="00000000">
            <w:r>
              <w:rPr>
                <w:sz w:val="20"/>
                <w:szCs w:val="20"/>
              </w:rPr>
              <w:t>Final dissertation submitted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B62E2" w14:textId="77777777" w:rsidR="00F72AFB" w:rsidRDefault="00000000">
            <w:r>
              <w:rPr>
                <w:sz w:val="20"/>
                <w:szCs w:val="20"/>
              </w:rPr>
              <w:t>2 August 2026</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D4488" w14:textId="77777777" w:rsidR="00F72AFB" w:rsidRDefault="00000000">
            <w:r>
              <w:rPr>
                <w:sz w:val="20"/>
                <w:szCs w:val="20"/>
              </w:rPr>
              <w:t>On track</w:t>
            </w:r>
          </w:p>
        </w:tc>
      </w:tr>
    </w:tbl>
    <w:p w14:paraId="534BA9D4" w14:textId="77777777" w:rsidR="003962AC" w:rsidRDefault="00000000">
      <w:pPr>
        <w:pBdr>
          <w:left w:val="single" w:sz="18" w:space="6" w:color="E0A000"/>
        </w:pBdr>
        <w:shd w:val="clear" w:color="auto" w:fill="FFF6D5"/>
        <w:spacing w:before="80" w:after="40"/>
        <w:ind w:left="144"/>
        <w:rPr>
          <w:sz w:val="20"/>
          <w:szCs w:val="20"/>
        </w:rPr>
      </w:pPr>
      <w:r>
        <w:rPr>
          <w:b/>
          <w:bCs/>
          <w:color w:val="C00000"/>
          <w:sz w:val="20"/>
          <w:szCs w:val="20"/>
        </w:rPr>
        <w:t>-[ Stale statuses: M2 is not awaiting quota reset (DIY is in production, quota no longer gates, D43); M3 Phase A is Done; M5 verifier comparison is Done (D45). ]</w:t>
      </w:r>
      <w:r>
        <w:rPr>
          <w:sz w:val="20"/>
          <w:szCs w:val="20"/>
        </w:rPr>
        <w:br/>
      </w:r>
      <w:r>
        <w:rPr>
          <w:b/>
          <w:bCs/>
          <w:color w:val="1E7D1E"/>
          <w:sz w:val="20"/>
          <w:szCs w:val="20"/>
        </w:rPr>
        <w:t>+[ Add rows: Malta dev baseline n = 60 (done); catalogue pathway plus portal discovery (done, D30/D46); config freeze and held-out headline run EXP-21 (targets about 13 Jul and 20 Jul 2026). ]</w:t>
      </w:r>
    </w:p>
    <w:p w14:paraId="00ABC5AC" w14:textId="77777777" w:rsidR="00F72AFB" w:rsidRDefault="00F72AFB">
      <w:pPr>
        <w:spacing w:before="80" w:after="240"/>
      </w:pPr>
    </w:p>
    <w:p w14:paraId="58CB0903" w14:textId="77777777" w:rsidR="00F72AFB" w:rsidRDefault="00000000">
      <w:pPr>
        <w:pStyle w:val="Heading2"/>
      </w:pPr>
      <w:r>
        <w:t>Gantt Chart</w:t>
      </w:r>
    </w:p>
    <w:p w14:paraId="3CBB1054" w14:textId="77777777" w:rsidR="00F72AFB" w:rsidRDefault="00F72AFB">
      <w:pPr>
        <w:spacing w:before="80" w:after="8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00"/>
        <w:gridCol w:w="1200"/>
        <w:gridCol w:w="1400"/>
        <w:gridCol w:w="1400"/>
        <w:gridCol w:w="1200"/>
      </w:tblGrid>
      <w:tr w:rsidR="00F72AFB" w14:paraId="16E0D1E9"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6E4958" w14:textId="77777777" w:rsidR="00F72AFB" w:rsidRDefault="00000000">
            <w:r>
              <w:rPr>
                <w:b/>
                <w:bCs/>
                <w:color w:val="FFFFFF"/>
                <w:sz w:val="20"/>
                <w:szCs w:val="20"/>
              </w:rPr>
              <w:t>Work package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500B398" w14:textId="77777777" w:rsidR="00F72AFB" w:rsidRDefault="00000000">
            <w:r>
              <w:rPr>
                <w:b/>
                <w:bCs/>
                <w:color w:val="FFFFFF"/>
                <w:sz w:val="20"/>
                <w:szCs w:val="20"/>
              </w:rPr>
              <w:t>Jun 1–14</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F6CD5F" w14:textId="77777777" w:rsidR="00F72AFB" w:rsidRDefault="00000000">
            <w:r>
              <w:rPr>
                <w:b/>
                <w:bCs/>
                <w:color w:val="FFFFFF"/>
                <w:sz w:val="20"/>
                <w:szCs w:val="20"/>
              </w:rPr>
              <w:t>Jun 15–28</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3198CB" w14:textId="77777777" w:rsidR="00F72AFB" w:rsidRDefault="00000000">
            <w:r>
              <w:rPr>
                <w:b/>
                <w:bCs/>
                <w:color w:val="FFFFFF"/>
                <w:sz w:val="20"/>
                <w:szCs w:val="20"/>
              </w:rPr>
              <w:t>Jun 29–Jul 12</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BF7112" w14:textId="77777777" w:rsidR="00F72AFB" w:rsidRDefault="00000000">
            <w:r>
              <w:rPr>
                <w:b/>
                <w:bCs/>
                <w:color w:val="FFFFFF"/>
                <w:sz w:val="20"/>
                <w:szCs w:val="20"/>
              </w:rPr>
              <w:t>Jul 13–26</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61AAC3" w14:textId="77777777" w:rsidR="00F72AFB" w:rsidRDefault="00000000">
            <w:r>
              <w:rPr>
                <w:b/>
                <w:bCs/>
                <w:color w:val="FFFFFF"/>
                <w:sz w:val="20"/>
                <w:szCs w:val="20"/>
              </w:rPr>
              <w:t>Jul 27–Aug 2</w:t>
            </w:r>
          </w:p>
        </w:tc>
      </w:tr>
      <w:tr w:rsidR="00F72AFB" w14:paraId="7B0BA3CD"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E18DAB" w14:textId="470A9138" w:rsidR="00F72AFB" w:rsidRDefault="00000000">
            <w:r>
              <w:rPr>
                <w:b/>
                <w:bCs/>
                <w:sz w:val="18"/>
                <w:szCs w:val="18"/>
              </w:rPr>
              <w:t>D29 DIY Search API pipeline</w:t>
            </w:r>
          </w:p>
        </w:tc>
        <w:tc>
          <w:tcPr>
            <w:tcW w:w="1200" w:type="dxa"/>
            <w:tcBorders>
              <w:top w:val="single" w:sz="1" w:space="0" w:color="CCCCCC"/>
              <w:left w:val="single" w:sz="1" w:space="0" w:color="CCCCCC"/>
              <w:bottom w:val="single" w:sz="1" w:space="0" w:color="CCCCCC"/>
              <w:right w:val="single" w:sz="1" w:space="0" w:color="CCCCCC"/>
            </w:tcBorders>
            <w:shd w:val="clear" w:color="auto" w:fill="A9D18E"/>
            <w:tcMar>
              <w:top w:w="80" w:type="dxa"/>
              <w:left w:w="120" w:type="dxa"/>
              <w:bottom w:w="80" w:type="dxa"/>
              <w:right w:w="120" w:type="dxa"/>
            </w:tcMar>
          </w:tcPr>
          <w:p w14:paraId="6D04B189" w14:textId="77777777" w:rsidR="00F72AFB" w:rsidRDefault="00000000">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BBB7E" w14:textId="77777777" w:rsidR="00F72AFB" w:rsidRDefault="00F72AFB"/>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4D22E" w14:textId="77777777" w:rsidR="00F72AFB" w:rsidRDefault="00F72AFB"/>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2FD66C" w14:textId="77777777" w:rsidR="00F72AFB" w:rsidRDefault="00F72AFB"/>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1D169" w14:textId="77777777" w:rsidR="00F72AFB" w:rsidRDefault="00F72AFB"/>
        </w:tc>
      </w:tr>
      <w:tr w:rsidR="00F72AFB" w14:paraId="461F8C66"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97D694" w14:textId="77777777" w:rsidR="00F72AFB" w:rsidRDefault="00000000">
            <w:r>
              <w:rPr>
                <w:b/>
                <w:bCs/>
                <w:sz w:val="18"/>
                <w:szCs w:val="18"/>
              </w:rPr>
              <w:t>Phase A: FR all 143 questions</w:t>
            </w:r>
          </w:p>
        </w:tc>
        <w:tc>
          <w:tcPr>
            <w:tcW w:w="1200" w:type="dxa"/>
            <w:tcBorders>
              <w:top w:val="single" w:sz="1" w:space="0" w:color="CCCCCC"/>
              <w:left w:val="single" w:sz="1" w:space="0" w:color="CCCCCC"/>
              <w:bottom w:val="single" w:sz="1" w:space="0" w:color="CCCCCC"/>
              <w:right w:val="single" w:sz="1" w:space="0" w:color="CCCCCC"/>
            </w:tcBorders>
            <w:shd w:val="clear" w:color="auto" w:fill="A9D18E"/>
            <w:tcMar>
              <w:top w:w="80" w:type="dxa"/>
              <w:left w:w="120" w:type="dxa"/>
              <w:bottom w:w="80" w:type="dxa"/>
              <w:right w:w="120" w:type="dxa"/>
            </w:tcMar>
          </w:tcPr>
          <w:p w14:paraId="440F9CD8" w14:textId="77777777" w:rsidR="00F72AFB" w:rsidRDefault="00000000">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2600E356" w14:textId="77777777" w:rsidR="00F72AFB" w:rsidRDefault="00F72AFB"/>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E1E0E" w14:textId="77777777" w:rsidR="00F72AFB" w:rsidRDefault="00F72AFB"/>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3C153" w14:textId="77777777" w:rsidR="00F72AFB" w:rsidRDefault="00F72AFB"/>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C5681" w14:textId="77777777" w:rsidR="00F72AFB" w:rsidRDefault="00F72AFB"/>
        </w:tc>
      </w:tr>
      <w:tr w:rsidR="00F72AFB" w14:paraId="0542AEDA"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59F05C" w14:textId="77777777" w:rsidR="00F72AFB" w:rsidRDefault="00000000">
            <w:r>
              <w:rPr>
                <w:b/>
                <w:bCs/>
                <w:sz w:val="18"/>
                <w:szCs w:val="18"/>
              </w:rPr>
              <w:t>Phase B: 6-country scale-out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6C1F3" w14:textId="77777777" w:rsidR="00F72AFB" w:rsidRDefault="00F72AFB"/>
        </w:tc>
        <w:tc>
          <w:tcPr>
            <w:tcW w:w="12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D2B80E3" w14:textId="77777777" w:rsidR="00F72AFB" w:rsidRDefault="00F72AFB"/>
        </w:tc>
        <w:tc>
          <w:tcPr>
            <w:tcW w:w="14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8FC56D0" w14:textId="77777777" w:rsidR="00F72AFB" w:rsidRDefault="00F72AFB"/>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B34F2" w14:textId="77777777" w:rsidR="00F72AFB" w:rsidRDefault="00F72AFB"/>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AD10D" w14:textId="77777777" w:rsidR="00F72AFB" w:rsidRDefault="00F72AFB"/>
        </w:tc>
      </w:tr>
      <w:tr w:rsidR="00F72AFB" w14:paraId="49EB3E37"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3A8D7A" w14:textId="77777777" w:rsidR="00F72AFB" w:rsidRDefault="00000000">
            <w:r>
              <w:rPr>
                <w:b/>
                <w:bCs/>
                <w:sz w:val="18"/>
                <w:szCs w:val="18"/>
              </w:rPr>
              <w:t>Family 2: Verifier strategy exps.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26892" w14:textId="77777777" w:rsidR="00F72AFB" w:rsidRDefault="00F72AFB"/>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28E6A" w14:textId="77777777" w:rsidR="00F72AFB" w:rsidRDefault="00F72AFB"/>
        </w:tc>
        <w:tc>
          <w:tcPr>
            <w:tcW w:w="14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0A9E6F7F" w14:textId="77777777" w:rsidR="00F72AFB" w:rsidRDefault="00F72AFB"/>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81FB1" w14:textId="77777777" w:rsidR="00F72AFB" w:rsidRDefault="00F72AFB"/>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4D138" w14:textId="77777777" w:rsidR="00F72AFB" w:rsidRDefault="00F72AFB"/>
        </w:tc>
      </w:tr>
      <w:tr w:rsidR="00F72AFB" w14:paraId="149BCBBC"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BE9AE5" w14:textId="77777777" w:rsidR="00F72AFB" w:rsidRDefault="00000000">
            <w:r>
              <w:rPr>
                <w:b/>
                <w:bCs/>
                <w:sz w:val="18"/>
                <w:szCs w:val="18"/>
              </w:rPr>
              <w:t>Family 3: Model variant exps.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93802" w14:textId="77777777" w:rsidR="00F72AFB" w:rsidRDefault="00F72AFB"/>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65F06" w14:textId="77777777" w:rsidR="00F72AFB" w:rsidRDefault="00F72AFB"/>
        </w:tc>
        <w:tc>
          <w:tcPr>
            <w:tcW w:w="14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0A828CC" w14:textId="77777777" w:rsidR="00F72AFB" w:rsidRDefault="00F72AFB"/>
        </w:tc>
        <w:tc>
          <w:tcPr>
            <w:tcW w:w="14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1E31D5C1" w14:textId="77777777" w:rsidR="00F72AFB" w:rsidRDefault="00F72AFB"/>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E21710" w14:textId="77777777" w:rsidR="00F72AFB" w:rsidRDefault="00F72AFB"/>
        </w:tc>
      </w:tr>
      <w:tr w:rsidR="00F72AFB" w14:paraId="2F08D6BD"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E395A2" w14:textId="77777777" w:rsidR="00F72AFB" w:rsidRDefault="00000000">
            <w:r>
              <w:rPr>
                <w:b/>
                <w:bCs/>
                <w:sz w:val="18"/>
                <w:szCs w:val="18"/>
              </w:rPr>
              <w:t>Data analysis + failure taxonomy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03361" w14:textId="77777777" w:rsidR="00F72AFB" w:rsidRDefault="00F72AFB"/>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FEDAD" w14:textId="77777777" w:rsidR="00F72AFB" w:rsidRDefault="00F72AFB"/>
        </w:tc>
        <w:tc>
          <w:tcPr>
            <w:tcW w:w="14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547DCCBB" w14:textId="77777777" w:rsidR="00F72AFB" w:rsidRDefault="00F72AFB"/>
        </w:tc>
        <w:tc>
          <w:tcPr>
            <w:tcW w:w="14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923F553" w14:textId="77777777" w:rsidR="00F72AFB" w:rsidRDefault="00F72AFB"/>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777B9" w14:textId="77777777" w:rsidR="00F72AFB" w:rsidRDefault="00F72AFB"/>
        </w:tc>
      </w:tr>
      <w:tr w:rsidR="00F72AFB" w14:paraId="4ED60F91"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22E51C" w14:textId="77777777" w:rsidR="00F72AFB" w:rsidRDefault="00000000">
            <w:r>
              <w:rPr>
                <w:b/>
                <w:bCs/>
                <w:sz w:val="18"/>
                <w:szCs w:val="18"/>
              </w:rPr>
              <w:t>Dissertation writing</w:t>
            </w:r>
          </w:p>
        </w:tc>
        <w:tc>
          <w:tcPr>
            <w:tcW w:w="1200" w:type="dxa"/>
            <w:tcBorders>
              <w:top w:val="single" w:sz="1" w:space="0" w:color="CCCCCC"/>
              <w:left w:val="single" w:sz="1" w:space="0" w:color="CCCCCC"/>
              <w:bottom w:val="single" w:sz="1" w:space="0" w:color="CCCCCC"/>
              <w:right w:val="single" w:sz="1" w:space="0" w:color="CCCCCC"/>
            </w:tcBorders>
            <w:shd w:val="clear" w:color="auto" w:fill="A9D18E"/>
            <w:tcMar>
              <w:top w:w="80" w:type="dxa"/>
              <w:left w:w="120" w:type="dxa"/>
              <w:bottom w:w="80" w:type="dxa"/>
              <w:right w:w="120" w:type="dxa"/>
            </w:tcMar>
          </w:tcPr>
          <w:p w14:paraId="32BC0B7C" w14:textId="77777777" w:rsidR="00F72AFB" w:rsidRDefault="00000000">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311633F" w14:textId="77777777" w:rsidR="00F72AFB" w:rsidRDefault="00F72AFB"/>
        </w:tc>
        <w:tc>
          <w:tcPr>
            <w:tcW w:w="14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D194D00" w14:textId="77777777" w:rsidR="00F72AFB" w:rsidRDefault="00F72AFB"/>
        </w:tc>
        <w:tc>
          <w:tcPr>
            <w:tcW w:w="14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4EABEAD1" w14:textId="77777777" w:rsidR="00F72AFB" w:rsidRDefault="00F72AFB"/>
        </w:tc>
        <w:tc>
          <w:tcPr>
            <w:tcW w:w="12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345C2A78" w14:textId="77777777" w:rsidR="00F72AFB" w:rsidRDefault="00F72AFB"/>
        </w:tc>
      </w:tr>
      <w:tr w:rsidR="00F72AFB" w14:paraId="17D04D89"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1FFC94" w14:textId="77777777" w:rsidR="00F72AFB" w:rsidRDefault="00000000">
            <w:r>
              <w:rPr>
                <w:b/>
                <w:bCs/>
                <w:sz w:val="18"/>
                <w:szCs w:val="18"/>
              </w:rPr>
              <w:t>Final review and submission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97782" w14:textId="77777777" w:rsidR="00F72AFB" w:rsidRDefault="00F72AFB"/>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A837A" w14:textId="77777777" w:rsidR="00F72AFB" w:rsidRDefault="00F72AFB"/>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2C392" w14:textId="77777777" w:rsidR="00F72AFB" w:rsidRDefault="00F72AFB"/>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5B996" w14:textId="77777777" w:rsidR="00F72AFB" w:rsidRDefault="00F72AFB"/>
        </w:tc>
        <w:tc>
          <w:tcPr>
            <w:tcW w:w="1200" w:type="dxa"/>
            <w:tcBorders>
              <w:top w:val="single" w:sz="1" w:space="0" w:color="CCCCCC"/>
              <w:left w:val="single" w:sz="1" w:space="0" w:color="CCCCCC"/>
              <w:bottom w:val="single" w:sz="1" w:space="0" w:color="CCCCCC"/>
              <w:right w:val="single" w:sz="1" w:space="0" w:color="CCCCCC"/>
            </w:tcBorders>
            <w:shd w:val="clear" w:color="auto" w:fill="4472C4"/>
            <w:tcMar>
              <w:top w:w="80" w:type="dxa"/>
              <w:left w:w="120" w:type="dxa"/>
              <w:bottom w:w="80" w:type="dxa"/>
              <w:right w:w="120" w:type="dxa"/>
            </w:tcMar>
          </w:tcPr>
          <w:p w14:paraId="76EDB1F0" w14:textId="77777777" w:rsidR="00F72AFB" w:rsidRDefault="00F72AFB"/>
        </w:tc>
      </w:tr>
    </w:tbl>
    <w:p w14:paraId="2D3B324C" w14:textId="77777777" w:rsidR="00F72AFB" w:rsidRDefault="00F72AFB">
      <w:pPr>
        <w:spacing w:before="80" w:after="240"/>
      </w:pPr>
    </w:p>
    <w:p w14:paraId="530569EC" w14:textId="77777777" w:rsidR="00F72AFB" w:rsidRDefault="00000000">
      <w:pPr>
        <w:pStyle w:val="Heading2"/>
      </w:pPr>
      <w:r>
        <w:t>Risks and Contingencies</w:t>
      </w:r>
    </w:p>
    <w:p w14:paraId="2753538F" w14:textId="77777777" w:rsidR="00F72AFB" w:rsidRDefault="00F72AFB">
      <w:pPr>
        <w:spacing w:before="80" w:after="8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8"/>
        <w:gridCol w:w="1240"/>
        <w:gridCol w:w="1198"/>
        <w:gridCol w:w="4574"/>
      </w:tblGrid>
      <w:tr w:rsidR="00F72AFB" w14:paraId="25D3714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B96F8A" w14:textId="77777777" w:rsidR="00F72AFB" w:rsidRDefault="00000000">
            <w:r>
              <w:rPr>
                <w:b/>
                <w:bCs/>
                <w:color w:val="FFFFFF"/>
                <w:sz w:val="20"/>
                <w:szCs w:val="20"/>
              </w:rPr>
              <w:t>Risk</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F8CBC3" w14:textId="77777777" w:rsidR="00F72AFB" w:rsidRDefault="00000000">
            <w:r>
              <w:rPr>
                <w:b/>
                <w:bCs/>
                <w:color w:val="FFFFFF"/>
                <w:sz w:val="20"/>
                <w:szCs w:val="20"/>
              </w:rPr>
              <w:t>Likelihood</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ADCE63" w14:textId="77777777" w:rsidR="00F72AFB" w:rsidRDefault="00000000">
            <w:r>
              <w:rPr>
                <w:b/>
                <w:bCs/>
                <w:color w:val="FFFFFF"/>
                <w:sz w:val="20"/>
                <w:szCs w:val="20"/>
              </w:rPr>
              <w:t>Impact</w:t>
            </w:r>
          </w:p>
        </w:tc>
        <w:tc>
          <w:tcPr>
            <w:tcW w:w="4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D35792" w14:textId="77777777" w:rsidR="00F72AFB" w:rsidRDefault="00000000">
            <w:r>
              <w:rPr>
                <w:b/>
                <w:bCs/>
                <w:color w:val="FFFFFF"/>
                <w:sz w:val="20"/>
                <w:szCs w:val="20"/>
              </w:rPr>
              <w:t>Mitigation</w:t>
            </w:r>
          </w:p>
        </w:tc>
      </w:tr>
      <w:tr w:rsidR="00F72AFB" w14:paraId="1DD6316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AE7B27" w14:textId="77777777" w:rsidR="00F72AFB" w:rsidRDefault="00000000">
            <w:r>
              <w:rPr>
                <w:sz w:val="20"/>
                <w:szCs w:val="20"/>
              </w:rPr>
              <w:t>API quota exhaustion (Tavily/Brave)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B75B64" w14:textId="77777777" w:rsidR="00F72AFB" w:rsidRDefault="00000000">
            <w:r>
              <w:rPr>
                <w:sz w:val="20"/>
                <w:szCs w:val="20"/>
              </w:rPr>
              <w:t>High</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39C51A" w14:textId="77777777" w:rsidR="00F72AFB" w:rsidRDefault="00000000">
            <w:r>
              <w:rPr>
                <w:sz w:val="20"/>
                <w:szCs w:val="20"/>
              </w:rPr>
              <w:t>High</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4B2BA5" w14:textId="77777777" w:rsidR="00F72AFB" w:rsidRDefault="00000000">
            <w:r>
              <w:rPr>
                <w:sz w:val="20"/>
                <w:szCs w:val="20"/>
              </w:rPr>
              <w:t>D29 DIY Search API pipeline using Serper.dev; daily quota reset monitoring</w:t>
            </w:r>
          </w:p>
        </w:tc>
      </w:tr>
      <w:tr w:rsidR="00F72AFB" w14:paraId="7EB323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336A8" w14:textId="77777777" w:rsidR="00F72AFB" w:rsidRDefault="00000000">
            <w:r>
              <w:rPr>
                <w:sz w:val="20"/>
                <w:szCs w:val="20"/>
              </w:rPr>
              <w:t>Data leakage (ODMI source retrieval)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4A1DF" w14:textId="77777777" w:rsidR="00F72AFB" w:rsidRDefault="00000000">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2D5DB" w14:textId="77777777" w:rsidR="00F72AFB" w:rsidRDefault="00000000">
            <w:r>
              <w:rPr>
                <w:sz w:val="20"/>
                <w:szCs w:val="20"/>
              </w:rPr>
              <w:t>High</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31757" w14:textId="77777777" w:rsidR="00F72AFB" w:rsidRDefault="00000000">
            <w:r>
              <w:rPr>
                <w:sz w:val="20"/>
                <w:szCs w:val="20"/>
              </w:rPr>
              <w:t>Five-layer blocked-domain defence; audit script run after every batch</w:t>
            </w:r>
          </w:p>
        </w:tc>
      </w:tr>
      <w:tr w:rsidR="00F72AFB" w14:paraId="4C2204F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72FAFF" w14:textId="77777777" w:rsidR="00F72AFB" w:rsidRDefault="00000000">
            <w:r>
              <w:rPr>
                <w:sz w:val="20"/>
                <w:szCs w:val="20"/>
              </w:rPr>
              <w:t>Claude Max rate-limiting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13E746" w14:textId="77777777" w:rsidR="00F72AFB" w:rsidRDefault="00000000">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9C2BB8" w14:textId="77777777" w:rsidR="00F72AFB" w:rsidRDefault="00000000">
            <w:r>
              <w:rPr>
                <w:sz w:val="20"/>
                <w:szCs w:val="20"/>
              </w:rPr>
              <w:t>Medium</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45E9AB" w14:textId="77777777" w:rsidR="00F72AFB" w:rsidRDefault="00000000">
            <w:r>
              <w:rPr>
                <w:sz w:val="20"/>
                <w:szCs w:val="20"/>
              </w:rPr>
              <w:t>Rolling 5-hour credit window (D20); batch size kept within API limits</w:t>
            </w:r>
          </w:p>
        </w:tc>
      </w:tr>
      <w:tr w:rsidR="00F72AFB" w14:paraId="4646963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521EA" w14:textId="77777777" w:rsidR="00F72AFB" w:rsidRDefault="00000000">
            <w:r>
              <w:rPr>
                <w:sz w:val="20"/>
                <w:szCs w:val="20"/>
              </w:rPr>
              <w:t>Phase B/C timeline overrun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2F1F6" w14:textId="77777777" w:rsidR="00F72AFB" w:rsidRDefault="00000000">
            <w:r>
              <w:rPr>
                <w:sz w:val="20"/>
                <w:szCs w:val="20"/>
              </w:rPr>
              <w:t>Medium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9500C" w14:textId="77777777" w:rsidR="00F72AFB" w:rsidRDefault="00000000">
            <w:r>
              <w:rPr>
                <w:sz w:val="20"/>
                <w:szCs w:val="20"/>
              </w:rPr>
              <w:t>High</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0A27D" w14:textId="77777777" w:rsidR="00F72AFB" w:rsidRDefault="00000000">
            <w:r>
              <w:rPr>
                <w:sz w:val="20"/>
                <w:szCs w:val="20"/>
              </w:rPr>
              <w:t>Phase C is a stretch target; dissertation viable on Phase B data alone</w:t>
            </w:r>
          </w:p>
        </w:tc>
      </w:tr>
      <w:tr w:rsidR="00F72AFB" w14:paraId="1A1CB1F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FD78C0" w14:textId="77777777" w:rsidR="00F72AFB" w:rsidRDefault="00000000">
            <w:r>
              <w:rPr>
                <w:sz w:val="20"/>
                <w:szCs w:val="20"/>
              </w:rPr>
              <w:t>Ground-truth staleness (cycle drift)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0E1D24" w14:textId="77777777" w:rsidR="00F72AFB" w:rsidRDefault="00000000">
            <w:r>
              <w:rPr>
                <w:sz w:val="20"/>
                <w:szCs w:val="20"/>
              </w:rPr>
              <w:t>Low</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80BB2F" w14:textId="77777777" w:rsidR="00F72AFB" w:rsidRDefault="00000000">
            <w:r>
              <w:rPr>
                <w:sz w:val="20"/>
                <w:szCs w:val="20"/>
              </w:rPr>
              <w:t>Medium</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99AA07" w14:textId="77777777" w:rsidR="00F72AFB" w:rsidRDefault="00000000">
            <w:r>
              <w:rPr>
                <w:sz w:val="20"/>
                <w:szCs w:val="20"/>
              </w:rPr>
              <w:t>2024 cycle held back as external-validity test (D13); 2025 is locked GT</w:t>
            </w:r>
          </w:p>
        </w:tc>
      </w:tr>
    </w:tbl>
    <w:p w14:paraId="18BF0AAD" w14:textId="77777777" w:rsidR="003962AC" w:rsidRDefault="00000000">
      <w:pPr>
        <w:pBdr>
          <w:left w:val="single" w:sz="18" w:space="6" w:color="E0A000"/>
        </w:pBdr>
        <w:shd w:val="clear" w:color="auto" w:fill="FFF6D5"/>
        <w:spacing w:before="80" w:after="40"/>
        <w:ind w:left="144"/>
        <w:rPr>
          <w:sz w:val="20"/>
          <w:szCs w:val="20"/>
        </w:rPr>
      </w:pPr>
      <w:r>
        <w:rPr>
          <w:b/>
          <w:bCs/>
          <w:color w:val="C00000"/>
          <w:sz w:val="20"/>
          <w:szCs w:val="20"/>
        </w:rPr>
        <w:t>-[ Top risk API quota exhaustion (Tavily/Brave) no longer applies (DIY-only, D43). ]</w:t>
      </w:r>
      <w:r>
        <w:rPr>
          <w:sz w:val="20"/>
          <w:szCs w:val="20"/>
        </w:rPr>
        <w:br/>
      </w:r>
      <w:r>
        <w:rPr>
          <w:b/>
          <w:bCs/>
          <w:color w:val="1E7D1E"/>
          <w:sz w:val="20"/>
          <w:szCs w:val="20"/>
        </w:rPr>
        <w:t>+[ Add: WAF or CAPTCHA on government portals (Playwright fallback, honest abstention if still blocked); held-out contamination (mitigated by the D47 freeze, the 8 read once); runaway dispatch (circuit breakers, D41). ]</w:t>
      </w:r>
    </w:p>
    <w:p w14:paraId="59E478B8" w14:textId="77777777" w:rsidR="00F72AFB" w:rsidRDefault="00F72AFB">
      <w:pPr>
        <w:spacing w:before="80" w:after="240"/>
      </w:pPr>
    </w:p>
    <w:p w14:paraId="2CF80DD3" w14:textId="77777777" w:rsidR="00F72AFB" w:rsidRDefault="00F72AFB">
      <w:pPr>
        <w:pBdr>
          <w:bottom w:val="single" w:sz="4" w:space="4" w:color="CCCCCC"/>
        </w:pBdr>
        <w:spacing w:before="200" w:after="200"/>
      </w:pPr>
    </w:p>
    <w:p w14:paraId="43372F78" w14:textId="77777777" w:rsidR="00F72AFB" w:rsidRDefault="00000000">
      <w:r>
        <w:br w:type="page"/>
      </w:r>
    </w:p>
    <w:p w14:paraId="3724E3F0" w14:textId="77777777" w:rsidR="00F72AFB" w:rsidRDefault="00000000">
      <w:pPr>
        <w:pStyle w:val="Heading1"/>
      </w:pPr>
      <w:r>
        <w:lastRenderedPageBreak/>
        <w:t>References</w:t>
      </w:r>
    </w:p>
    <w:sectPr w:rsidR="00F72AFB">
      <w:pgSz w:w="11906" w:h="16838"/>
      <w:pgMar w:top="851" w:right="851" w:bottom="851" w:left="851"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Claude" w:date="2026-06-06T15:19:00Z" w:initials="C">
    <w:p w14:paraId="724E57CA" w14:textId="77777777" w:rsidR="00472060" w:rsidRDefault="00000000">
      <w:r>
        <w:annotationRef/>
      </w:r>
      <w:r>
        <w:rPr>
          <w:color w:val="000000"/>
          <w:sz w:val="20"/>
          <w:szCs w:val="20"/>
        </w:rPr>
        <w:t>Three things in this paragraph. (1) 'saving thousands of hours without giving up accuracy' is an overclaim and it contradicts your own Quality result of 53% later on; since your headline contribution is a failure-mode taxonomy, you cannot claim accuracy is preserved. Soften to a potential time saving and drop the no-accuracy-loss claim. (2) 'tendency towards optimism' is loose: you mean over-answering under uncertainty / hallucination. Use the precise term and cite it. (3) 'every member country' implies 36 EU members, but the EU has 27 and ODMI covers 36 participating countries. Clarify.</w:t>
      </w:r>
    </w:p>
  </w:comment>
  <w:comment w:id="1" w:author="Claude" w:date="2026-06-06T15:19:00Z" w:initials="C">
    <w:p w14:paraId="279C035E" w14:textId="77777777" w:rsidR="00472060" w:rsidRDefault="00000000">
      <w:r>
        <w:annotationRef/>
      </w:r>
      <w:r>
        <w:rPr>
          <w:color w:val="000000"/>
          <w:sz w:val="20"/>
          <w:szCs w:val="20"/>
        </w:rPr>
        <w:t>Unjustified without a source. Bring in the 46% to 83% figure you use later and cite the ODMI report. Also there is a stray tab indent at the start of this paragraph.</w:t>
      </w:r>
    </w:p>
  </w:comment>
  <w:comment w:id="3" w:author="Claude" w:date="2026-06-06T15:19:00Z" w:initials="C">
    <w:p w14:paraId="31587901" w14:textId="77777777" w:rsidR="00472060" w:rsidRDefault="00000000">
      <w:r>
        <w:annotationRef/>
      </w:r>
      <w:r>
        <w:rPr>
          <w:color w:val="000000"/>
          <w:sz w:val="20"/>
          <w:szCs w:val="20"/>
        </w:rPr>
        <w:t>'143 question per 36 countries' should be '143 questions across 36 countries'. Replace 'a large portion ... require simple, binary answers' with your own figure (124 of 143 are binary). 'The model laid out in this paper' should be 'system' or 'project', not 'paper'. Your note below is right that this is weak: lead with the concrete bottleneck (consultant cost, subjectivity in self-reported items, the live 2026 cycle).</w:t>
      </w:r>
    </w:p>
  </w:comment>
  <w:comment w:id="2" w:author="Claude" w:date="2026-06-06T15:19:00Z" w:initials="C">
    <w:p w14:paraId="3C2F406C" w14:textId="77777777" w:rsidR="00472060" w:rsidRDefault="00000000">
      <w:r>
        <w:annotationRef/>
      </w:r>
      <w:r>
        <w:rPr>
          <w:color w:val="000000"/>
          <w:sz w:val="20"/>
          <w:szCs w:val="20"/>
        </w:rPr>
        <w:t>Author note: delete before submission.</w:t>
      </w:r>
    </w:p>
  </w:comment>
  <w:comment w:id="4" w:author="Claude" w:date="2026-06-06T15:19:00Z" w:initials="C">
    <w:p w14:paraId="71DF26B0" w14:textId="77777777" w:rsidR="00472060" w:rsidRDefault="00000000">
      <w:r>
        <w:annotationRef/>
      </w:r>
      <w:r>
        <w:rPr>
          <w:color w:val="000000"/>
          <w:sz w:val="20"/>
          <w:szCs w:val="20"/>
        </w:rPr>
        <w:t>The guidance above lists RQ1 to RQ5 but only RQ1 to RQ4 appear. Reconcile (I think there are four). Also in RQ1, 'at a quality level approximate to' should be 'comparable to'.</w:t>
      </w:r>
    </w:p>
  </w:comment>
  <w:comment w:id="5" w:author="Claude" w:date="2026-06-06T15:19:00Z" w:initials="C">
    <w:p w14:paraId="5253680E" w14:textId="77777777" w:rsidR="00472060" w:rsidRDefault="00000000">
      <w:r>
        <w:annotationRef/>
      </w:r>
      <w:r>
        <w:rPr>
          <w:color w:val="000000"/>
          <w:sz w:val="20"/>
          <w:szCs w:val="20"/>
        </w:rPr>
        <w:t>'based off of' should be 'based on', and 'our ground-truth, accuracy is based' is a comma splice. Bigger point: you use 'validation set' and 'test set' interchangeably, but nothing is trained here, so borrowing ML train/val/test framing will confuse the examiner. State clearly that 2025 merged_responses is the evaluation ground truth and 2024 is the proposed external-validity holdout.</w:t>
      </w:r>
    </w:p>
  </w:comment>
  <w:comment w:id="6" w:author="Claude" w:date="2026-06-06T15:19:00Z" w:initials="C">
    <w:p w14:paraId="2E9CED66" w14:textId="77777777" w:rsidR="00472060" w:rsidRDefault="00000000">
      <w:r>
        <w:annotationRef/>
      </w:r>
      <w:r>
        <w:rPr>
          <w:color w:val="000000"/>
          <w:sz w:val="20"/>
          <w:szCs w:val="20"/>
        </w:rPr>
        <w:t>Define 'subtrio' and 'released' at first use. They are undefined jargon as they stand.</w:t>
      </w:r>
    </w:p>
  </w:comment>
  <w:comment w:id="8" w:author="Claude" w:date="2026-06-06T15:19:00Z" w:initials="C">
    <w:p w14:paraId="2B5318F2" w14:textId="77777777" w:rsidR="00B64BC0" w:rsidRDefault="00B64BC0">
      <w:r>
        <w:annotationRef/>
      </w:r>
      <w:r>
        <w:rPr>
          <w:color w:val="000000"/>
          <w:sz w:val="20"/>
          <w:szCs w:val="20"/>
        </w:rPr>
        <w:t>Delete this paragraph: it is a verbatim duplicate of the Fumega paragraph in section 2.2.</w:t>
      </w:r>
    </w:p>
  </w:comment>
  <w:comment w:id="7" w:author="Claude" w:date="2026-06-06T15:19:00Z" w:initials="C">
    <w:p w14:paraId="2DF0C964" w14:textId="77777777" w:rsidR="00B64BC0" w:rsidRDefault="00B64BC0">
      <w:r>
        <w:annotationRef/>
      </w:r>
      <w:r>
        <w:rPr>
          <w:color w:val="000000"/>
          <w:sz w:val="20"/>
          <w:szCs w:val="20"/>
        </w:rPr>
        <w:t>This note is actually your real thesis: the contribution is a self-verification method (adversarial external counter-evidence) plus the adjudicator, and the failure-mode taxonomy. Promote it into the clean research-gap statement rather than leaving it as a note to self.</w:t>
      </w:r>
    </w:p>
  </w:comment>
  <w:comment w:id="9" w:author="Claude" w:date="2026-06-06T15:19:00Z" w:initials="C">
    <w:p w14:paraId="2E15EBCD" w14:textId="77777777" w:rsidR="00472060" w:rsidRDefault="00000000">
      <w:r>
        <w:annotationRef/>
      </w:r>
      <w:r>
        <w:rPr>
          <w:color w:val="000000"/>
          <w:sz w:val="20"/>
          <w:szCs w:val="20"/>
        </w:rPr>
        <w:t>'something something' is a placeholder. Decide: is 61.76% your comparator target? State it plainly. The 85% / 31% figures here differ from '85.55% to under 32%' in the gap section. Pick one consistent pair and cite.</w:t>
      </w:r>
    </w:p>
  </w:comment>
  <w:comment w:id="10" w:author="Claude" w:date="2026-06-06T15:19:00Z" w:initials="C">
    <w:p w14:paraId="1CE836E0" w14:textId="77777777" w:rsidR="00472060" w:rsidRDefault="00000000">
      <w:r>
        <w:annotationRef/>
      </w:r>
      <w:r>
        <w:rPr>
          <w:color w:val="000000"/>
          <w:sz w:val="20"/>
          <w:szCs w:val="20"/>
        </w:rPr>
        <w:t>This section is meant to review self-consistency (Wei), best-of-N and debate (Du et al.) and relate them to your Verifier. None of that is here, just two generic paragraphs. Add the real literature and the contrast: your Verifier searches external counter-evidence, not internal consistency. 'well-documented [][][]' needs three actual citations.</w:t>
      </w:r>
    </w:p>
  </w:comment>
  <w:comment w:id="11" w:author="Claude" w:date="2026-06-26T13:39:00Z" w:initials="C">
    <w:p w14:paraId="5104FE6A" w14:textId="77777777" w:rsidR="0087587C" w:rsidRDefault="00000000">
      <w:r>
        <w:rPr>
          <w:rStyle w:val="CommentReference"/>
        </w:rPr>
        <w:annotationRef/>
      </w:r>
      <w:r>
        <w:rPr>
          <w:color w:val="000000"/>
          <w:sz w:val="20"/>
          <w:szCs w:val="20"/>
        </w:rPr>
        <w:t>Fill the placeholder with a concrete example: the share of datasets conforming to DCAT-AP (the EU metadata standard), or the share carrying a machine-readable licence. You already use DCAT-AP conformance in the Deterministic Catalogue section below, so reuse it for consistency.</w:t>
      </w:r>
    </w:p>
  </w:comment>
  <w:comment w:id="12" w:author="Claude" w:date="2026-06-26T13:39:00Z" w:initials="C">
    <w:p w14:paraId="3F6F1493" w14:textId="77777777" w:rsidR="0087587C" w:rsidRDefault="00000000">
      <w:r>
        <w:rPr>
          <w:rStyle w:val="CommentReference"/>
        </w:rPr>
        <w:annotationRef/>
      </w:r>
      <w:r>
        <w:rPr>
          <w:color w:val="000000"/>
          <w:sz w:val="20"/>
          <w:szCs w:val="20"/>
        </w:rPr>
        <w:t>Foreground the 0.65 confidence floor here as the single binding precision control. Right now it only surfaces under Experiments, but it is your headline engineering finding:</w:t>
      </w:r>
      <w:r>
        <w:rPr>
          <w:color w:val="000000"/>
          <w:sz w:val="20"/>
          <w:szCs w:val="20"/>
        </w:rPr>
        <w:br/>
        <w:t>• Every reasoning-side change (verifier verdict, adjudicator choice set, commit gates) was null or harmful; precision is set by the floor, not the agents.</w:t>
      </w:r>
      <w:r>
        <w:rPr>
          <w:color w:val="000000"/>
          <w:sz w:val="20"/>
          <w:szCs w:val="20"/>
        </w:rPr>
        <w:br/>
        <w:t>• Also name the reproducibility apparatus in this section: prompt_versions table, and the per-call log (model, prompt version, tokens, latency, cost) that lets an examiner replay from logs alone.</w:t>
      </w:r>
    </w:p>
  </w:comment>
  <w:comment w:id="13" w:author="Claude" w:date="2026-06-26T13:39:00Z" w:initials="C">
    <w:p w14:paraId="7FD1D22B" w14:textId="77777777" w:rsidR="0087587C" w:rsidRDefault="00000000">
      <w:r>
        <w:rPr>
          <w:rStyle w:val="CommentReference"/>
        </w:rPr>
        <w:annotationRef/>
      </w:r>
      <w:r>
        <w:rPr>
          <w:color w:val="000000"/>
          <w:sz w:val="20"/>
          <w:szCs w:val="20"/>
        </w:rPr>
        <w:t>Two additive points for the Retrieval section:</w:t>
      </w:r>
      <w:r>
        <w:rPr>
          <w:color w:val="000000"/>
          <w:sz w:val="20"/>
          <w:szCs w:val="20"/>
        </w:rPr>
        <w:br/>
        <w:t>• The narrow-then-wide trusted-domain design is under active scrutiny as a possible false-positive driver and thin-web recall suppressor (your in-flight experiment). Note the tension here, not only in the table.</w:t>
      </w:r>
      <w:r>
        <w:rPr>
          <w:color w:val="000000"/>
          <w:sz w:val="20"/>
          <w:szCs w:val="20"/>
        </w:rPr>
        <w:br/>
        <w:t>• Engineering detail worth one line: only the first 8 trusted domains per country are active in a Serper query (the include_domains cap); entries beyond 8 are held in reserve.</w:t>
      </w:r>
      <w:r>
        <w:rPr>
          <w:color w:val="000000"/>
          <w:sz w:val="20"/>
          <w:szCs w:val="20"/>
        </w:rPr>
        <w:br/>
        <w:t>• The bilingual English+native query construction belongs here too — cross-ref the Language subsection.</w:t>
      </w:r>
    </w:p>
  </w:comment>
  <w:comment w:id="14" w:author="Claude" w:date="2026-06-26T13:39:00Z" w:initials="C">
    <w:p w14:paraId="406B4448" w14:textId="77777777" w:rsidR="0087587C" w:rsidRDefault="00000000">
      <w:r>
        <w:rPr>
          <w:rStyle w:val="CommentReference"/>
        </w:rPr>
        <w:annotationRef/>
      </w:r>
      <w:r>
        <w:rPr>
          <w:color w:val="000000"/>
          <w:sz w:val="20"/>
          <w:szCs w:val="20"/>
        </w:rPr>
        <w:t>Frame this recompute as a finding, not just a tool. It independently demonstrates ODMI self-report drift (France reports above 90% on licence/conformance vs 38%/32% recomputed; Germany 4.2% vs above 90%), which is your strongest single piece of evidence that match-rate is only a proxy for success. Add one sentence linking it to the failure-mode taxonomy and to why abstention is necessary.</w:t>
      </w:r>
    </w:p>
  </w:comment>
  <w:comment w:id="15" w:author="Claude" w:date="2026-06-26T13:39:00Z" w:initials="C">
    <w:p w14:paraId="1EE60191" w14:textId="77777777" w:rsidR="0087587C" w:rsidRDefault="00000000">
      <w:r>
        <w:rPr>
          <w:rStyle w:val="CommentReference"/>
        </w:rPr>
        <w:annotationRef/>
      </w:r>
      <w:r>
        <w:rPr>
          <w:color w:val="000000"/>
          <w:sz w:val="20"/>
          <w:szCs w:val="20"/>
        </w:rPr>
        <w:t>Replace 'MORE EXPERIMENTS' with a one-line forward reference to the completed-experiments table below, or list the families only: prompt engineering, offline vs in-loop verifier, counter-search never/always, commit gates, confidence-floor sweep, model variants, retrieval breadth, snippet handling, retry chaining. Do not duplicate the table.</w:t>
      </w:r>
    </w:p>
  </w:comment>
  <w:comment w:id="16" w:author="Claude" w:date="2026-06-26T13:39:00Z" w:initials="C">
    <w:p w14:paraId="2F457310" w14:textId="77777777" w:rsidR="0087587C" w:rsidRDefault="00000000">
      <w:r>
        <w:rPr>
          <w:rStyle w:val="CommentReference"/>
        </w:rPr>
        <w:annotationRef/>
      </w:r>
      <w:r>
        <w:rPr>
          <w:color w:val="000000"/>
          <w:sz w:val="20"/>
          <w:szCs w:val="20"/>
        </w:rPr>
        <w:t>MISSING SUBSECTION — Cost / efficiency as a first-class objective. You optimise for cost alongside accuracy but there is no consolidated cost story. Worth adding because assessors reward the engineering-economics angle:</w:t>
      </w:r>
      <w:r>
        <w:rPr>
          <w:color w:val="000000"/>
          <w:sz w:val="20"/>
          <w:szCs w:val="20"/>
        </w:rPr>
        <w:br/>
        <w:t>• Tokens and cost per pair (pull from DB; the figures are notional, one line is fine).</w:t>
      </w:r>
      <w:r>
        <w:rPr>
          <w:color w:val="000000"/>
          <w:sz w:val="20"/>
          <w:szCs w:val="20"/>
        </w:rPr>
        <w:br/>
        <w:t>• The picker-removal result you already have: removing the snippet picker raised cost ~57% and cut coverage.</w:t>
      </w:r>
      <w:r>
        <w:rPr>
          <w:color w:val="000000"/>
          <w:sz w:val="20"/>
          <w:szCs w:val="20"/>
        </w:rPr>
        <w:br/>
        <w:t>• Truncation to 600 chars: negligible accuracy effect, large time saving.</w:t>
      </w:r>
      <w:r>
        <w:rPr>
          <w:color w:val="000000"/>
          <w:sz w:val="20"/>
          <w:szCs w:val="20"/>
        </w:rPr>
        <w:br/>
        <w:t>• Model-tier trade-off: the Haiku / Sonnet / Opus / tiered-policy variants now running, accuracy vs cost.</w:t>
      </w:r>
    </w:p>
  </w:comment>
  <w:comment w:id="17" w:author="Claude" w:date="2026-06-26T13:39:00Z" w:initials="C">
    <w:p w14:paraId="7B769809" w14:textId="77777777" w:rsidR="0087587C" w:rsidRDefault="00000000">
      <w:r>
        <w:rPr>
          <w:rStyle w:val="CommentReference"/>
        </w:rPr>
        <w:annotationRef/>
      </w:r>
      <w:r>
        <w:rPr>
          <w:color w:val="000000"/>
          <w:sz w:val="20"/>
          <w:szCs w:val="20"/>
        </w:rPr>
        <w:t>This is RQ4, your principal contribution, but it is only four bullets. Give it more substance:</w:t>
      </w:r>
      <w:r>
        <w:rPr>
          <w:color w:val="000000"/>
          <w:sz w:val="20"/>
          <w:szCs w:val="20"/>
        </w:rPr>
        <w:br/>
        <w:t>• Include 2–3 worked examples of modes by FM-ID (pull from FAILURE_MODES.md).</w:t>
      </w:r>
      <w:r>
        <w:rPr>
          <w:color w:val="000000"/>
          <w:sz w:val="20"/>
          <w:szCs w:val="20"/>
        </w:rPr>
        <w:br/>
        <w:t>• Report the fixable-implementation vs structural-ceiling split, with counts.</w:t>
      </w:r>
      <w:r>
        <w:rPr>
          <w:color w:val="000000"/>
          <w:sz w:val="20"/>
          <w:szCs w:val="20"/>
        </w:rPr>
        <w:br/>
        <w:t>• Use the deterministic self-report gaps (France, Germany) as a concrete ground-truth-mismatch mode — it is your strongest evidence for that category.</w:t>
      </w:r>
    </w:p>
  </w:comment>
  <w:comment w:id="18" w:author="Claude" w:date="2026-06-26T13:39:00Z" w:initials="C">
    <w:p w14:paraId="7A3D394C" w14:textId="77777777" w:rsidR="00B0032C" w:rsidRDefault="00B0032C">
      <w:r>
        <w:rPr>
          <w:rStyle w:val="CommentReference"/>
        </w:rPr>
        <w:annotationRef/>
      </w:r>
      <w:r>
        <w:rPr>
          <w:color w:val="000000"/>
          <w:sz w:val="20"/>
          <w:szCs w:val="20"/>
        </w:rPr>
        <w:t>This is RQ4, your principal contribution, but it is only four bullets. Give it more substance:</w:t>
      </w:r>
      <w:r>
        <w:rPr>
          <w:color w:val="000000"/>
          <w:sz w:val="20"/>
          <w:szCs w:val="20"/>
        </w:rPr>
        <w:br/>
        <w:t>• Include 2–3 worked examples of modes by FM-ID (pull from FAILURE_MODES.md).</w:t>
      </w:r>
      <w:r>
        <w:rPr>
          <w:color w:val="000000"/>
          <w:sz w:val="20"/>
          <w:szCs w:val="20"/>
        </w:rPr>
        <w:br/>
        <w:t>• Report the fixable-implementation vs structural-ceiling split, with counts.</w:t>
      </w:r>
      <w:r>
        <w:rPr>
          <w:color w:val="000000"/>
          <w:sz w:val="20"/>
          <w:szCs w:val="20"/>
        </w:rPr>
        <w:br/>
        <w:t>• Use the deterministic self-report gaps (France, Germany) as a concrete ground-truth-mismatch mode — it is your strongest evidence for that category.</w:t>
      </w:r>
    </w:p>
  </w:comment>
  <w:comment w:id="19" w:author="Claude" w:date="2026-06-26T13:39:00Z" w:initials="C">
    <w:p w14:paraId="384B662F" w14:textId="77777777" w:rsidR="0087587C" w:rsidRDefault="00000000">
      <w:r>
        <w:rPr>
          <w:rStyle w:val="CommentReference"/>
        </w:rPr>
        <w:annotationRef/>
      </w:r>
      <w:r>
        <w:rPr>
          <w:color w:val="000000"/>
          <w:sz w:val="20"/>
          <w:szCs w:val="20"/>
        </w:rPr>
        <w:t>ABSTENTION — promote this stub to its own subsection. It is the mechanism behind RQ4 (minimise false positives) and currently has no content. Things to cover:</w:t>
      </w:r>
      <w:r>
        <w:rPr>
          <w:color w:val="000000"/>
          <w:sz w:val="20"/>
          <w:szCs w:val="20"/>
        </w:rPr>
        <w:br/>
        <w:t>• Name the three triggers in the loop: confidence below the 0.65 floor; verifier rejection surviving all three retries; adjudicator electing to abstain on conflicting evidence.</w:t>
      </w:r>
      <w:r>
        <w:rPr>
          <w:color w:val="000000"/>
          <w:sz w:val="20"/>
          <w:szCs w:val="20"/>
        </w:rPr>
        <w:br/>
        <w:t>• Give a small taxonomy of WHY it abstains: no evidence found (thin web); conflicting evidence; only deny-listed sources available; a falsifiable claim the counter-search refutes.</w:t>
      </w:r>
      <w:r>
        <w:rPr>
          <w:color w:val="000000"/>
          <w:sz w:val="20"/>
          <w:szCs w:val="20"/>
        </w:rPr>
        <w:br/>
        <w:t>• Quantify: no-commit (abstention) rate per dimension and per country, pulled from the DB / dashboard. Do not state from memory.</w:t>
      </w:r>
      <w:r>
        <w:rPr>
          <w:color w:val="000000"/>
          <w:sz w:val="20"/>
          <w:szCs w:val="20"/>
        </w:rPr>
        <w:br/>
        <w:t>• Core argument: abstention is what holds precision, so plot it against the false-positive rate among commits (the coverage axis of the three-outcome view you already cite).</w:t>
      </w:r>
      <w:r>
        <w:rPr>
          <w:color w:val="000000"/>
          <w:sz w:val="20"/>
          <w:szCs w:val="20"/>
        </w:rPr>
        <w:br/>
        <w:t>• Show abstentions cluster on the unverifiable internal-action 'confirm' golds — that is the system behaving correctly, not failing.</w:t>
      </w:r>
      <w:r>
        <w:rPr>
          <w:color w:val="000000"/>
          <w:sz w:val="20"/>
          <w:szCs w:val="20"/>
        </w:rPr>
        <w:br/>
        <w:t>• Cross-ref: ties to the 0.65 floor being the binding precision control, and to the ground-truth-mismatch failure modes.</w:t>
      </w:r>
    </w:p>
  </w:comment>
  <w:comment w:id="20" w:author="Claude" w:date="2026-06-06T15:19:00Z" w:initials="C">
    <w:p w14:paraId="03F92A2F" w14:textId="77777777" w:rsidR="00472060" w:rsidRDefault="00000000">
      <w:r>
        <w:annotationRef/>
      </w:r>
      <w:r>
        <w:rPr>
          <w:color w:val="000000"/>
          <w:sz w:val="20"/>
          <w:szCs w:val="20"/>
        </w:rPr>
        <w:t>Empty, but the guidance note has strong evidence to write up (cumulative spend, 83 git commits, 129 finalised pairs across France 28, Germany 33, Netherlands 32, Romania 36, the Streamlit dashboard, last batch 26 May). Examiners reward visible progress. The four counts sum to 129, which is consistent.</w:t>
      </w:r>
    </w:p>
  </w:comment>
  <w:comment w:id="21" w:author="Claude" w:date="2026-06-06T15:19:00Z" w:initials="C">
    <w:p w14:paraId="1439BF29" w14:textId="77777777" w:rsidR="00472060" w:rsidRDefault="00000000">
      <w:r>
        <w:annotationRef/>
      </w:r>
      <w:r>
        <w:rPr>
          <w:color w:val="000000"/>
          <w:sz w:val="20"/>
          <w:szCs w:val="20"/>
        </w:rPr>
        <w:t>Empty. Write the three phases from the note. Phase B (6 countries x 143) gives 858 pairs, which is consistent.</w:t>
      </w:r>
    </w:p>
  </w:comment>
  <w:comment w:id="22" w:author="Claude" w:date="2026-06-29T17:04:16Z" w:initials="C">
    <w:p w14:paraId="5CB07CB7" w14:textId="77777777">
      <w:r>
        <w:rPr>
          <w:rStyle w:val="CommentReference"/>
        </w:rPr>
        <w:annotationRef/>
      </w:r>
      <w:r>
        <w:rPr>
          <w:color w:val="000000"/>
          <w:sz w:val="20"/>
          <w:szCs w:val="20"/>
        </w:rPr>
        <w:t>PASS 3 (29 Jun). These two scratch notes are the same insight as the r=0.98 base-rate finding already in your Ground Truth section: score is almost exactly the yes-share, so an always-yes system scores high on mature countries, and low-maturity countries are the real false-positive test, but their thin and non-falsifiable web pushes abstention up. This is not a stray note, it is arguably your central methodological finding. Promote it: state maturity and falsifiability as ONE entangled confound, not two, and consider making it an explicit research question. Analytical direction: classify all 143 questions by falsifiability (is a discoverable no even possible?) and plot abstention rate and false-positive rate against that axis. It unifies the abstention taxonomy, FM-19, and the no-evidence confirm golds into a single story.</w:t>
      </w:r>
    </w:p>
  </w:comment>
  <w:comment w:id="23" w:author="Claude" w:date="2026-06-29T17:04:16Z" w:initials="C">
    <w:p w14:paraId="206C8743" w14:textId="77777777">
      <w:r>
        <w:rPr>
          <w:rStyle w:val="CommentReference"/>
        </w:rPr>
        <w:annotationRef/>
      </w:r>
      <w:r>
        <w:rPr>
          <w:color w:val="000000"/>
          <w:sz w:val="20"/>
          <w:szCs w:val="20"/>
        </w:rPr>
        <w:t>PASS 3 (29 Jun). Strongest untapped direction. Treat ODMI gold as a noisy second rater, not as truth. You have three independent pieces of evidence it is imperfect: the catalogue recompute gaps (France, Germany); the confirm/complement/change decision split (about 92% web-verifiable where the assessor added evidence vs about 77% where ODMI took the country own word); and Fumega and Gao finding the AI sometimes beats the human. Two moves: (1) report swarm-versus-ODMI as inter-rater agreement (Cohen kappa or Krippendorff alpha), positioning the swarm as an independent assessor rather than a predictor; (2) triage every apparent false positive: where the swarm disagrees with a no-evidence confirm gold AND holds contradicting web evidence, count it as a candidate ODMI error, not a swarm error, and quantify that share. This converts errors into audit findings and is your most defensible novel contribution.</w:t>
      </w:r>
    </w:p>
  </w:comment>
  <w:comment w:id="24" w:author="Claude" w:date="2026-06-29T17:04:16Z" w:initials="C">
    <w:p w14:paraId="05CAA979" w14:textId="77777777">
      <w:r>
        <w:rPr>
          <w:rStyle w:val="CommentReference"/>
        </w:rPr>
        <w:annotationRef/>
      </w:r>
      <w:r>
        <w:rPr>
          <w:color w:val="000000"/>
          <w:sz w:val="20"/>
          <w:szCs w:val="20"/>
        </w:rPr>
        <w:t>PASS 3 (29 Jun, updated). Done: I read the numbers off your screenshot and replaced the image with a clean native Word table (n = 580). Your three questions. (1) Right place: yes, keep it in the Abstention subsection, it is the mechanism behind RQ4. (2) Is it showing abstentions: yes, but it mixes two things. E, G, I and A (plus the conflicting-evidence cases) are true evidence-based abstentions; B (fetch error), F3 (search-empty), F1 (schema-invalid) and Z (other) are operational hard failures, not deliberate abstentions. Split them, or the precision story conflates the system wisely holding back with the pipeline breaking. (3) Prettier: done. The gold-existed column is your strongest line: even when a ground-truth answer existed, the system abstained rather than guess (for example 134 of 146 floor-gated no-commits had a gold). Analytical direction still stands: this is selective prediction, so also plot abstention rate against the false-positive-rate among commits as the 0.65 floor sweeps (a risk-coverage curve).</w:t>
      </w:r>
    </w:p>
  </w:comment>
  <w:comment w:id="25" w:author="Claude" w:date="2026-06-29T17:04:16Z" w:initials="C">
    <w:p w14:paraId="02BE05F7" w14:textId="77777777">
      <w:r>
        <w:rPr>
          <w:rStyle w:val="CommentReference"/>
        </w:rPr>
        <w:annotationRef/>
      </w:r>
      <w:r>
        <w:rPr>
          <w:color w:val="000000"/>
          <w:sz w:val="20"/>
          <w:szCs w:val="20"/>
        </w:rPr>
        <w:t>PASS 3 (29 Jun). This is RQ4, your headline contribution, but it is four bullets. Pull the real structure from FAILURE_MODES.md and put it in. The three-way cut with counts: 3 Caught by deterministic gates (FM-08 fabricated quote, FM-12 answer-key leakage, FM-16 label), 9 LLM-only and prompt-tunable (accepted), 22 structural (the attack list), grouped by root cause C1 to C6, with a severity-ranked attack order: C4 correlated or skipped adversary, then C6 catalogue non-independence, then C1 missing context, then C3 answer-key leakage, then C5 calibration, then C2 loose gates. Worked examples to name: FM-32 (the catalogue recompute is the same code on the same snapshot, so no independent adversary, ties to your France and Germany finding); FM-14 (third-party republication of the answer key, the one mode that silently inflates measured accuracy); FM-19 (web-unanswerable, counter-search finds nothing, so it passes, ties straight to abstention and non-falsifiability); FM-23 and FM-21 (adjudicator skipped on agreement, and correlated same-model error, the cluster that most directly undercuts the self-verification claim). Lead with the three-way cut, then the C4 cluster as the deepest threat.</w:t>
      </w:r>
    </w:p>
  </w:comment>
  <w:comment w:id="26" w:author="Claude" w:date="2026-06-29T17:04:16Z" w:initials="C">
    <w:p w14:paraId="61ADFEC8" w14:textId="77777777">
      <w:r>
        <w:rPr>
          <w:rStyle w:val="CommentReference"/>
        </w:rPr>
        <w:annotationRef/>
      </w:r>
      <w:r>
        <w:rPr>
          <w:color w:val="000000"/>
          <w:sz w:val="20"/>
          <w:szCs w:val="20"/>
        </w:rPr>
        <w:t>PASS 3 (29 Jun). Foreground this sentence as your headline engineering finding, and be honest about what it implies. Where does precision come from? Not the agents: the verifier verdict is the deciding factor on only 9 of 237 in-loop commits; every reasoning-side change (verifier redesign, adjudicator choice set, commit gates) was null or harmful; the 0.65 floor is the binding control. State the implication squarely: in the commit path the adversarial self-verification contribution is close to a NULL result. The verifier earns its place only as an advisor whose counter-evidence the Adjudicator weighs (removing the layer costs 27 matches and saves 16 wrong, net plus 11, p below 0.002). Examiners reward an honest negative result. Do not oversell the verifier; sell the finding that the floor dominates, plus the failure-mode map.</w:t>
      </w:r>
    </w:p>
  </w:comment>
  <w:comment w:id="27" w:author="Claude" w:date="2026-06-29T17:04:16Z" w:initials="C">
    <w:p w14:paraId="6BC44491" w14:textId="77777777">
      <w:r>
        <w:rPr>
          <w:rStyle w:val="CommentReference"/>
        </w:rPr>
        <w:annotationRef/>
      </w:r>
      <w:r>
        <w:rPr>
          <w:color w:val="000000"/>
          <w:sz w:val="20"/>
          <w:szCs w:val="20"/>
        </w:rPr>
        <w:t>PASS 3 (29 Jun). Points you asked for. (a) Your headline is a NEGATIVE result that inverts the prior expectation: language is not the bottleneck, thin web presence is. The inversion IS the finding, state it that way. (b) Frame it as an ablation: English-only vs bilingual native-plus-English queries; report the accuracy delta; if it is near zero, that is the result. (c) The confound you must separate: low-resource language and thin web presence are correlated (small countries), so cannot-read-it and nothing-to-read are entangled; the Albania foreign-language query ablation is designed to disentangle them, so give the result or mark it pending. (d) Drop speaker-population-as-proxy as a hand-wave; cite a real multilingual benchmark (FLORES-200, or published model language coverage) or do not claim it. (e) DeepL now covers the hard ODMI languages (Albanian, Croatian, Maltese, Macedonian, Bosnian, Serbian), so translation is no longer the obstacle; do not imply it is.</w:t>
      </w:r>
    </w:p>
  </w:comment>
  <w:comment w:id="28" w:author="Claude" w:date="2026-06-29T17:04:16Z" w:initials="C">
    <w:p w14:paraId="48FD8360" w14:textId="77777777">
      <w:r>
        <w:rPr>
          <w:rStyle w:val="CommentReference"/>
        </w:rPr>
        <w:annotationRef/>
      </w:r>
      <w:r>
        <w:rPr>
          <w:color w:val="000000"/>
          <w:sz w:val="20"/>
          <w:szCs w:val="20"/>
        </w:rPr>
        <w:t>PASS 3 (29 Jun). Two adds. (1) Name the failure mode: FM-32, the Verifier recompute runs the same code on the same snapshot, so the catalogue path has NO independent adversary and cannot catch a data error; also FM-31, synthesised-conformance inflation on HU, NL, EE Q16. State this as a structural ceiling of the deterministic path. (2) Cross-reference the Ground Truth comment: this recompute is your STRONGEST evidence for the silver-standard argument because it is deterministic and reproducible. It is the one place you can make a hard ODMI-is-wrong-here claim, unlike the LLM path. Use France and Germany as the worked example for the ground-truth-mismatch failure category.</w:t>
      </w:r>
    </w:p>
  </w:comment>
  <w:comment w:id="29" w:author="Claude" w:date="2026-06-29T17:04:17Z" w:initials="C">
    <w:p w14:paraId="7F90EEE5" w14:textId="77777777">
      <w:r>
        <w:rPr>
          <w:rStyle w:val="CommentReference"/>
        </w:rPr>
        <w:annotationRef/>
      </w:r>
      <w:r>
        <w:rPr>
          <w:color w:val="000000"/>
          <w:sz w:val="20"/>
          <w:szCs w:val="20"/>
        </w:rPr>
        <w:t>PASS 3 (29 Jun). Add the cost story that is still missing, and present it as a Pareto frontier (balanced accuracy vs pounds per pair) across the model variants (Haiku, Sonnet, Opus, tiered, cross-family), not as a table; mark the knee. Your two existing cost findings are the spine: removing the snippet picker raised cost about 57% and cut coverage (so keep it); 600-char truncation had negligible accuracy effect but a large time saving (so cut it). Frame the section as what can be cut without hurting accuracy, the engineering-economics angle examiners reward. Figures are notional, one line is fine.</w:t>
      </w:r>
    </w:p>
  </w:comment>
  <w:comment w:id="30" w:author="Claude" w:date="2026-06-29T17:04:17Z" w:initials="C">
    <w:p w14:paraId="60176EC9" w14:textId="77777777">
      <w:r>
        <w:rPr>
          <w:rStyle w:val="CommentReference"/>
        </w:rPr>
        <w:annotationRef/>
      </w:r>
      <w:r>
        <w:rPr>
          <w:color w:val="000000"/>
          <w:sz w:val="20"/>
          <w:szCs w:val="20"/>
        </w:rPr>
        <w:t>PASS 3 (29 Jun). The citation homes you are missing, by chapter, to fill these two empty subsections and the bracket placeholders. Selective prediction or abstention: El-Yaniv and Wiener (2010), Geifman and El-Yaniv (2017), for the abstention chapter. LLM calibration or overconfidence: Kadavath et al, Language Models Mostly Know What They Know, for the 0.65 floor. Self-consistency and multi-agent debate: Wang et al (self-consistency), Du et al (debate), to draw the contrast that your Verifier seeks EXTERNAL counter-evidence, not internal agreement. LLM-as-judge reliability: Zheng et al (MT-Bench), for your cross-family Mistral judge. Unanswerable-question handling: SQuAD 2.0 (Rajpurkar et al), for the non-falsifiability point.</w:t>
      </w:r>
    </w:p>
  </w:comment>
  <w:comment w:id="31" w:author="Claude" w:date="2026-06-29T17:04:17Z" w:initials="C">
    <w:p w14:paraId="4F2A6730" w14:textId="77777777">
      <w:r>
        <w:rPr>
          <w:rStyle w:val="CommentReference"/>
        </w:rPr>
        <w:annotationRef/>
      </w:r>
      <w:r>
        <w:rPr>
          <w:color w:val="000000"/>
          <w:sz w:val="20"/>
          <w:szCs w:val="20"/>
        </w:rPr>
        <w:t>PASS 3 (29 Jun). Staleness to reconcile. The Milestones, Gantt and Project Schedule still describe Phase B as 6 countries by 143, but D47 replaced that with a 5-country dev set (NL, MT, NO, FR, AL) plus an 8-country held-out set (BA, MK, ME, BG, FI, HR, SE, BE). Align the schedule with your own evaluation design or an examiner will catch the mismatch. Also confirm M8 (2 August 2026) is the real KCL submission date. Your minus-bracket notes already flag the M2 quota and the Tavily and Brave risk; this is the remaining 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724E57CA" w15:done="0"/>
  <w15:commentEx w15:paraId="279C035E" w15:done="0"/>
  <w15:commentEx w15:paraId="31587901" w15:done="0"/>
  <w15:commentEx w15:paraId="3C2F406C" w15:done="0"/>
  <w15:commentEx w15:paraId="71DF26B0" w15:done="0"/>
  <w15:commentEx w15:paraId="5253680E" w15:done="0"/>
  <w15:commentEx w15:paraId="2E9CED66" w15:done="0"/>
  <w15:commentEx w15:paraId="2B5318F2" w15:done="0"/>
  <w15:commentEx w15:paraId="2DF0C964" w15:done="0"/>
  <w15:commentEx w15:paraId="2E15EBCD" w15:done="0"/>
  <w15:commentEx w15:paraId="1CE836E0" w15:done="0"/>
  <w15:commentEx w15:paraId="5104FE6A" w15:done="0"/>
  <w15:commentEx w15:paraId="3F6F1493" w15:done="0"/>
  <w15:commentEx w15:paraId="7FD1D22B" w15:done="0"/>
  <w15:commentEx w15:paraId="406B4448" w15:done="0"/>
  <w15:commentEx w15:paraId="1EE60191" w15:done="0"/>
  <w15:commentEx w15:paraId="2F457310" w15:done="0"/>
  <w15:commentEx w15:paraId="7B769809" w15:done="0"/>
  <w15:commentEx w15:paraId="7A3D394C" w15:done="0"/>
  <w15:commentEx w15:paraId="384B662F" w15:done="0"/>
  <w15:commentEx w15:paraId="03F92A2F" w15:done="0"/>
  <w15:commentEx w15:paraId="1439BF29" w15:done="0"/>
  <w15:commentEx w15:paraId="5CB07CB7" w15:done="0"/>
  <w15:commentEx w15:paraId="206C8743" w15:done="0"/>
  <w15:commentEx w15:paraId="05CAA979" w15:done="0"/>
  <w15:commentEx w15:paraId="02BE05F7" w15:done="0"/>
  <w15:commentEx w15:paraId="61ADFEC8" w15:done="0"/>
  <w15:commentEx w15:paraId="6BC44491" w15:done="0"/>
  <w15:commentEx w15:paraId="48FD8360" w15:done="0"/>
  <w15:commentEx w15:paraId="7F90EEE5" w15:done="0"/>
  <w15:commentEx w15:paraId="60176EC9" w15:done="0"/>
  <w15:commentEx w15:paraId="4F2A673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67C5D07" w16cex:dateUtc="2026-06-06T15:19:00Z"/>
  <w16cex:commentExtensible w16cex:durableId="7C38F471" w16cex:dateUtc="2026-06-06T15:19:00Z"/>
  <w16cex:commentExtensible w16cex:durableId="35E1C625" w16cex:dateUtc="2026-06-06T15:19:00Z"/>
  <w16cex:commentExtensible w16cex:durableId="6EB1ECF8" w16cex:dateUtc="2026-06-06T15:19:00Z"/>
  <w16cex:commentExtensible w16cex:durableId="0142A75D" w16cex:dateUtc="2026-06-06T15:19:00Z"/>
  <w16cex:commentExtensible w16cex:durableId="6399FB68" w16cex:dateUtc="2026-06-06T15:19:00Z"/>
  <w16cex:commentExtensible w16cex:durableId="3DB1DFFD" w16cex:dateUtc="2026-06-06T15:19:00Z"/>
  <w16cex:commentExtensible w16cex:durableId="782A8423" w16cex:dateUtc="2026-06-06T15:19:00Z"/>
  <w16cex:commentExtensible w16cex:durableId="74E18DE7" w16cex:dateUtc="2026-06-06T15:19:00Z"/>
  <w16cex:commentExtensible w16cex:durableId="3A7735F0" w16cex:dateUtc="2026-06-06T15:19:00Z"/>
  <w16cex:commentExtensible w16cex:durableId="67776BAF" w16cex:dateUtc="2026-06-06T15:19:00Z"/>
  <w16cex:commentExtensible w16cex:durableId="3C1B5ED2" w16cex:dateUtc="2026-06-26T13:39:00Z"/>
  <w16cex:commentExtensible w16cex:durableId="652EC8D8" w16cex:dateUtc="2026-06-26T13:39:00Z"/>
  <w16cex:commentExtensible w16cex:durableId="00A73229" w16cex:dateUtc="2026-06-26T13:39:00Z"/>
  <w16cex:commentExtensible w16cex:durableId="5A05BCCF" w16cex:dateUtc="2026-06-26T13:39:00Z"/>
  <w16cex:commentExtensible w16cex:durableId="5D3C32A6" w16cex:dateUtc="2026-06-26T13:39:00Z"/>
  <w16cex:commentExtensible w16cex:durableId="6F072469" w16cex:dateUtc="2026-06-26T13:39:00Z"/>
  <w16cex:commentExtensible w16cex:durableId="7C640426" w16cex:dateUtc="2026-06-26T13:39:00Z"/>
  <w16cex:commentExtensible w16cex:durableId="4CC47B87" w16cex:dateUtc="2026-06-26T13:39:00Z"/>
  <w16cex:commentExtensible w16cex:durableId="632317A6" w16cex:dateUtc="2026-06-26T13:39:00Z"/>
  <w16cex:commentExtensible w16cex:durableId="488726D7" w16cex:dateUtc="2026-06-06T15:19:00Z"/>
  <w16cex:commentExtensible w16cex:durableId="4815F853" w16cex:dateUtc="2026-06-06T15:19:00Z"/>
  <w16cex:commentExtensible w16cex:durableId="0B37F7EC" w16cex:dateUtc="2026-06-29T17:04:16Z"/>
  <w16cex:commentExtensible w16cex:durableId="105A9812" w16cex:dateUtc="2026-06-29T17:04:16Z"/>
  <w16cex:commentExtensible w16cex:durableId="4E6D0521" w16cex:dateUtc="2026-06-29T17:04:16Z"/>
  <w16cex:commentExtensible w16cex:durableId="0AB31B21" w16cex:dateUtc="2026-06-29T17:04:16Z"/>
  <w16cex:commentExtensible w16cex:durableId="06C6A8A5" w16cex:dateUtc="2026-06-29T17:04:16Z"/>
  <w16cex:commentExtensible w16cex:durableId="39D9BADB" w16cex:dateUtc="2026-06-29T17:04:16Z"/>
  <w16cex:commentExtensible w16cex:durableId="4CCB4F07" w16cex:dateUtc="2026-06-29T17:04:16Z"/>
  <w16cex:commentExtensible w16cex:durableId="0E9A5296" w16cex:dateUtc="2026-06-29T17:04:17Z"/>
  <w16cex:commentExtensible w16cex:durableId="35007B45" w16cex:dateUtc="2026-06-29T17:04:17Z"/>
  <w16cex:commentExtensible w16cex:durableId="756E702B" w16cex:dateUtc="2026-06-29T17:04:17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724E57CA" w16cid:durableId="467C5D07"/>
  <w16cid:commentId w16cid:paraId="279C035E" w16cid:durableId="7C38F471"/>
  <w16cid:commentId w16cid:paraId="31587901" w16cid:durableId="35E1C625"/>
  <w16cid:commentId w16cid:paraId="3C2F406C" w16cid:durableId="6EB1ECF8"/>
  <w16cid:commentId w16cid:paraId="71DF26B0" w16cid:durableId="0142A75D"/>
  <w16cid:commentId w16cid:paraId="5253680E" w16cid:durableId="6399FB68"/>
  <w16cid:commentId w16cid:paraId="2E9CED66" w16cid:durableId="3DB1DFFD"/>
  <w16cid:commentId w16cid:paraId="2B5318F2" w16cid:durableId="782A8423"/>
  <w16cid:commentId w16cid:paraId="2DF0C964" w16cid:durableId="74E18DE7"/>
  <w16cid:commentId w16cid:paraId="2E15EBCD" w16cid:durableId="3A7735F0"/>
  <w16cid:commentId w16cid:paraId="1CE836E0" w16cid:durableId="67776BAF"/>
  <w16cid:commentId w16cid:paraId="5104FE6A" w16cid:durableId="3C1B5ED2"/>
  <w16cid:commentId w16cid:paraId="3F6F1493" w16cid:durableId="652EC8D8"/>
  <w16cid:commentId w16cid:paraId="7FD1D22B" w16cid:durableId="00A73229"/>
  <w16cid:commentId w16cid:paraId="406B4448" w16cid:durableId="5A05BCCF"/>
  <w16cid:commentId w16cid:paraId="1EE60191" w16cid:durableId="5D3C32A6"/>
  <w16cid:commentId w16cid:paraId="2F457310" w16cid:durableId="6F072469"/>
  <w16cid:commentId w16cid:paraId="7B769809" w16cid:durableId="7C640426"/>
  <w16cid:commentId w16cid:paraId="7A3D394C" w16cid:durableId="4CC47B87"/>
  <w16cid:commentId w16cid:paraId="384B662F" w16cid:durableId="632317A6"/>
  <w16cid:commentId w16cid:paraId="03F92A2F" w16cid:durableId="488726D7"/>
  <w16cid:commentId w16cid:paraId="1439BF29" w16cid:durableId="4815F853"/>
  <w16cid:commentId w16cid:paraId="5CB07CB7" w16cid:durableId="0B37F7EC"/>
  <w16cid:commentId w16cid:paraId="206C8743" w16cid:durableId="105A9812"/>
  <w16cid:commentId w16cid:paraId="05CAA979" w16cid:durableId="4E6D0521"/>
  <w16cid:commentId w16cid:paraId="02BE05F7" w16cid:durableId="0AB31B21"/>
  <w16cid:commentId w16cid:paraId="61ADFEC8" w16cid:durableId="06C6A8A5"/>
  <w16cid:commentId w16cid:paraId="6BC44491" w16cid:durableId="39D9BADB"/>
  <w16cid:commentId w16cid:paraId="48FD8360" w16cid:durableId="4CCB4F07"/>
  <w16cid:commentId w16cid:paraId="7F90EEE5" w16cid:durableId="0E9A5296"/>
  <w16cid:commentId w16cid:paraId="60176EC9" w16cid:durableId="35007B45"/>
  <w16cid:commentId w16cid:paraId="4F2A6730" w16cid:durableId="756E702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ABCD1234"/>
    <w:multiLevelType w:val="multilevel"/>
    <w:tmpl w:val="AAAABBBB"/>
    <w:lvl w:ilvl="0">
      <w:start w:val="1"/>
      <w:numFmt w:val="decimal"/>
      <w:pStyle w:val="Heading1"/>
      <w:lvlText w:val="%1"/>
      <w:lvlJc w:val="left"/>
      <w:pPr>
        <w:ind w:left="0" w:firstLine="0"/>
      </w:pPr>
    </w:lvl>
    <w:lvl w:ilvl="1">
      <w:start w:val="1"/>
      <w:numFmt w:val="decimal"/>
      <w:pStyle w:val="Heading2"/>
      <w:lvlText w:val="%1.%2"/>
      <w:lvlJc w:val="left"/>
      <w:pPr>
        <w:ind w:left="0" w:firstLine="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7210838"/>
    <w:multiLevelType w:val="hybridMultilevel"/>
    <w:tmpl w:val="B486E6F8"/>
    <w:lvl w:ilvl="0" w:tplc="6B6ED8F6">
      <w:start w:val="1"/>
      <w:numFmt w:val="bullet"/>
      <w:lvlText w:val="●"/>
      <w:lvlJc w:val="left"/>
      <w:pPr>
        <w:ind w:left="720" w:hanging="360"/>
      </w:pPr>
    </w:lvl>
    <w:lvl w:ilvl="1" w:tplc="F80EBA70">
      <w:start w:val="1"/>
      <w:numFmt w:val="bullet"/>
      <w:lvlText w:val="○"/>
      <w:lvlJc w:val="left"/>
      <w:pPr>
        <w:ind w:left="1440" w:hanging="360"/>
      </w:pPr>
    </w:lvl>
    <w:lvl w:ilvl="2" w:tplc="DDF8295E">
      <w:start w:val="1"/>
      <w:numFmt w:val="bullet"/>
      <w:lvlText w:val="■"/>
      <w:lvlJc w:val="left"/>
      <w:pPr>
        <w:ind w:left="2160" w:hanging="360"/>
      </w:pPr>
    </w:lvl>
    <w:lvl w:ilvl="3" w:tplc="874E4792">
      <w:start w:val="1"/>
      <w:numFmt w:val="bullet"/>
      <w:lvlText w:val="●"/>
      <w:lvlJc w:val="left"/>
      <w:pPr>
        <w:ind w:left="2880" w:hanging="360"/>
      </w:pPr>
    </w:lvl>
    <w:lvl w:ilvl="4" w:tplc="3584667A">
      <w:start w:val="1"/>
      <w:numFmt w:val="bullet"/>
      <w:lvlText w:val="○"/>
      <w:lvlJc w:val="left"/>
      <w:pPr>
        <w:ind w:left="3600" w:hanging="360"/>
      </w:pPr>
    </w:lvl>
    <w:lvl w:ilvl="5" w:tplc="D1C4E674">
      <w:start w:val="1"/>
      <w:numFmt w:val="bullet"/>
      <w:lvlText w:val="■"/>
      <w:lvlJc w:val="left"/>
      <w:pPr>
        <w:ind w:left="4320" w:hanging="360"/>
      </w:pPr>
    </w:lvl>
    <w:lvl w:ilvl="6" w:tplc="806A05F6">
      <w:start w:val="1"/>
      <w:numFmt w:val="bullet"/>
      <w:lvlText w:val="●"/>
      <w:lvlJc w:val="left"/>
      <w:pPr>
        <w:ind w:left="5040" w:hanging="360"/>
      </w:pPr>
    </w:lvl>
    <w:lvl w:ilvl="7" w:tplc="F4FAC2D6">
      <w:start w:val="1"/>
      <w:numFmt w:val="bullet"/>
      <w:lvlText w:val="●"/>
      <w:lvlJc w:val="left"/>
      <w:pPr>
        <w:ind w:left="5760" w:hanging="360"/>
      </w:pPr>
    </w:lvl>
    <w:lvl w:ilvl="8" w:tplc="403483EC">
      <w:start w:val="1"/>
      <w:numFmt w:val="bullet"/>
      <w:lvlText w:val="●"/>
      <w:lvlJc w:val="left"/>
      <w:pPr>
        <w:ind w:left="6480" w:hanging="360"/>
      </w:pPr>
    </w:lvl>
  </w:abstractNum>
  <w:abstractNum w:abstractNumId="2" w15:restartNumberingAfterBreak="0">
    <w:nsid w:val="44664A06"/>
    <w:multiLevelType w:val="hybridMultilevel"/>
    <w:tmpl w:val="11F41D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62901830">
    <w:abstractNumId w:val="1"/>
    <w:lvlOverride w:ilvl="0">
      <w:startOverride w:val="1"/>
    </w:lvlOverride>
  </w:num>
  <w:num w:numId="2" w16cid:durableId="1234567890">
    <w:abstractNumId w:val="0"/>
  </w:num>
  <w:num w:numId="3" w16cid:durableId="1682663782">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2AFB"/>
    <w:rsid w:val="000079E9"/>
    <w:rsid w:val="00026895"/>
    <w:rsid w:val="0003368A"/>
    <w:rsid w:val="00040E21"/>
    <w:rsid w:val="00040F83"/>
    <w:rsid w:val="00045D06"/>
    <w:rsid w:val="000473EF"/>
    <w:rsid w:val="00055155"/>
    <w:rsid w:val="00057656"/>
    <w:rsid w:val="00074B5B"/>
    <w:rsid w:val="0008316C"/>
    <w:rsid w:val="00084635"/>
    <w:rsid w:val="00094605"/>
    <w:rsid w:val="000D127C"/>
    <w:rsid w:val="000E0D42"/>
    <w:rsid w:val="000F296D"/>
    <w:rsid w:val="00102353"/>
    <w:rsid w:val="00103922"/>
    <w:rsid w:val="00104AD0"/>
    <w:rsid w:val="00116D67"/>
    <w:rsid w:val="001249A1"/>
    <w:rsid w:val="001412F3"/>
    <w:rsid w:val="00175884"/>
    <w:rsid w:val="00177518"/>
    <w:rsid w:val="001A6C29"/>
    <w:rsid w:val="001B4CCE"/>
    <w:rsid w:val="001B508E"/>
    <w:rsid w:val="001C1063"/>
    <w:rsid w:val="001C1D7F"/>
    <w:rsid w:val="001C2100"/>
    <w:rsid w:val="001C71E0"/>
    <w:rsid w:val="001F32DF"/>
    <w:rsid w:val="001F5B57"/>
    <w:rsid w:val="002009AB"/>
    <w:rsid w:val="00202E1C"/>
    <w:rsid w:val="00222CAD"/>
    <w:rsid w:val="00234C96"/>
    <w:rsid w:val="002415DF"/>
    <w:rsid w:val="00242095"/>
    <w:rsid w:val="00245A82"/>
    <w:rsid w:val="00262121"/>
    <w:rsid w:val="0026492C"/>
    <w:rsid w:val="00266FEB"/>
    <w:rsid w:val="00270267"/>
    <w:rsid w:val="002851D7"/>
    <w:rsid w:val="0028751F"/>
    <w:rsid w:val="0029137F"/>
    <w:rsid w:val="00295689"/>
    <w:rsid w:val="002B1FF5"/>
    <w:rsid w:val="002C2308"/>
    <w:rsid w:val="002C2738"/>
    <w:rsid w:val="002D3052"/>
    <w:rsid w:val="002E0E5D"/>
    <w:rsid w:val="002E6F33"/>
    <w:rsid w:val="002F0F80"/>
    <w:rsid w:val="002F18AA"/>
    <w:rsid w:val="002F55F3"/>
    <w:rsid w:val="003024D2"/>
    <w:rsid w:val="00303642"/>
    <w:rsid w:val="00306A04"/>
    <w:rsid w:val="00311C78"/>
    <w:rsid w:val="003228BE"/>
    <w:rsid w:val="00335B69"/>
    <w:rsid w:val="00336F6C"/>
    <w:rsid w:val="003437EE"/>
    <w:rsid w:val="00343D1C"/>
    <w:rsid w:val="003626B8"/>
    <w:rsid w:val="003715F7"/>
    <w:rsid w:val="00373191"/>
    <w:rsid w:val="003762E5"/>
    <w:rsid w:val="003811FD"/>
    <w:rsid w:val="00387E85"/>
    <w:rsid w:val="00391D9A"/>
    <w:rsid w:val="003962AC"/>
    <w:rsid w:val="003A1536"/>
    <w:rsid w:val="003A6148"/>
    <w:rsid w:val="003B344B"/>
    <w:rsid w:val="003B3CBB"/>
    <w:rsid w:val="003D0E26"/>
    <w:rsid w:val="003E797F"/>
    <w:rsid w:val="003F1CD3"/>
    <w:rsid w:val="003F5B96"/>
    <w:rsid w:val="004149E8"/>
    <w:rsid w:val="00421809"/>
    <w:rsid w:val="00427D16"/>
    <w:rsid w:val="004352E5"/>
    <w:rsid w:val="00441125"/>
    <w:rsid w:val="0044462A"/>
    <w:rsid w:val="00445C0F"/>
    <w:rsid w:val="0045454A"/>
    <w:rsid w:val="00461630"/>
    <w:rsid w:val="0046251F"/>
    <w:rsid w:val="00462627"/>
    <w:rsid w:val="00463390"/>
    <w:rsid w:val="00472060"/>
    <w:rsid w:val="00476E36"/>
    <w:rsid w:val="0048243F"/>
    <w:rsid w:val="004A2C87"/>
    <w:rsid w:val="004A5457"/>
    <w:rsid w:val="004B06A3"/>
    <w:rsid w:val="004D436A"/>
    <w:rsid w:val="004D686A"/>
    <w:rsid w:val="004E0E0F"/>
    <w:rsid w:val="004E2BCB"/>
    <w:rsid w:val="004E74CA"/>
    <w:rsid w:val="004F70BC"/>
    <w:rsid w:val="005178B3"/>
    <w:rsid w:val="00537F2E"/>
    <w:rsid w:val="00545C38"/>
    <w:rsid w:val="00546F44"/>
    <w:rsid w:val="005529B7"/>
    <w:rsid w:val="00555505"/>
    <w:rsid w:val="005647F3"/>
    <w:rsid w:val="00565557"/>
    <w:rsid w:val="005702CC"/>
    <w:rsid w:val="00575448"/>
    <w:rsid w:val="00590A14"/>
    <w:rsid w:val="005A4486"/>
    <w:rsid w:val="005B58A8"/>
    <w:rsid w:val="005C254C"/>
    <w:rsid w:val="005D636B"/>
    <w:rsid w:val="005E0A7E"/>
    <w:rsid w:val="005E1891"/>
    <w:rsid w:val="005F4707"/>
    <w:rsid w:val="005F548E"/>
    <w:rsid w:val="00604507"/>
    <w:rsid w:val="00614F90"/>
    <w:rsid w:val="00615C15"/>
    <w:rsid w:val="00617668"/>
    <w:rsid w:val="0062378C"/>
    <w:rsid w:val="00623C3D"/>
    <w:rsid w:val="006378E7"/>
    <w:rsid w:val="00647063"/>
    <w:rsid w:val="006564C2"/>
    <w:rsid w:val="006664E5"/>
    <w:rsid w:val="00673DA4"/>
    <w:rsid w:val="00680563"/>
    <w:rsid w:val="00690E27"/>
    <w:rsid w:val="00694586"/>
    <w:rsid w:val="006949B2"/>
    <w:rsid w:val="006A052D"/>
    <w:rsid w:val="006B1D2D"/>
    <w:rsid w:val="006B3BB5"/>
    <w:rsid w:val="006C1E56"/>
    <w:rsid w:val="006C22DF"/>
    <w:rsid w:val="006C50A9"/>
    <w:rsid w:val="006D31A4"/>
    <w:rsid w:val="006E3420"/>
    <w:rsid w:val="00703268"/>
    <w:rsid w:val="0070746B"/>
    <w:rsid w:val="00713A43"/>
    <w:rsid w:val="00716AE2"/>
    <w:rsid w:val="00721673"/>
    <w:rsid w:val="007269CE"/>
    <w:rsid w:val="00731A37"/>
    <w:rsid w:val="007553DC"/>
    <w:rsid w:val="00755C80"/>
    <w:rsid w:val="00755DD2"/>
    <w:rsid w:val="00764018"/>
    <w:rsid w:val="007647A4"/>
    <w:rsid w:val="00765589"/>
    <w:rsid w:val="00772297"/>
    <w:rsid w:val="007831BB"/>
    <w:rsid w:val="007855DC"/>
    <w:rsid w:val="00786641"/>
    <w:rsid w:val="00786D73"/>
    <w:rsid w:val="00794903"/>
    <w:rsid w:val="00797B75"/>
    <w:rsid w:val="007A008C"/>
    <w:rsid w:val="007A4386"/>
    <w:rsid w:val="007B459D"/>
    <w:rsid w:val="007C64C7"/>
    <w:rsid w:val="007D2B2B"/>
    <w:rsid w:val="007D3B68"/>
    <w:rsid w:val="007D4B76"/>
    <w:rsid w:val="007E7A6A"/>
    <w:rsid w:val="007E7D9E"/>
    <w:rsid w:val="007F1E3A"/>
    <w:rsid w:val="007F403D"/>
    <w:rsid w:val="00807F84"/>
    <w:rsid w:val="00810C62"/>
    <w:rsid w:val="00812867"/>
    <w:rsid w:val="00831A0C"/>
    <w:rsid w:val="00832A7F"/>
    <w:rsid w:val="008334FD"/>
    <w:rsid w:val="00845D07"/>
    <w:rsid w:val="008521F0"/>
    <w:rsid w:val="00860809"/>
    <w:rsid w:val="008633C8"/>
    <w:rsid w:val="00866DD4"/>
    <w:rsid w:val="00866ED4"/>
    <w:rsid w:val="00867B04"/>
    <w:rsid w:val="0087080C"/>
    <w:rsid w:val="0087587C"/>
    <w:rsid w:val="00876D8D"/>
    <w:rsid w:val="00881EA2"/>
    <w:rsid w:val="00886FA4"/>
    <w:rsid w:val="008945D1"/>
    <w:rsid w:val="008A0F38"/>
    <w:rsid w:val="008A3636"/>
    <w:rsid w:val="008C3A7B"/>
    <w:rsid w:val="008C5BD9"/>
    <w:rsid w:val="008C5BFE"/>
    <w:rsid w:val="008D4560"/>
    <w:rsid w:val="008E2990"/>
    <w:rsid w:val="008E3BE5"/>
    <w:rsid w:val="00914973"/>
    <w:rsid w:val="009209DF"/>
    <w:rsid w:val="00922400"/>
    <w:rsid w:val="0092299D"/>
    <w:rsid w:val="00922B3F"/>
    <w:rsid w:val="009243D6"/>
    <w:rsid w:val="00936764"/>
    <w:rsid w:val="00936D60"/>
    <w:rsid w:val="0094013F"/>
    <w:rsid w:val="0094185D"/>
    <w:rsid w:val="009425BB"/>
    <w:rsid w:val="009522BB"/>
    <w:rsid w:val="00953358"/>
    <w:rsid w:val="00961149"/>
    <w:rsid w:val="00973603"/>
    <w:rsid w:val="00990C72"/>
    <w:rsid w:val="00994A2C"/>
    <w:rsid w:val="009A21F6"/>
    <w:rsid w:val="009A68A9"/>
    <w:rsid w:val="009B6C11"/>
    <w:rsid w:val="009C287E"/>
    <w:rsid w:val="009D2C2B"/>
    <w:rsid w:val="009E4B12"/>
    <w:rsid w:val="009F2846"/>
    <w:rsid w:val="00A07425"/>
    <w:rsid w:val="00A10216"/>
    <w:rsid w:val="00A10D0B"/>
    <w:rsid w:val="00A11572"/>
    <w:rsid w:val="00A165A3"/>
    <w:rsid w:val="00A305A3"/>
    <w:rsid w:val="00A41F93"/>
    <w:rsid w:val="00A57E5F"/>
    <w:rsid w:val="00A72B23"/>
    <w:rsid w:val="00A851D6"/>
    <w:rsid w:val="00A96611"/>
    <w:rsid w:val="00AA1264"/>
    <w:rsid w:val="00AA3EB6"/>
    <w:rsid w:val="00AC683E"/>
    <w:rsid w:val="00AD01B6"/>
    <w:rsid w:val="00AE1092"/>
    <w:rsid w:val="00AF5941"/>
    <w:rsid w:val="00B00235"/>
    <w:rsid w:val="00B0032C"/>
    <w:rsid w:val="00B063D4"/>
    <w:rsid w:val="00B204CF"/>
    <w:rsid w:val="00B35247"/>
    <w:rsid w:val="00B42883"/>
    <w:rsid w:val="00B46774"/>
    <w:rsid w:val="00B55408"/>
    <w:rsid w:val="00B60BB7"/>
    <w:rsid w:val="00B64BC0"/>
    <w:rsid w:val="00B64E0B"/>
    <w:rsid w:val="00B85F03"/>
    <w:rsid w:val="00B87AC7"/>
    <w:rsid w:val="00B9193D"/>
    <w:rsid w:val="00BA284C"/>
    <w:rsid w:val="00BB10D1"/>
    <w:rsid w:val="00BB7BD8"/>
    <w:rsid w:val="00BC581E"/>
    <w:rsid w:val="00BC6148"/>
    <w:rsid w:val="00BC69B2"/>
    <w:rsid w:val="00BC70A4"/>
    <w:rsid w:val="00BD069C"/>
    <w:rsid w:val="00BE73C9"/>
    <w:rsid w:val="00BF7428"/>
    <w:rsid w:val="00BF7E16"/>
    <w:rsid w:val="00C202D9"/>
    <w:rsid w:val="00C23C6E"/>
    <w:rsid w:val="00C279F0"/>
    <w:rsid w:val="00C30859"/>
    <w:rsid w:val="00C60348"/>
    <w:rsid w:val="00C6489E"/>
    <w:rsid w:val="00C80501"/>
    <w:rsid w:val="00C83691"/>
    <w:rsid w:val="00C83710"/>
    <w:rsid w:val="00C97669"/>
    <w:rsid w:val="00CA24B9"/>
    <w:rsid w:val="00CB1A27"/>
    <w:rsid w:val="00CB24D5"/>
    <w:rsid w:val="00CB47B8"/>
    <w:rsid w:val="00CB713B"/>
    <w:rsid w:val="00CD0794"/>
    <w:rsid w:val="00CE109C"/>
    <w:rsid w:val="00CF2F12"/>
    <w:rsid w:val="00CF3E9C"/>
    <w:rsid w:val="00CF52D6"/>
    <w:rsid w:val="00D0694E"/>
    <w:rsid w:val="00D10D09"/>
    <w:rsid w:val="00D12D27"/>
    <w:rsid w:val="00D13418"/>
    <w:rsid w:val="00D201F6"/>
    <w:rsid w:val="00D413E0"/>
    <w:rsid w:val="00D62BDC"/>
    <w:rsid w:val="00D74373"/>
    <w:rsid w:val="00D8179E"/>
    <w:rsid w:val="00D862D8"/>
    <w:rsid w:val="00D91050"/>
    <w:rsid w:val="00D92170"/>
    <w:rsid w:val="00DA083D"/>
    <w:rsid w:val="00DE4538"/>
    <w:rsid w:val="00DE6CC5"/>
    <w:rsid w:val="00DF22BB"/>
    <w:rsid w:val="00DF4CC3"/>
    <w:rsid w:val="00E218D3"/>
    <w:rsid w:val="00E21CF8"/>
    <w:rsid w:val="00E25EEF"/>
    <w:rsid w:val="00E40A48"/>
    <w:rsid w:val="00E44C33"/>
    <w:rsid w:val="00E47371"/>
    <w:rsid w:val="00E77345"/>
    <w:rsid w:val="00E836B3"/>
    <w:rsid w:val="00E920EA"/>
    <w:rsid w:val="00E97D0F"/>
    <w:rsid w:val="00EA0813"/>
    <w:rsid w:val="00EC2011"/>
    <w:rsid w:val="00EC39A1"/>
    <w:rsid w:val="00EC54DF"/>
    <w:rsid w:val="00EE17D9"/>
    <w:rsid w:val="00EE23BF"/>
    <w:rsid w:val="00EE415A"/>
    <w:rsid w:val="00EE5A18"/>
    <w:rsid w:val="00EF0912"/>
    <w:rsid w:val="00EF56C0"/>
    <w:rsid w:val="00F029B6"/>
    <w:rsid w:val="00F05C00"/>
    <w:rsid w:val="00F13D64"/>
    <w:rsid w:val="00F25348"/>
    <w:rsid w:val="00F42442"/>
    <w:rsid w:val="00F50DD8"/>
    <w:rsid w:val="00F60F98"/>
    <w:rsid w:val="00F64F44"/>
    <w:rsid w:val="00F707F2"/>
    <w:rsid w:val="00F72AFB"/>
    <w:rsid w:val="00F8026A"/>
    <w:rsid w:val="00F97A83"/>
    <w:rsid w:val="00FA3724"/>
    <w:rsid w:val="00FB19C8"/>
    <w:rsid w:val="00FB738A"/>
    <w:rsid w:val="00FC486F"/>
    <w:rsid w:val="00FD29C6"/>
    <w:rsid w:val="00FE5F7E"/>
    <w:rsid w:val="00FF3769"/>
    <w:rsid w:val="00FF7C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CF36A0A"/>
  <w15:docId w15:val="{7F2F5632-5686-0349-B741-53F996ECB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267"/>
  </w:style>
  <w:style w:type="paragraph" w:styleId="Heading1">
    <w:name w:val="heading 1"/>
    <w:uiPriority w:val="9"/>
    <w:qFormat/>
    <w:pPr>
      <w:numPr>
        <w:numId w:val="2"/>
      </w:numPr>
      <w:spacing w:before="480" w:after="200"/>
      <w:outlineLvl w:val="0"/>
    </w:pPr>
    <w:rPr>
      <w:b/>
      <w:bCs/>
      <w:color w:val="1F3864"/>
      <w:sz w:val="32"/>
      <w:szCs w:val="32"/>
    </w:rPr>
  </w:style>
  <w:style w:type="paragraph" w:styleId="Heading2">
    <w:name w:val="heading 2"/>
    <w:link w:val="Heading2Char"/>
    <w:uiPriority w:val="9"/>
    <w:qFormat/>
    <w:pPr>
      <w:numPr>
        <w:ilvl w:val="1"/>
        <w:numId w:val="2"/>
      </w:numPr>
      <w:spacing w:before="280" w:after="10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270267"/>
    <w:rPr>
      <w:b/>
      <w:bCs/>
      <w:sz w:val="26"/>
      <w:szCs w:val="2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9176BA-A50D-6740-B02F-ED837E1FD0A7}">
  <we:reference id="f78a3046-9e99-4300-aa2b-5814002b01a2" version="1.55.1.0" store="EXCatalog" storeType="EXCatalog"/>
  <we:alternateReferences>
    <we:reference id="WA104382081" version="1.55.1.0" store="en-GB" storeType="OMEX"/>
  </we:alternateReferences>
  <we:properties>
    <we:property name="MENDELEY_CITATIONS" value="[]"/>
  </we:properties>
  <we:bindings/>
  <we:snapshot xmlns:r="http://schemas.openxmlformats.org/officeDocument/2006/relationships"/>
</we:webextension>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0FEF74-90D6-744A-8CA0-80661CFFEF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TotalTime>
  <Pages>16</Pages>
  <Words>5990</Words>
  <Characters>33365</Characters>
  <Application>Microsoft Office Word</Application>
  <DocSecurity>0</DocSecurity>
  <Lines>794</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Benjy Bream</cp:lastModifiedBy>
  <cp:revision>36</cp:revision>
  <dcterms:created xsi:type="dcterms:W3CDTF">2026-06-06T13:05:00Z</dcterms:created>
  <dcterms:modified xsi:type="dcterms:W3CDTF">2026-06-29T16:49:00Z</dcterms:modified>
</cp:coreProperties>
</file>