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06699"/>
          <w:sz w:val="32"/>
        </w:rPr>
        <w:t>Shaping AI in Health: proof of concept</w:t>
      </w:r>
    </w:p>
    <w:p>
      <w:pPr>
        <w:spacing w:after="200"/>
      </w:pPr>
      <w:r>
        <w:rPr>
          <w:b w:val="0"/>
          <w:i w:val="0"/>
          <w:color w:val="595959"/>
          <w:sz w:val="18"/>
        </w:rPr>
        <w:t>Automated, source-verified speaking points from WHO/Europe's own publications in IRIS. Every quotation is verbatim from a CC-licensed document and mechanically re-checked against the source PDF before inclusion. Prepared 2 July 2026.</w:t>
      </w:r>
    </w:p>
    <w:p>
      <w:pPr>
        <w:spacing w:after="40"/>
      </w:pPr>
      <w:r>
        <w:rPr>
          <w:b/>
          <w:i w:val="0"/>
          <w:color w:val="006699"/>
          <w:sz w:val="20"/>
        </w:rPr>
        <w:t>INPUT — the question asked</w:t>
      </w:r>
    </w:p>
    <w:p>
      <w:pPr>
        <w:spacing w:after="200"/>
      </w:pPr>
      <w:r>
        <w:rPr>
          <w:b w:val="0"/>
          <w:i/>
          <w:sz w:val="21"/>
        </w:rPr>
        <w:t>What has WHO/Europe published on artificial intelligence and digital health in the European Region, and what has it done to support countries on them?</w:t>
      </w:r>
    </w:p>
    <w:p>
      <w:pPr>
        <w:spacing w:after="80"/>
      </w:pPr>
      <w:r>
        <w:rPr>
          <w:b/>
          <w:i w:val="0"/>
          <w:color w:val="006699"/>
          <w:sz w:val="20"/>
        </w:rPr>
        <w:t>OUTPUT — verified speaking points, with evidence</w:t>
      </w:r>
    </w:p>
    <w:p>
      <w:pPr>
        <w:pStyle w:val="ListBullet"/>
        <w:spacing w:after="40"/>
      </w:pPr>
      <w:r>
        <w:rPr>
          <w:b/>
          <w:sz w:val="21"/>
        </w:rPr>
        <w:t>WHO/Europe organised and supported high-level events and capacity-building activities across the Region on AI, health information systems, interoperability and electronic health records.</w:t>
      </w:r>
    </w:p>
    <w:p>
      <w:pPr>
        <w:spacing w:after="20"/>
        <w:ind w:left="567"/>
      </w:pPr>
      <w:r>
        <w:rPr>
          <w:i/>
          <w:sz w:val="19"/>
        </w:rPr>
        <w:t>“In 2025 the WHO Regional Office for Europe organized and supported a series of high-level events and capacity-building activities across the Region focused on AI, health information systems, interoperability, electronic health records and the use of data for decision-making.”</w:t>
      </w:r>
    </w:p>
    <w:p>
      <w:pPr>
        <w:spacing w:after="160"/>
        <w:ind w:left="567"/>
      </w:pPr>
      <w:r>
        <w:rPr>
          <w:color w:val="595959"/>
          <w:sz w:val="17"/>
        </w:rPr>
        <w:t>Leveraging data, artificial intelligence and digital health in the WHO European Region: a year in review 2025. WHO; 2026. CC BY-NC-SA 3.0 IGO. iris.who.int/handle/10665/385249, p.14</w:t>
      </w:r>
    </w:p>
    <w:p>
      <w:pPr>
        <w:pStyle w:val="ListBullet"/>
        <w:spacing w:after="40"/>
      </w:pPr>
      <w:r>
        <w:rPr>
          <w:b/>
          <w:sz w:val="21"/>
        </w:rPr>
        <w:t>WHO/Europe's state-of-readiness assessment documented Member States running pilot projects testing AI across health service delivery, including patient communication support and clinical decision assistance.</w:t>
      </w:r>
    </w:p>
    <w:p>
      <w:pPr>
        <w:spacing w:after="20"/>
        <w:ind w:left="567"/>
      </w:pPr>
      <w:r>
        <w:rPr>
          <w:i/>
          <w:sz w:val="19"/>
        </w:rPr>
        <w:t>“Some examples of ongoing pilots included rare disease data collection, analysis of secure messaging with patients to help health professionals to answer messages more efficiently, and general practitioners and psychologists using generative AI systems and early neurological deviation detection.”</w:t>
      </w:r>
    </w:p>
    <w:p>
      <w:pPr>
        <w:spacing w:after="160"/>
        <w:ind w:left="567"/>
      </w:pPr>
      <w:r>
        <w:rPr>
          <w:color w:val="595959"/>
          <w:sz w:val="17"/>
        </w:rPr>
        <w:t>Artificial intelligence is reshaping health systems: state of readiness across the WHO European Region. WHO; 2025. CC BY-NC-SA 3.0 IGO. iris.who.int/handle/10665/383509, p.63</w:t>
      </w:r>
    </w:p>
    <w:p>
      <w:pPr>
        <w:pStyle w:val="ListBullet"/>
        <w:spacing w:after="40"/>
      </w:pPr>
      <w:r>
        <w:rPr>
          <w:b/>
          <w:sz w:val="21"/>
        </w:rPr>
        <w:t>WHO/Europe found the COVID-19 pandemic was a critical catalyst for telemedicine adoption, proving its value in maintaining care continuity and easing pressure on overstretched health systems.</w:t>
      </w:r>
    </w:p>
    <w:p>
      <w:pPr>
        <w:spacing w:after="20"/>
        <w:ind w:left="567"/>
      </w:pPr>
      <w:r>
        <w:rPr>
          <w:i/>
          <w:sz w:val="19"/>
        </w:rPr>
        <w:t>“Throughout the crisis, telemedicine was instrumental in maintaining continuity of care, supporting infection control efforts, mitigating shortages of personal protective equipment and helping to alleviate pressure on overstretched health systems.”</w:t>
      </w:r>
    </w:p>
    <w:p>
      <w:pPr>
        <w:spacing w:after="160"/>
        <w:ind w:left="567"/>
      </w:pPr>
      <w:r>
        <w:rPr>
          <w:color w:val="595959"/>
          <w:sz w:val="17"/>
        </w:rPr>
        <w:t>Scaling up telemedicine in the WHO European Region. WHO; 2025. CC BY-NC-SA 3.0 IGO. iris.who.int/handle/10665/381574, p.8</w:t>
      </w:r>
    </w:p>
    <w:p>
      <w:pPr>
        <w:spacing w:after="40"/>
      </w:pPr>
      <w:r>
        <w:rPr>
          <w:b/>
          <w:i w:val="0"/>
          <w:color w:val="006699"/>
          <w:sz w:val="20"/>
        </w:rPr>
        <w:t>HOW IT WORKS</w:t>
      </w:r>
    </w:p>
    <w:p>
      <w:pPr>
        <w:spacing w:after="0"/>
      </w:pPr>
      <w:r>
        <w:rPr>
          <w:b w:val="0"/>
          <w:i w:val="0"/>
          <w:color w:val="595959"/>
          <w:sz w:val="18"/>
        </w:rPr>
        <w:t>A planner splits the question into candidate angles; a researcher drafts one verbatim quote per angle from CC-licensed IRIS documents; a verifier checks each for faithfulness, WHO attribution and relevance. In this run 3 of 6 candidates survived; the rest were rejected rather than guessed. Any theme or country in, a pack like this out, same day.</w:t>
      </w:r>
    </w:p>
    <w:sectPr w:rsidR="00FC693F" w:rsidRPr="0006063C" w:rsidSect="00034616">
      <w:pgSz w:w="12240" w:h="15840"/>
      <w:pgMar w:top="907"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