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INVESTMENT MEMO</w:t>
      </w:r>
    </w:p>
    <w:p>
      <w:pPr>
        <w:pBdr>
          <w:bottom w:val="single" w:color="1F3864" w:sz="12" w:space="4"/>
        </w:pBdr>
        <w:spacing w:after="40" w:before="0"/>
      </w:pPr>
      <w:r>
        <w:rPr>
          <w:rFonts w:ascii="Arial" w:cs="Arial" w:eastAsia="Arial" w:hAnsi="Arial"/>
          <w:b w:val="false"/>
          <w:bCs w:val="false"/>
          <w:color w:val="2E5090"/>
          <w:sz w:val="26"/>
          <w:szCs w:val="26"/>
        </w:rPr>
        <w:t xml:space="preserve">Short Thesis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Company</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International Airlines Group (IAG.L)</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Date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26 June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22"/>
                <w:szCs w:val="22"/>
              </w:rPr>
              <w:t xml:space="preserve">Author</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Benjamin Stone</w:t>
            </w:r>
          </w:p>
        </w:tc>
      </w:tr>
    </w:tbl>
    <w:p>
      <w:pPr>
        <w:spacing w:after="60" w:before="0"/>
      </w:pPr>
      <w:r>
        <w:t xml:space="preserve"/>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1. Thesis</w:t>
      </w:r>
    </w:p>
    <w:p>
      <w:pPr>
        <w:spacing w:after="120" w:before="80" w:line="276"/>
      </w:pPr>
      <w:r>
        <w:rPr>
          <w:rFonts w:ascii="Arial" w:cs="Arial" w:eastAsia="Arial" w:hAnsi="Arial"/>
          <w:sz w:val="22"/>
          <w:szCs w:val="22"/>
        </w:rPr>
        <w:t xml:space="preserve">IAG's reported profits contain a material and growing component of revenue derived from subjective loyalty breakage assumptions that sell-side analysts are failing to account for. The Avios liability has grown 27% over four years to €3.3bn; a €285m unexplained residual emerged in the 2025 liability movement after adjusting for exchange rate effects; and IAG’s own annual report confirms that a five percentage point shift in the breakage assumption moves reported profits by €103m — the equivalent of 2% of operating profit from a single internal estimate. With IAG trading at a premium to its European aviation peers and sell-side consensus focused exclusively on loyalty programme upside, the market is materially mispricing the earnings quality risk embedded within a €3.3bn liability built on unverifiable management assumptions.</w:t>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2. The Mechanism</w:t>
      </w:r>
    </w:p>
    <w:p>
      <w:pPr>
        <w:spacing w:after="120" w:before="80" w:line="276"/>
      </w:pPr>
      <w:r>
        <w:rPr>
          <w:rFonts w:ascii="Arial" w:cs="Arial" w:eastAsia="Arial" w:hAnsi="Arial"/>
          <w:sz w:val="22"/>
          <w:szCs w:val="22"/>
        </w:rPr>
        <w:t xml:space="preserve">When a company issues loyalty points, it defers a portion of the transaction value as a liability on its balance sheet, representing an obligation to deliver future value to the customer. That liability is released into reported profit under one of two conditions: when points are redeemed by the customer, or when the company determines that points will never be used — a process known as breakage. In IAG’s case, breakage is triggered when an Avios account has remained inactive for 36 consecutive months.</w:t>
      </w:r>
    </w:p>
    <w:p>
      <w:pPr>
        <w:spacing w:after="60" w:before="0"/>
      </w:pPr>
      <w:r>
        <w:t xml:space="preserve"/>
      </w:r>
    </w:p>
    <w:p>
      <w:pPr>
        <w:spacing w:after="120" w:before="80" w:line="276"/>
      </w:pPr>
      <w:r>
        <w:rPr>
          <w:rFonts w:ascii="Arial" w:cs="Arial" w:eastAsia="Arial" w:hAnsi="Arial"/>
          <w:sz w:val="22"/>
          <w:szCs w:val="22"/>
        </w:rPr>
        <w:t xml:space="preserve">The breakage estimate is an entirely internal assumption, derived from historical redemption patterns and management’s expectations of future customer behaviour. No external party — analyst, auditor, or regulator — can independently verify whether the assumption applied in any given year is conservative or aggressive. It sits wholly at management’s discretion.</w:t>
      </w:r>
    </w:p>
    <w:p>
      <w:pPr>
        <w:spacing w:after="60" w:before="0"/>
      </w:pPr>
      <w:r>
        <w:t xml:space="preserve"/>
      </w:r>
    </w:p>
    <w:p>
      <w:pPr>
        <w:spacing w:after="120" w:before="80" w:line="276"/>
      </w:pPr>
      <w:r>
        <w:rPr>
          <w:rFonts w:ascii="Arial" w:cs="Arial" w:eastAsia="Arial" w:hAnsi="Arial"/>
          <w:sz w:val="22"/>
          <w:szCs w:val="22"/>
        </w:rPr>
        <w:t xml:space="preserve">This creates a material and underappreciated risk for investors. In a weak trading year, management can raise the breakage assumption, mechanically releasing a greater portion of the deferred liability into reported revenue with no corresponding economic activity. The larger the loyalty liability, the more significant this lever becomes — and at IAG, that liability is large and growing.</w:t>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3. The IAG Specific Case</w:t>
      </w:r>
    </w:p>
    <w:p>
      <w:pPr>
        <w:spacing w:after="120" w:before="80" w:line="276"/>
      </w:pPr>
      <w:r>
        <w:rPr>
          <w:rFonts w:ascii="Arial" w:cs="Arial" w:eastAsia="Arial" w:hAnsi="Arial"/>
          <w:sz w:val="22"/>
          <w:szCs w:val="22"/>
        </w:rPr>
        <w:t xml:space="preserve">The Avios liability has grown from €2,630m in 2022 to €3,348m in 2025, representing 27% growth over four years. This makes it one of the largest loyalty programme liabilities in European aviation and an increasingly material line item on IAG’s balance sheet.</w:t>
      </w:r>
    </w:p>
    <w:p>
      <w:pPr>
        <w:spacing w:after="60" w:before="0"/>
      </w:pPr>
      <w:r>
        <w:t xml:space="preserve"/>
      </w:r>
    </w:p>
    <w:p>
      <w:pPr>
        <w:spacing w:after="120" w:before="80" w:line="276"/>
      </w:pPr>
      <w:r>
        <w:rPr>
          <w:rFonts w:ascii="Arial" w:cs="Arial" w:eastAsia="Arial" w:hAnsi="Arial"/>
          <w:sz w:val="22"/>
          <w:szCs w:val="22"/>
        </w:rPr>
        <w:t xml:space="preserve">Points issuance has more than doubled over the same period, rising from €662m in 2022 to €1,406m in 2025. This reflects IAG’s deliberate and aggressive expansion of the Avios currency through credit card partnerships, co-branded programmes, and airline partner agreements. The consequence is a rapidly expanding pool of outstanding points — and therefore a growing reservoir of potential future breakage.</w:t>
      </w:r>
    </w:p>
    <w:p>
      <w:pPr>
        <w:spacing w:after="60" w:before="0"/>
      </w:pPr>
      <w:r>
        <w:t xml:space="preserve"/>
      </w:r>
    </w:p>
    <w:p>
      <w:pPr>
        <w:spacing w:after="120" w:before="80" w:line="276"/>
      </w:pPr>
      <w:r>
        <w:rPr>
          <w:rFonts w:ascii="Arial" w:cs="Arial" w:eastAsia="Arial" w:hAnsi="Arial"/>
          <w:sz w:val="22"/>
          <w:szCs w:val="22"/>
        </w:rPr>
        <w:t xml:space="preserve">In 2025, the liability movement produces a €285m residual after accounting for points issued, revenue recognised, and exchange rate movements. This gap has grown fourfold from just €51m in 2022 and carries no disclosed explanation. The most plausible interpretation is that breakage is already being recognised quietly within the revenue line, without separate disclosure to investors.</w:t>
      </w:r>
    </w:p>
    <w:p>
      <w:pPr>
        <w:spacing w:after="60" w:before="0"/>
      </w:pPr>
      <w:r>
        <w:t xml:space="preserve"/>
      </w:r>
    </w:p>
    <w:p>
      <w:pPr>
        <w:spacing w:after="120" w:before="80" w:line="276"/>
      </w:pPr>
      <w:r>
        <w:rPr>
          <w:rFonts w:ascii="Arial" w:cs="Arial" w:eastAsia="Arial" w:hAnsi="Arial"/>
          <w:sz w:val="22"/>
          <w:szCs w:val="22"/>
        </w:rPr>
        <w:t xml:space="preserve">IAG’s own annual report discloses that a five percentage point change in the breakage assumption moves the deferred revenue liability by €103m. The €285m residual identified above is equivalent to a shift of approximately 14 percentage points in that assumption — a magnitude that sits well beyond what normal year-on-year variation would suggest.</w:t>
      </w:r>
    </w:p>
    <w:p>
      <w:pPr>
        <w:spacing w:after="60" w:before="0"/>
      </w:pPr>
      <w:r>
        <w:t xml:space="preserve"/>
      </w:r>
    </w:p>
    <w:p>
      <w:pPr>
        <w:spacing w:after="80" w:before="280"/>
      </w:pPr>
      <w:r>
        <w:rPr>
          <w:rFonts w:ascii="Arial" w:cs="Arial" w:eastAsia="Arial" w:hAnsi="Arial"/>
          <w:b/>
          <w:bCs/>
          <w:color w:val="2E5090"/>
          <w:sz w:val="24"/>
          <w:szCs w:val="24"/>
        </w:rPr>
        <w:t xml:space="preserve">IAG Avios Liability — Four Year Movement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44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2022</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2023</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2024</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2025</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Avios Liability (closing)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€2,630m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€2,712m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€2,888m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€3,348m</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Deferred Revenue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€7,644m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€8,023m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€8,536m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€8,739m</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Opening Avios Liability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€2,820m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€2,630m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€2,712m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€2,888m</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Points Issued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€662m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€1,085m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€1,453m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€1,406m</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Revenue Recognised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(€801m)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(€1,052m)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(€1,397m)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(€1,389m)</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Exchange Movements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€107m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(€158m)</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Unexplained Residual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(€49m)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(€120m)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(€285m)</w:t>
            </w:r>
          </w:p>
        </w:tc>
      </w:tr>
    </w:tbl>
    <w:p>
      <w:pPr>
        <w:spacing w:after="120" w:before="60"/>
      </w:pPr>
      <w:r>
        <w:rPr>
          <w:rFonts w:ascii="Arial" w:cs="Arial" w:eastAsia="Arial" w:hAnsi="Arial"/>
          <w:i/>
          <w:iCs/>
          <w:color w:val="666666"/>
          <w:sz w:val="18"/>
          <w:szCs w:val="18"/>
        </w:rPr>
        <w:t xml:space="preserve">Source: IAG Annual Reports 2022–2025, Note 24 (Deferred Revenue). All figures in € millions.</w:t>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4. Why the Market Is Missing This</w:t>
      </w:r>
    </w:p>
    <w:p>
      <w:pPr>
        <w:spacing w:after="120" w:before="80" w:line="276"/>
      </w:pPr>
      <w:r>
        <w:rPr>
          <w:rFonts w:ascii="Arial" w:cs="Arial" w:eastAsia="Arial" w:hAnsi="Arial"/>
          <w:sz w:val="22"/>
          <w:szCs w:val="22"/>
        </w:rPr>
        <w:t xml:space="preserve">Sell-side analysts covering IAG treat the Avios programme as an unqualified positive, focusing on revenue growth from partner Avios sales and margin expansion at IAG Loyalty — which delivered £469m in operating profit in 2025. The loyalty business is widely discussed in earnings calls and analyst notes as a structural growth driver and a source of capital-light earnings.</w:t>
      </w:r>
    </w:p>
    <w:p>
      <w:pPr>
        <w:spacing w:after="60" w:before="0"/>
      </w:pPr>
      <w:r>
        <w:t xml:space="preserve"/>
      </w:r>
    </w:p>
    <w:p>
      <w:pPr>
        <w:spacing w:after="120" w:before="80" w:line="276"/>
      </w:pPr>
      <w:r>
        <w:rPr>
          <w:rFonts w:ascii="Arial" w:cs="Arial" w:eastAsia="Arial" w:hAnsi="Arial"/>
          <w:sz w:val="22"/>
          <w:szCs w:val="22"/>
        </w:rPr>
        <w:t xml:space="preserve">No analyst commentary or model adjustment has been identified that stress-tests the breakage assumptions underpinning the €3.3bn Avios liability — despite the sensitivity disclosure sitting plainly in IAG’s own annual report. The assumption is not scrutinised, not modelled, and not adjusted for.</w:t>
      </w:r>
    </w:p>
    <w:p>
      <w:pPr>
        <w:spacing w:after="60" w:before="0"/>
      </w:pPr>
      <w:r>
        <w:t xml:space="preserve"/>
      </w:r>
    </w:p>
    <w:p>
      <w:pPr>
        <w:spacing w:after="120" w:before="80" w:line="276"/>
      </w:pPr>
      <w:r>
        <w:rPr>
          <w:rFonts w:ascii="Arial" w:cs="Arial" w:eastAsia="Arial" w:hAnsi="Arial"/>
          <w:sz w:val="22"/>
          <w:szCs w:val="22"/>
        </w:rPr>
        <w:t xml:space="preserve">This represents a classic earnings quality blind spot. The market is pricing IAG on headline profit figures that contain an unverified, growing, and assumption-driven component. Investors who look beyond the loyalty revenue narrative and into the mechanics of how that revenue is calculated will find a materially different picture.</w:t>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5. ESG Implications</w:t>
      </w:r>
    </w:p>
    <w:p>
      <w:pPr>
        <w:spacing w:after="120" w:before="80" w:line="276"/>
      </w:pPr>
      <w:r>
        <w:rPr>
          <w:rFonts w:ascii="Arial" w:cs="Arial" w:eastAsia="Arial" w:hAnsi="Arial"/>
          <w:sz w:val="22"/>
          <w:szCs w:val="22"/>
        </w:rPr>
        <w:t xml:space="preserve">The loyalty breakage issue carries material ESG implications across two of the three pillars that institutional investors increasingly screen for — Social and Governance. For funds applying ESG criteria to portfolio construction, these concerns represent a distinct and underappreciated risk factor that sits entirely separately from the earnings quality short thesis.</w:t>
      </w:r>
    </w:p>
    <w:p>
      <w:pPr>
        <w:spacing w:after="80" w:before="180" w:line="276"/>
      </w:pPr>
      <w:r>
        <w:rPr>
          <w:rFonts w:ascii="Arial" w:cs="Arial" w:eastAsia="Arial" w:hAnsi="Arial"/>
          <w:b/>
          <w:bCs/>
          <w:color w:val="2E5090"/>
          <w:sz w:val="24"/>
          <w:szCs w:val="24"/>
        </w:rPr>
        <w:t xml:space="preserve">Social</w:t>
      </w:r>
    </w:p>
    <w:p>
      <w:pPr>
        <w:spacing w:after="120" w:before="80" w:line="276"/>
      </w:pPr>
      <w:r>
        <w:rPr>
          <w:rFonts w:ascii="Arial" w:cs="Arial" w:eastAsia="Arial" w:hAnsi="Arial"/>
          <w:sz w:val="22"/>
          <w:szCs w:val="22"/>
        </w:rPr>
        <w:t xml:space="preserve">The structural premise of a loyalty programme is a promise to customers: spend with us and we will reward you. When a company issues points it statistically expects never to be redeemed — and prices that expectation into its revenue model from the outset — it is systematically exploiting the gap between what customers believe they are earning and what they will actually receive. This constitutes a consumer harm that ESG-focused investors and regulators are increasingly scrutinising under fair treatment of customers frameworks. The FCA’s Consumer Duty, introduced in 2023, places explicit obligations on financial services firms to deliver good outcomes for retail customers. While loyalty programmes do not fall directly within its scope, the regulatory direction of travel is clear: commercial practices that profit from customer inertia or confusion are facing growing oversight.</w:t>
      </w:r>
    </w:p>
    <w:p>
      <w:pPr>
        <w:spacing w:after="80" w:before="180" w:line="276"/>
      </w:pPr>
      <w:r>
        <w:rPr>
          <w:rFonts w:ascii="Arial" w:cs="Arial" w:eastAsia="Arial" w:hAnsi="Arial"/>
          <w:b/>
          <w:bCs/>
          <w:color w:val="2E5090"/>
          <w:sz w:val="24"/>
          <w:szCs w:val="24"/>
        </w:rPr>
        <w:t xml:space="preserve">Governance</w:t>
      </w:r>
    </w:p>
    <w:p>
      <w:pPr>
        <w:spacing w:after="120" w:before="80" w:line="276"/>
      </w:pPr>
      <w:r>
        <w:rPr>
          <w:rFonts w:ascii="Arial" w:cs="Arial" w:eastAsia="Arial" w:hAnsi="Arial"/>
          <w:sz w:val="22"/>
          <w:szCs w:val="22"/>
        </w:rPr>
        <w:t xml:space="preserve">AGL runs detailed statistical models to estimate the breakage proportion of its annual revenue release and discloses a £90m sensitivity figure that confirms the number is material. The deliberate decision to bundle breakage and redemptions into a single undisclosed line — despite having the data to split them — is a governance choice, not a technical constraint. It prioritises management’s preference for opacity over investor transparency. The Financial Reporting Council (FRC) has been increasingly focused on whether companies provide sufficiently disaggregated revenue disclosures under IFRS 15. IAG’s approach to breakage disclosure sits in direct tension with the spirit of that regulatory focus. For governance-screened funds, the combination of a material unverifiable assumption, a bundled revenue disclosure, and a management team that has chosen opacity over transparency represents a credible negative governance signal.</w:t>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6. Open Questions</w:t>
      </w:r>
    </w:p>
    <w:p>
      <w:pPr>
        <w:spacing w:after="120" w:before="80" w:line="276"/>
      </w:pPr>
      <w:r>
        <w:rPr>
          <w:rFonts w:ascii="Arial" w:cs="Arial" w:eastAsia="Arial" w:hAnsi="Arial"/>
          <w:sz w:val="22"/>
          <w:szCs w:val="22"/>
        </w:rPr>
        <w:t xml:space="preserve">The following questions require further investigation before the thesis can be stated with full conviction:</w:t>
      </w:r>
    </w:p>
    <w:p>
      <w:pPr>
        <w:spacing w:after="60" w:before="0"/>
      </w:pPr>
      <w:r>
        <w:t xml:space="preserve"/>
      </w:r>
    </w:p>
    <w:p>
      <w:pPr>
        <w:pStyle w:val="ListParagraph"/>
        <w:numPr>
          <w:ilvl w:val="0"/>
          <w:numId w:val="2"/>
        </w:numPr>
        <w:spacing w:after="60" w:before="60" w:line="276"/>
      </w:pPr>
      <w:r>
        <w:rPr>
          <w:rFonts w:ascii="Arial" w:cs="Arial" w:eastAsia="Arial" w:hAnsi="Arial"/>
          <w:sz w:val="22"/>
          <w:szCs w:val="22"/>
        </w:rPr>
        <w:t xml:space="preserve">The €285m residual identified in the IAG group accounts is likely a consolidation artefact rather than undisclosed breakage. The Avios Group (AGL) Limited standalone accounts filed at Companies House reconcile cleanly — opening balance of £2,504m, plus cash received and Avios issued, less revenue recognised and adjusted for financing charges and currency translation, produces the exact closing balance of £3,079m with no unexplained gap. The residual at group level therefore reflects intercompany eliminations and euro-sterling translation differences between AGL (which reports in sterling) and the IAG consolidated accounts (which report in euros). This partially weakens the thesis but does not eliminate it — the core earnings quality risk remains.</w:t>
      </w:r>
    </w:p>
    <w:p>
      <w:pPr>
        <w:pStyle w:val="ListParagraph"/>
        <w:numPr>
          <w:ilvl w:val="0"/>
          <w:numId w:val="2"/>
        </w:numPr>
        <w:spacing w:after="60" w:before="60" w:line="276"/>
      </w:pPr>
      <w:r>
        <w:rPr>
          <w:rFonts w:ascii="Arial" w:cs="Arial" w:eastAsia="Arial" w:hAnsi="Arial"/>
          <w:sz w:val="22"/>
          <w:szCs w:val="22"/>
        </w:rPr>
        <w:t xml:space="preserve">Whether IAG’s breakage assumption has been held constant or quietly raised year-on-year. IAG does not disclose a specific breakage percentage, making this impossible to verify from public information alone. Access to investor relations or a former IAG Loyalty employee would be required to investigate further.</w:t>
      </w:r>
    </w:p>
    <w:p>
      <w:pPr>
        <w:pStyle w:val="ListParagraph"/>
        <w:numPr>
          <w:ilvl w:val="0"/>
          <w:numId w:val="2"/>
        </w:numPr>
        <w:spacing w:after="60" w:before="60" w:line="276"/>
      </w:pPr>
      <w:r>
        <w:rPr>
          <w:rFonts w:ascii="Arial" w:cs="Arial" w:eastAsia="Arial" w:hAnsi="Arial"/>
          <w:sz w:val="22"/>
          <w:szCs w:val="22"/>
        </w:rPr>
        <w:t xml:space="preserve">The AGL standalone accounts confirm that breakage is recognised within the revenue line without separate disclosure — £853m of deferred revenue was released into income in 2025 (2024: £862m), bundling redemptions and breakage together. AGL also discloses a £90m sensitivity per five percentage point change in the breakage assumption, consistent with the €103m disclosed at IAG group level, confirming that the assumption is set entirely within AGL. The remaining open question is what proportion of the £853m revenue release represents genuine redemptions versus breakage — a figure that AGL does not disclose and that cannot be derived from public information alone.</w:t>
      </w:r>
    </w:p>
    <w:p>
      <w:pPr>
        <w:spacing w:after="60" w:before="0"/>
      </w:pPr>
      <w:r>
        <w:t xml:space="preserve"/>
      </w:r>
    </w:p>
    <w:p>
      <w:pPr>
        <w:pBdr>
          <w:bottom w:val="single" w:color="1F3864" w:sz="6" w:space="4"/>
        </w:pBdr>
        <w:spacing w:after="120" w:before="360"/>
      </w:pPr>
      <w:r>
        <w:rPr>
          <w:rFonts w:ascii="Arial" w:cs="Arial" w:eastAsia="Arial" w:hAnsi="Arial"/>
          <w:b/>
          <w:bCs/>
          <w:color w:val="1F3864"/>
          <w:sz w:val="28"/>
          <w:szCs w:val="28"/>
        </w:rPr>
        <w:t xml:space="preserve">7. Conclusion</w:t>
      </w:r>
    </w:p>
    <w:p>
      <w:pPr>
        <w:spacing w:after="120" w:before="80" w:line="276"/>
      </w:pPr>
      <w:r>
        <w:rPr>
          <w:rFonts w:ascii="Arial" w:cs="Arial" w:eastAsia="Arial" w:hAnsi="Arial"/>
          <w:sz w:val="22"/>
          <w:szCs w:val="22"/>
        </w:rPr>
        <w:t xml:space="preserve">IAG presents a compelling earnings quality short case: a €3.3bn loyalty liability built on unverifiable internal assumptions, a £853m annual revenue release from AGL in which breakage and redemptions are deliberately bundled together, and a sell-side consensus that is not pricing this risk. Subsequent investigation of the Avios Group (AGL) standalone accounts reveals that the €285m group-level residual is most likely explained by consolidation and currency translation adjustments rather than undisclosed breakage — partially weakening but not eliminating the thesis. The case is confirmed if IAG reports a weak trading year alongside a material increase in the AGL revenue release, or if the breakage assumption is shown to have been raised through access to investor relations. The thesis is weakened if AGL moves to disclose breakage separately from redemptions, demonstrating that the assumption has been held constant and that the revenue release is driven by genuine customer activity rather than accounting management.</w:t>
      </w:r>
    </w:p>
    <w:p>
      <w:pPr>
        <w:spacing w:after="60" w:before="0"/>
      </w:pPr>
      <w:r>
        <w:t xml:space="preserve"/>
      </w:r>
    </w:p>
    <w:p>
      <w:pPr>
        <w:spacing w:after="60" w:before="0"/>
      </w:pPr>
      <w:r>
        <w:t xml:space="preserve"/>
      </w:r>
    </w:p>
    <w:p>
      <w:pPr>
        <w:pBdr>
          <w:top w:val="single" w:color="CCCCCC" w:sz="4" w:space="4"/>
        </w:pBdr>
        <w:spacing w:after="0" w:before="120"/>
      </w:pPr>
      <w:r>
        <w:rPr>
          <w:rFonts w:ascii="Arial" w:cs="Arial" w:eastAsia="Arial" w:hAnsi="Arial"/>
          <w:i/>
          <w:iCs/>
          <w:color w:val="999999"/>
          <w:sz w:val="16"/>
          <w:szCs w:val="16"/>
        </w:rPr>
        <w:t xml:space="preserve">This memo is produced for research and educational purposes. It does not constitute investment advice. All data sourced from publicly available annual reports.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2026-06-27T11:02:34.288Z</dcterms:created>
  <dcterms:modified xsi:type="dcterms:W3CDTF">2026-06-27T11:02:34.289Z</dcterms:modified>
</cp:coreProperties>
</file>

<file path=docProps/custom.xml><?xml version="1.0" encoding="utf-8"?>
<Properties xmlns="http://schemas.openxmlformats.org/officeDocument/2006/custom-properties" xmlns:vt="http://schemas.openxmlformats.org/officeDocument/2006/docPropsVTypes"/>
</file>