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0" w:right="0"/>
        <w:jc w:val="center"/>
        <w:rPr>
          <w:sz w:val="44"/>
          <w:szCs w:val="44"/>
        </w:rPr>
      </w:pPr>
      <w:r>
        <w:rPr>
          <w:sz w:val="44"/>
          <w:szCs w:val="44"/>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p>
      <w:pPr>
        <w:pStyle w:val="Normal"/>
        <w:bidi w:val="0"/>
        <w:spacing w:lineRule="auto" w:line="276"/>
        <w:jc w:val="left"/>
        <w:rPr/>
      </w:pPr>
      <w:r>
        <w:rPr/>
      </w:r>
    </w:p>
    <w:p>
      <w:pPr>
        <w:pStyle w:val="Normal"/>
        <w:bidi w:val="0"/>
        <w:spacing w:lineRule="auto" w:line="276"/>
        <w:jc w:val="left"/>
        <w:rPr>
          <w:sz w:val="32"/>
          <w:szCs w:val="32"/>
        </w:rPr>
      </w:pPr>
      <w:r>
        <w:rPr>
          <w:sz w:val="32"/>
          <w:szCs w:val="32"/>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"/home/benkev/Work/2187/scratch/Lin_I/2187"</w:t>
      </w:r>
      <w:r>
        <w:rPr/>
        <w:t>:</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or YY).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selecting multiple data that meet several criteria (for example, the time interval of scanning a particular source for baselines that make up a triangular closure) becomes quite non-trivial. In addition, a lot of time is spent opening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files only once. The extracted data should be stored in data structures that provide convenient access. For example, it should be possible to access the whole data cluster related to a celestial source, or a time tag, or a baseline, or a baseline triangle. </w:t>
      </w:r>
    </w:p>
    <w:p>
      <w:pPr>
        <w:pStyle w:val="Normal"/>
        <w:bidi w:val="0"/>
        <w:spacing w:lineRule="auto" w:line="276"/>
        <w:jc w:val="left"/>
        <w:rPr/>
      </w:pPr>
      <w:r>
        <w:rPr/>
      </w:r>
    </w:p>
    <w:p>
      <w:pPr>
        <w:pStyle w:val="Normal"/>
        <w:bidi w:val="0"/>
        <w:spacing w:lineRule="auto" w:line="276"/>
        <w:jc w:val="left"/>
        <w:rPr/>
      </w:pPr>
      <w:r>
        <w:rPr/>
        <w:t>Python has a built-in dictionary type, currently implemented as a hash table. "Multi-dimensional" dictionaries (or dictionaries of subdictionaries of sub</w:t>
      </w:r>
      <w:r>
        <w:rPr/>
        <w:t>sub</w:t>
      </w:r>
      <w:r>
        <w:rPr/>
        <w:t xml:space="preserve">dictionaries...) are ideal containers for storing Mark4 fringe-fit data and for easy access to it. Several Python dictionaries have been developed that are created once and written to disk </w:t>
      </w:r>
      <w:r>
        <w:rPr/>
        <w:t xml:space="preserve">using the Python </w:t>
      </w:r>
      <w:r>
        <w:rPr>
          <w:rFonts w:ascii="Liberation Mono" w:hAnsi="Liberation Mono"/>
        </w:rPr>
        <w:t>pickle</w:t>
      </w:r>
      <w:r>
        <w:rPr/>
        <w:t xml:space="preserve"> module. </w:t>
      </w:r>
      <w:r>
        <w:rPr/>
        <w:t xml:space="preserve">To access the </w:t>
      </w:r>
      <w:r>
        <w:rPr/>
        <w:t xml:space="preserve">fringe-fit </w:t>
      </w:r>
      <w:r>
        <w:rPr/>
        <w:t xml:space="preserve">data, one or more of the appropriate dictionaries </w:t>
      </w:r>
      <w:r>
        <w:rPr/>
        <w:t>need to be “unpickled”</w:t>
      </w:r>
      <w:r>
        <w:rPr/>
        <w:t xml:space="preserve"> in</w:t>
      </w:r>
      <w:r>
        <w:rPr/>
        <w:t>to</w:t>
      </w:r>
      <w:r>
        <w:rPr/>
        <w:t xml:space="preserve"> memory </w:t>
      </w:r>
      <w:r>
        <w:rPr/>
        <w:t xml:space="preserve">as </w:t>
      </w:r>
      <w:r>
        <w:rPr>
          <w:rFonts w:ascii="Liberation Mono" w:hAnsi="Liberation Mono"/>
        </w:rPr>
        <w:t>dict</w:t>
      </w:r>
      <w:r>
        <w:rPr/>
        <w:t xml:space="preserve"> type variables</w:t>
      </w:r>
      <w:r>
        <w:rPr/>
        <w:t>.</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sz w:val="32"/>
          <w:szCs w:val="32"/>
        </w:rPr>
      </w:pPr>
      <w:r>
        <w:rPr>
          <w:sz w:val="32"/>
          <w:szCs w:val="32"/>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w:t>
      </w:r>
      <w:r>
        <w:rPr/>
        <w:t xml:space="preserve">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 xml:space="preserve">whereas VLBI stations mostly record the signals on a circular </w:t>
      </w:r>
      <w:r>
        <w:rPr>
          <w:i/>
          <w:iCs/>
        </w:rPr>
        <w:t>(</w:t>
      </w:r>
      <w:r>
        <w:rPr>
          <w:i/>
          <w:iCs/>
        </w:rPr>
        <w:t>R/L) basis.</w:t>
      </w:r>
      <w:r>
        <w:rPr/>
        <w:t xml:space="preserve">”. </w:t>
      </w:r>
    </w:p>
    <w:p>
      <w:pPr>
        <w:pStyle w:val="Normal"/>
        <w:bidi w:val="0"/>
        <w:spacing w:lineRule="auto" w:line="276"/>
        <w:jc w:val="left"/>
        <w:rPr/>
      </w:pPr>
      <w:r>
        <w:rPr/>
        <w:t>“</w:t>
      </w:r>
      <w:r>
        <w:rPr>
          <w:i/>
          <w:iCs/>
        </w:rPr>
        <w:t xml:space="preserve">The </w:t>
      </w:r>
      <w:r>
        <w:rPr>
          <w:i/>
          <w:iCs/>
        </w:rPr>
        <w:t>[PolConvert]</w:t>
      </w:r>
      <w:r>
        <w:rPr>
          <w:i/>
          <w:iCs/>
        </w:rPr>
        <w:t xml:space="preserve">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w:t>
      </w:r>
      <w:r>
        <w:rPr/>
        <w:t xml:space="preserve">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 xml:space="preserve">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w:t>
      </w:r>
      <w:r>
        <w:rPr/>
        <w:t xml:space="preserve">The files have also “I” letter to indicate that they contain pure pseudo-Stokes I data. </w:t>
      </w:r>
      <w:r>
        <w:rPr/>
        <w:t>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5"/>
        <w:gridCol w:w="3325"/>
      </w:tblGrid>
      <w:tr>
        <w:trPr>
          <w:tblHeader w:val="true"/>
          <w:trHeight w:val="432" w:hRule="atLeast"/>
        </w:trPr>
        <w:tc>
          <w:tcPr>
            <w:tcW w:w="2975" w:type="dxa"/>
            <w:tcBorders/>
          </w:tcPr>
          <w:p>
            <w:pPr>
              <w:pStyle w:val="TableHeading"/>
              <w:rPr/>
            </w:pPr>
            <w:r>
              <w:rPr/>
              <w:t>Linear</w:t>
            </w:r>
          </w:p>
        </w:tc>
        <w:tc>
          <w:tcPr>
            <w:tcW w:w="3325" w:type="dxa"/>
            <w:tcBorders/>
          </w:tcPr>
          <w:p>
            <w:pPr>
              <w:pStyle w:val="TableHeading"/>
              <w:rPr/>
            </w:pPr>
            <w:r>
              <w:rPr/>
              <w:t>Circular</w:t>
            </w:r>
          </w:p>
        </w:tc>
      </w:tr>
      <w:tr>
        <w:trPr>
          <w:trHeight w:val="432" w:hRule="atLeast"/>
        </w:trPr>
        <w:tc>
          <w:tcPr>
            <w:tcW w:w="2975" w:type="dxa"/>
            <w:tcBorders/>
          </w:tcPr>
          <w:p>
            <w:pPr>
              <w:pStyle w:val="Normal"/>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tcPr>
          <w:p>
            <w:pPr>
              <w:pStyle w:val="Normal"/>
              <w:bidi w:val="0"/>
              <w:spacing w:lineRule="auto" w:line="276"/>
              <w:jc w:val="center"/>
              <w:rPr>
                <w:rFonts w:ascii="monospace" w:hAnsi="monospace"/>
              </w:rPr>
            </w:pPr>
            <w:r>
              <w:rPr>
                <w:rFonts w:ascii="monospace" w:hAnsi="monospace"/>
              </w:rPr>
              <w:t>idx2187cI.pkl</w:t>
            </w:r>
          </w:p>
        </w:tc>
      </w:tr>
      <w:tr>
        <w:trPr>
          <w:trHeight w:val="432" w:hRule="atLeast"/>
        </w:trPr>
        <w:tc>
          <w:tcPr>
            <w:tcW w:w="2975" w:type="dxa"/>
            <w:tcBorders/>
          </w:tcPr>
          <w:p>
            <w:pPr>
              <w:pStyle w:val="TableContents"/>
              <w:ind w:hanging="0" w:left="0" w:right="0"/>
              <w:jc w:val="center"/>
              <w:rPr>
                <w:rFonts w:ascii="monospace" w:hAnsi="monospace"/>
              </w:rPr>
            </w:pPr>
            <w:r>
              <w:rPr>
                <w:rFonts w:ascii="monospace" w:hAnsi="monospace"/>
                <w:color w:val="000000"/>
                <w:shd w:fill="FFFFFF" w:val="clear"/>
              </w:rPr>
              <w:t>idxs2187lI.pkl</w:t>
            </w:r>
          </w:p>
        </w:tc>
        <w:tc>
          <w:tcPr>
            <w:tcW w:w="3325" w:type="dxa"/>
            <w:tcBorders/>
          </w:tcPr>
          <w:p>
            <w:pPr>
              <w:pStyle w:val="Normal"/>
              <w:bidi w:val="0"/>
              <w:spacing w:lineRule="auto" w:line="276"/>
              <w:jc w:val="center"/>
              <w:rPr>
                <w:rFonts w:ascii="monospace" w:hAnsi="monospace"/>
              </w:rPr>
            </w:pPr>
            <w:r>
              <w:rPr>
                <w:rFonts w:ascii="monospace" w:hAnsi="monospace"/>
                <w:color w:val="000000"/>
                <w:shd w:fill="FFFFFF" w:val="clear"/>
              </w:rPr>
              <w:t>idxs2187</w:t>
            </w:r>
            <w:r>
              <w:rPr>
                <w:rFonts w:ascii="monospace" w:hAnsi="monospace"/>
                <w:color w:val="000000"/>
                <w:shd w:fill="FFFFFF" w:val="clear"/>
              </w:rPr>
              <w:t>c</w:t>
            </w:r>
            <w:r>
              <w:rPr>
                <w:rFonts w:ascii="monospace" w:hAnsi="monospace"/>
                <w:color w:val="000000"/>
                <w:shd w:fill="FFFFFF" w:val="clear"/>
              </w:rPr>
              <w:t>I.pkl</w:t>
            </w:r>
          </w:p>
        </w:tc>
      </w:tr>
      <w:tr>
        <w:trPr>
          <w:trHeight w:val="432" w:hRule="atLeast"/>
        </w:trPr>
        <w:tc>
          <w:tcPr>
            <w:tcW w:w="2975" w:type="dxa"/>
            <w:tcBorders/>
          </w:tcPr>
          <w:p>
            <w:pPr>
              <w:pStyle w:val="Normal"/>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tcPr>
          <w:p>
            <w:pPr>
              <w:pStyle w:val="Normal"/>
              <w:bidi w:val="0"/>
              <w:spacing w:lineRule="auto" w:line="276"/>
              <w:jc w:val="center"/>
              <w:rPr>
                <w:rFonts w:ascii="monospace" w:hAnsi="monospace"/>
              </w:rPr>
            </w:pPr>
            <w:r>
              <w:rPr>
                <w:rFonts w:ascii="monospace" w:hAnsi="monospace"/>
              </w:rPr>
              <w:t>idxf2187cI.pkl</w:t>
            </w:r>
          </w:p>
        </w:tc>
      </w:tr>
      <w:tr>
        <w:trPr>
          <w:trHeight w:val="432" w:hRule="atLeast"/>
        </w:trPr>
        <w:tc>
          <w:tcPr>
            <w:tcW w:w="2975" w:type="dxa"/>
            <w:tcBorders/>
          </w:tcPr>
          <w:p>
            <w:pPr>
              <w:pStyle w:val="Normal"/>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tcPr>
          <w:p>
            <w:pPr>
              <w:pStyle w:val="Normal"/>
              <w:bidi w:val="0"/>
              <w:spacing w:lineRule="auto" w:line="276"/>
              <w:jc w:val="center"/>
              <w:rPr>
                <w:rFonts w:ascii="monospace" w:hAnsi="monospace"/>
              </w:rPr>
            </w:pPr>
            <w:r>
              <w:rPr>
                <w:rFonts w:ascii="monospace" w:hAnsi="monospace"/>
              </w:rPr>
              <w:t>clos2187cI.pkl</w:t>
            </w:r>
          </w:p>
        </w:tc>
      </w:tr>
      <w:tr>
        <w:trPr>
          <w:trHeight w:val="432" w:hRule="atLeast"/>
        </w:trPr>
        <w:tc>
          <w:tcPr>
            <w:tcW w:w="2975" w:type="dxa"/>
            <w:tcBorders/>
          </w:tcPr>
          <w:p>
            <w:pPr>
              <w:pStyle w:val="Normal"/>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tcPr>
          <w:p>
            <w:pPr>
              <w:pStyle w:val="Normal"/>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color w:val="000000"/>
          <w:shd w:fill="FFFFFF" w:val="clear"/>
        </w:rPr>
        <w:t>bls_2187.pkl         </w:t>
      </w:r>
      <w:r>
        <w:rPr>
          <w:rFonts w:ascii="monospace" w:hAnsi="monospace"/>
        </w:rPr>
        <w:br/>
        <w:t>tribl_2187.pkl</w:t>
        <w:br/>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br/>
      </w:r>
      <w:r>
        <w:rPr>
          <w:rFonts w:ascii="Liberation Serif" w:hAnsi="Liberation Serif"/>
        </w:rPr>
        <w:t>Circular polarization data uses FEWER baselines than linear pol.</w:t>
      </w:r>
    </w:p>
    <w:p>
      <w:pPr>
        <w:pStyle w:val="Normal"/>
        <w:bidi w:val="0"/>
        <w:spacing w:lineRule="auto" w:line="276"/>
        <w:jc w:val="left"/>
        <w:rPr>
          <w:rFonts w:ascii="Liberation Serif" w:hAnsi="Liberation Serif"/>
        </w:rPr>
      </w:pPr>
      <w:r>
        <w:rPr>
          <w:rFonts w:ascii="Liberation Serif" w:hAnsi="Liberation Serif"/>
        </w:rPr>
        <w:t xml:space="preserve"> </w:t>
      </w:r>
    </w:p>
    <w:p>
      <w:pPr>
        <w:pStyle w:val="Normal"/>
        <w:bidi w:val="0"/>
        <w:spacing w:lineRule="auto" w:line="276"/>
        <w:jc w:val="left"/>
        <w:rPr>
          <w:rFonts w:ascii="Liberation Serif" w:hAnsi="Liberation Serif"/>
        </w:rPr>
      </w:pPr>
      <w:r>
        <w:rPr>
          <w:rFonts w:ascii="Liberation Serif" w:hAnsi="Liberation Serif"/>
        </w:rPr>
        <w:t>This is because PolConvert, by some reason, omitted the 'Y' (i.e. 'Yj')</w:t>
      </w:r>
    </w:p>
    <w:p>
      <w:pPr>
        <w:pStyle w:val="Normal"/>
        <w:bidi w:val="0"/>
        <w:spacing w:lineRule="auto" w:line="276"/>
        <w:jc w:val="left"/>
        <w:rPr>
          <w:rFonts w:ascii="Liberation Serif" w:hAnsi="Liberation Serif"/>
        </w:rPr>
      </w:pPr>
      <w:r>
        <w:rPr>
          <w:rFonts w:ascii="Liberation Serif" w:hAnsi="Liberation Serif"/>
        </w:rPr>
        <w:t>station, so it is not present in the baseline list.</w:t>
      </w:r>
    </w:p>
    <w:p>
      <w:pPr>
        <w:pStyle w:val="Normal"/>
        <w:bidi w:val="0"/>
        <w:spacing w:lineRule="auto" w:line="276"/>
        <w:jc w:val="left"/>
        <w:rPr>
          <w:rFonts w:ascii="Liberation Serif" w:hAnsi="Liberation Serif"/>
        </w:rPr>
      </w:pPr>
      <w:r>
        <w:rPr>
          <w:rFonts w:ascii="Liberation Serif" w:hAnsi="Liberation Serif"/>
        </w:rPr>
        <w:t>Below we read both linear and circular baselines and select only those</w:t>
      </w:r>
    </w:p>
    <w:p>
      <w:pPr>
        <w:pStyle w:val="Normal"/>
        <w:bidi w:val="0"/>
        <w:spacing w:lineRule="auto" w:line="276"/>
        <w:jc w:val="left"/>
        <w:rPr>
          <w:rFonts w:ascii="Liberation Serif" w:hAnsi="Liberation Serif"/>
        </w:rPr>
      </w:pPr>
      <w:r>
        <w:rPr>
          <w:rFonts w:ascii="Liberation Serif" w:hAnsi="Liberation Serif"/>
        </w:rPr>
        <w:t>baselines that are present in both cases.</w:t>
      </w:r>
    </w:p>
    <w:p>
      <w:pPr>
        <w:pStyle w:val="Normal"/>
        <w:bidi w:val="0"/>
        <w:spacing w:lineRule="auto" w:line="276"/>
        <w:jc w:val="left"/>
        <w:rPr>
          <w:rFonts w:ascii="Liberation Serif" w:hAnsi="Liberation Serif"/>
        </w:rPr>
      </w:pPr>
      <w:r>
        <w:rPr>
          <w:rFonts w:ascii="Liberation Serif" w:hAnsi="Liberation Serif"/>
        </w:rPr>
        <w:t>Exclude the 'ST' baseline: the S and T stations are too close to each other</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t xml:space="preserve">I. Martí-Vidal </w:t>
      </w:r>
      <w:r>
        <w:rPr>
          <w:i/>
          <w:iCs/>
        </w:rPr>
        <w:t>et al</w:t>
      </w:r>
      <w:r>
        <w:rPr/>
        <w:t xml:space="preserve">,  Calibration of mixed-polarization interferometric observations. Tools for the reduction of interferometric data from elements with linear and circular polarization receivers, </w:t>
      </w:r>
      <w:r>
        <w:rPr/>
        <w:t>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202</TotalTime>
  <Application>LibreOffice/24.8.6.2$Linux_X86_64 LibreOffice_project/480$Build-2</Application>
  <AppVersion>15.0000</AppVersion>
  <Pages>3</Pages>
  <Words>757</Words>
  <Characters>4342</Characters>
  <CharactersWithSpaces>5183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dcterms:modified xsi:type="dcterms:W3CDTF">2025-05-14T02:58:49Z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