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2"/>
        <w:gridCol w:w="3365"/>
      </w:tblGrid>
      <w:tr>
        <w:trPr>
          <w:trHeight w:val="1070" w:hRule="atLeast"/>
          <w:cantSplit w:val="false"/>
        </w:trPr>
        <w:tc>
          <w:tcPr>
            <w:tcW w:w="74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65" w:type="dxa"/>
          <w:bottom w:w="180" w:type="dxa"/>
          <w:right w:w="180" w:type="dxa"/>
        </w:tblCellMar>
      </w:tblPr>
      <w:tblGrid>
        <w:gridCol w:w="4867"/>
        <w:gridCol w:w="1617"/>
        <w:gridCol w:w="1620"/>
        <w:gridCol w:w="3064"/>
      </w:tblGrid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Market Analysis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Management + Project Manager +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- Schema</w:t>
            </w:r>
          </w:p>
        </w:tc>
        <w:tc>
          <w:tcPr>
            <w:tcW w:w="16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- Implementation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4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– ETL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Date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Course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Total Time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_DdeLink__353_1774307151"/>
            <w:r>
              <w:rPr/>
              <w:t>Interface – Dynamic Report –</w:t>
            </w:r>
            <w:bookmarkEnd w:id="0"/>
            <w:r>
              <w:rPr/>
              <w:t xml:space="preserve"> BI Operators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Interface – Dynamic Report – Views 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10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Data Integration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98"/>
        <w:gridCol w:w="2696"/>
        <w:gridCol w:w="2704"/>
        <w:gridCol w:w="2897"/>
      </w:tblGrid>
      <w:tr>
        <w:trPr>
          <w:trHeight w:val="364" w:hRule="atLeast"/>
          <w:cantSplit w:val="false"/>
        </w:trPr>
        <w:tc>
          <w:tcPr>
            <w:tcW w:w="2698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6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897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A"/>
      <w:sz w:val="32"/>
      <w:szCs w:val="24"/>
      <w:lang w:val="en-US" w:eastAsia="ja-JP" w:bidi="ar-SA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A"/>
      <w:sz w:val="26"/>
      <w:szCs w:val="24"/>
      <w:lang w:val="en-US" w:eastAsia="ja-JP" w:bidi="ar-SA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