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61FD" w14:textId="77777777" w:rsidR="00C7252F" w:rsidRDefault="00646FD5">
      <w:pPr>
        <w:spacing w:after="0" w:line="259" w:lineRule="auto"/>
        <w:ind w:left="0" w:right="69" w:firstLine="0"/>
        <w:jc w:val="center"/>
      </w:pPr>
      <w:r>
        <w:rPr>
          <w:sz w:val="64"/>
        </w:rPr>
        <w:t xml:space="preserve">Ben </w:t>
      </w:r>
      <w:r>
        <w:rPr>
          <w:b/>
          <w:color w:val="333333"/>
          <w:sz w:val="64"/>
        </w:rPr>
        <w:t>Krajacich</w:t>
      </w:r>
    </w:p>
    <w:p w14:paraId="762CF0B6" w14:textId="77777777" w:rsidR="00C7252F" w:rsidRDefault="00646FD5">
      <w:pPr>
        <w:spacing w:after="51" w:line="259" w:lineRule="auto"/>
        <w:ind w:left="0" w:right="69" w:firstLine="0"/>
        <w:jc w:val="center"/>
      </w:pPr>
      <w:r>
        <w:rPr>
          <w:color w:val="414141"/>
          <w:sz w:val="15"/>
        </w:rPr>
        <w:t>POST-DOCTORALRESEARCHER</w:t>
      </w:r>
    </w:p>
    <w:p w14:paraId="351B7319" w14:textId="77777777" w:rsidR="00C7252F" w:rsidRDefault="00646FD5">
      <w:pPr>
        <w:spacing w:after="55" w:line="259" w:lineRule="auto"/>
        <w:ind w:left="0" w:right="69" w:firstLine="0"/>
        <w:jc w:val="center"/>
      </w:pPr>
      <w:r>
        <w:rPr>
          <w:i/>
          <w:color w:val="999999"/>
          <w:sz w:val="16"/>
        </w:rPr>
        <w:t>Rockville, MD</w:t>
      </w:r>
    </w:p>
    <w:p w14:paraId="791B5F05" w14:textId="77777777" w:rsidR="00C7252F" w:rsidRDefault="00646FD5">
      <w:pPr>
        <w:tabs>
          <w:tab w:val="center" w:pos="2658"/>
          <w:tab w:val="center" w:pos="4880"/>
          <w:tab w:val="center" w:pos="7026"/>
          <w:tab w:val="center" w:pos="7863"/>
        </w:tabs>
        <w:spacing w:after="420" w:line="259" w:lineRule="auto"/>
        <w:ind w:left="0" w:right="0" w:firstLine="0"/>
        <w:jc w:val="left"/>
      </w:pPr>
      <w:r>
        <w:rPr>
          <w:rFonts w:ascii="Calibri" w:eastAsia="Calibri" w:hAnsi="Calibri" w:cs="Calibri"/>
          <w:color w:val="000000"/>
        </w:rPr>
        <w:tab/>
      </w:r>
      <w:r>
        <w:rPr>
          <w:color w:val="333333"/>
          <w:sz w:val="14"/>
        </w:rPr>
        <w:t> 406 799 8383</w:t>
      </w:r>
      <w:r>
        <w:rPr>
          <w:color w:val="333333"/>
          <w:sz w:val="14"/>
        </w:rPr>
        <w:tab/>
        <w:t xml:space="preserve">| </w:t>
      </w:r>
      <w:r>
        <w:rPr>
          <w:color w:val="333333"/>
          <w:sz w:val="14"/>
        </w:rPr>
        <w:t></w:t>
      </w:r>
      <w:r>
        <w:rPr>
          <w:rFonts w:ascii="Courier New" w:eastAsia="Courier New" w:hAnsi="Courier New" w:cs="Courier New"/>
          <w:color w:val="333333"/>
          <w:sz w:val="14"/>
        </w:rPr>
        <w:t xml:space="preserve">bkrajacich@gmail.com </w:t>
      </w:r>
      <w:r>
        <w:rPr>
          <w:color w:val="333333"/>
          <w:sz w:val="14"/>
        </w:rPr>
        <w:t xml:space="preserve">| </w:t>
      </w:r>
      <w:hyperlink r:id="rId10">
        <w:r>
          <w:rPr>
            <w:color w:val="333333"/>
            <w:sz w:val="14"/>
          </w:rPr>
          <w:t></w:t>
        </w:r>
      </w:hyperlink>
      <w:r>
        <w:rPr>
          <w:color w:val="333333"/>
          <w:sz w:val="14"/>
        </w:rPr>
        <w:t xml:space="preserve"> </w:t>
      </w:r>
      <w:hyperlink r:id="rId11">
        <w:r>
          <w:rPr>
            <w:color w:val="333333"/>
            <w:sz w:val="14"/>
          </w:rPr>
          <w:t>bkraj.netlify.com</w:t>
        </w:r>
      </w:hyperlink>
      <w:r>
        <w:rPr>
          <w:color w:val="333333"/>
          <w:sz w:val="14"/>
        </w:rPr>
        <w:tab/>
        <w:t xml:space="preserve">| </w:t>
      </w:r>
      <w:hyperlink r:id="rId12">
        <w:r>
          <w:rPr>
            <w:color w:val="333333"/>
            <w:sz w:val="14"/>
          </w:rPr>
          <w:t></w:t>
        </w:r>
      </w:hyperlink>
      <w:r>
        <w:rPr>
          <w:color w:val="333333"/>
          <w:sz w:val="14"/>
        </w:rPr>
        <w:t xml:space="preserve"> </w:t>
      </w:r>
      <w:hyperlink r:id="rId13">
        <w:proofErr w:type="spellStart"/>
        <w:r>
          <w:rPr>
            <w:color w:val="333333"/>
            <w:sz w:val="14"/>
          </w:rPr>
          <w:t>benkraj</w:t>
        </w:r>
        <w:proofErr w:type="spellEnd"/>
      </w:hyperlink>
      <w:r>
        <w:rPr>
          <w:color w:val="333333"/>
          <w:sz w:val="14"/>
        </w:rPr>
        <w:tab/>
        <w:t xml:space="preserve">| </w:t>
      </w:r>
      <w:hyperlink r:id="rId14">
        <w:r>
          <w:rPr>
            <w:color w:val="333333"/>
            <w:sz w:val="14"/>
          </w:rPr>
          <w:t></w:t>
        </w:r>
      </w:hyperlink>
      <w:r>
        <w:rPr>
          <w:color w:val="333333"/>
          <w:sz w:val="14"/>
        </w:rPr>
        <w:t xml:space="preserve"> </w:t>
      </w:r>
      <w:hyperlink r:id="rId15">
        <w:proofErr w:type="spellStart"/>
        <w:r>
          <w:rPr>
            <w:color w:val="333333"/>
            <w:sz w:val="14"/>
          </w:rPr>
          <w:t>bkraj</w:t>
        </w:r>
        <w:proofErr w:type="spellEnd"/>
      </w:hyperlink>
    </w:p>
    <w:p w14:paraId="2A1933F6" w14:textId="77777777" w:rsidR="00C7252F" w:rsidRDefault="00646FD5">
      <w:pPr>
        <w:pStyle w:val="Heading1"/>
        <w:ind w:left="-5"/>
      </w:pPr>
      <w:r>
        <w:rPr>
          <w:color w:val="414141"/>
        </w:rPr>
        <w:t>Bio</w:t>
      </w:r>
      <w:r>
        <w:t>graphy</w:t>
      </w:r>
      <w:r>
        <w:rPr>
          <w:rFonts w:ascii="Calibri" w:eastAsia="Calibri" w:hAnsi="Calibri" w:cs="Calibri"/>
          <w:noProof/>
          <w:color w:val="000000"/>
          <w:sz w:val="22"/>
        </w:rPr>
        <mc:AlternateContent>
          <mc:Choice Requires="wpg">
            <w:drawing>
              <wp:inline distT="0" distB="0" distL="0" distR="0" wp14:anchorId="3D0D12EF" wp14:editId="399C3F87">
                <wp:extent cx="5579123" cy="11387"/>
                <wp:effectExtent l="0" t="0" r="0" b="0"/>
                <wp:docPr id="3198" name="Group 3198"/>
                <wp:cNvGraphicFramePr/>
                <a:graphic xmlns:a="http://schemas.openxmlformats.org/drawingml/2006/main">
                  <a:graphicData uri="http://schemas.microsoft.com/office/word/2010/wordprocessingGroup">
                    <wpg:wgp>
                      <wpg:cNvGrpSpPr/>
                      <wpg:grpSpPr>
                        <a:xfrm>
                          <a:off x="0" y="0"/>
                          <a:ext cx="5579123" cy="11387"/>
                          <a:chOff x="0" y="0"/>
                          <a:chExt cx="5579123" cy="11387"/>
                        </a:xfrm>
                      </wpg:grpSpPr>
                      <wps:wsp>
                        <wps:cNvPr id="25" name="Shape 25"/>
                        <wps:cNvSpPr/>
                        <wps:spPr>
                          <a:xfrm>
                            <a:off x="0" y="0"/>
                            <a:ext cx="5579123" cy="0"/>
                          </a:xfrm>
                          <a:custGeom>
                            <a:avLst/>
                            <a:gdLst/>
                            <a:ahLst/>
                            <a:cxnLst/>
                            <a:rect l="0" t="0" r="0" b="0"/>
                            <a:pathLst>
                              <a:path w="5579123">
                                <a:moveTo>
                                  <a:pt x="0" y="0"/>
                                </a:moveTo>
                                <a:lnTo>
                                  <a:pt x="5579123"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8" style="width:439.301pt;height:0.8966pt;mso-position-horizontal-relative:char;mso-position-vertical-relative:line" coordsize="55791,113">
                <v:shape id="Shape 25" style="position:absolute;width:55791;height:0;left:0;top:0;" coordsize="5579123,0" path="m0,0l5579123,0">
                  <v:stroke weight="0.8966pt" endcap="flat" joinstyle="miter" miterlimit="10" on="true" color="#5d5d5d"/>
                  <v:fill on="false" color="#000000" opacity="0"/>
                </v:shape>
              </v:group>
            </w:pict>
          </mc:Fallback>
        </mc:AlternateContent>
      </w:r>
    </w:p>
    <w:p w14:paraId="23EB22A2" w14:textId="77777777" w:rsidR="00646FD5" w:rsidRDefault="00646FD5">
      <w:pPr>
        <w:pStyle w:val="Heading1"/>
        <w:ind w:left="-5"/>
        <w:rPr>
          <w:b w:val="0"/>
          <w:color w:val="5D5D5D"/>
          <w:sz w:val="22"/>
        </w:rPr>
      </w:pPr>
      <w:r w:rsidRPr="00646FD5">
        <w:rPr>
          <w:b w:val="0"/>
          <w:color w:val="5D5D5D"/>
          <w:sz w:val="22"/>
        </w:rPr>
        <w:t xml:space="preserve">I am a vector ecologist and microbiologist who is broadly interested in medical entomology that never strays too far from natural systems. I have always had a focus on vector-borne disease, with my post-bac on tick-borne relapsing fever in soft ticks, my </w:t>
      </w:r>
      <w:proofErr w:type="spellStart"/>
      <w:r w:rsidRPr="00646FD5">
        <w:rPr>
          <w:b w:val="0"/>
          <w:color w:val="5D5D5D"/>
          <w:sz w:val="22"/>
        </w:rPr>
        <w:t>phd</w:t>
      </w:r>
      <w:proofErr w:type="spellEnd"/>
      <w:r w:rsidRPr="00646FD5">
        <w:rPr>
          <w:b w:val="0"/>
          <w:color w:val="5D5D5D"/>
          <w:sz w:val="22"/>
        </w:rPr>
        <w:t xml:space="preserve"> work was on the development of tools to study the use of ivermectin as a malaria control measure in West Africa (Senegal, Liberia, and Burkina Faso), and my post-doc work focuses on the dry-season persistence mechanisms of Anopheles spp. mosquitoes in Mali. </w:t>
      </w:r>
    </w:p>
    <w:p w14:paraId="0E9C7885" w14:textId="77777777" w:rsidR="00C7252F" w:rsidRDefault="00646FD5">
      <w:pPr>
        <w:pStyle w:val="Heading1"/>
        <w:ind w:left="-5"/>
      </w:pPr>
      <w:r>
        <w:rPr>
          <w:color w:val="414141"/>
        </w:rPr>
        <w:t>Edu</w:t>
      </w:r>
      <w:r>
        <w:t>cation</w:t>
      </w:r>
      <w:r>
        <w:rPr>
          <w:rFonts w:ascii="Calibri" w:eastAsia="Calibri" w:hAnsi="Calibri" w:cs="Calibri"/>
          <w:noProof/>
          <w:color w:val="000000"/>
          <w:sz w:val="22"/>
        </w:rPr>
        <mc:AlternateContent>
          <mc:Choice Requires="wpg">
            <w:drawing>
              <wp:inline distT="0" distB="0" distL="0" distR="0" wp14:anchorId="3A3DFCAE" wp14:editId="7713627E">
                <wp:extent cx="5599570" cy="11387"/>
                <wp:effectExtent l="0" t="0" r="0" b="0"/>
                <wp:docPr id="3199" name="Group 3199"/>
                <wp:cNvGraphicFramePr/>
                <a:graphic xmlns:a="http://schemas.openxmlformats.org/drawingml/2006/main">
                  <a:graphicData uri="http://schemas.microsoft.com/office/word/2010/wordprocessingGroup">
                    <wpg:wgp>
                      <wpg:cNvGrpSpPr/>
                      <wpg:grpSpPr>
                        <a:xfrm>
                          <a:off x="0" y="0"/>
                          <a:ext cx="5599570" cy="11387"/>
                          <a:chOff x="0" y="0"/>
                          <a:chExt cx="5599570" cy="11387"/>
                        </a:xfrm>
                      </wpg:grpSpPr>
                      <wps:wsp>
                        <wps:cNvPr id="33" name="Shape 33"/>
                        <wps:cNvSpPr/>
                        <wps:spPr>
                          <a:xfrm>
                            <a:off x="0" y="0"/>
                            <a:ext cx="5599570" cy="0"/>
                          </a:xfrm>
                          <a:custGeom>
                            <a:avLst/>
                            <a:gdLst/>
                            <a:ahLst/>
                            <a:cxnLst/>
                            <a:rect l="0" t="0" r="0" b="0"/>
                            <a:pathLst>
                              <a:path w="5599570">
                                <a:moveTo>
                                  <a:pt x="0" y="0"/>
                                </a:moveTo>
                                <a:lnTo>
                                  <a:pt x="5599570"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9" style="width:440.911pt;height:0.8966pt;mso-position-horizontal-relative:char;mso-position-vertical-relative:line" coordsize="55995,113">
                <v:shape id="Shape 33" style="position:absolute;width:55995;height:0;left:0;top:0;" coordsize="5599570,0" path="m0,0l5599570,0">
                  <v:stroke weight="0.8966pt" endcap="flat" joinstyle="miter" miterlimit="10" on="true" color="#5d5d5d"/>
                  <v:fill on="false" color="#000000" opacity="0"/>
                </v:shape>
              </v:group>
            </w:pict>
          </mc:Fallback>
        </mc:AlternateContent>
      </w:r>
    </w:p>
    <w:tbl>
      <w:tblPr>
        <w:tblStyle w:val="TableGrid"/>
        <w:tblW w:w="10318" w:type="dxa"/>
        <w:tblInd w:w="0" w:type="dxa"/>
        <w:tblCellMar>
          <w:top w:w="0" w:type="dxa"/>
          <w:left w:w="0" w:type="dxa"/>
          <w:bottom w:w="0" w:type="dxa"/>
          <w:right w:w="0" w:type="dxa"/>
        </w:tblCellMar>
        <w:tblLook w:val="04A0" w:firstRow="1" w:lastRow="0" w:firstColumn="1" w:lastColumn="0" w:noHBand="0" w:noVBand="1"/>
      </w:tblPr>
      <w:tblGrid>
        <w:gridCol w:w="9258"/>
        <w:gridCol w:w="1060"/>
      </w:tblGrid>
      <w:tr w:rsidR="00C7252F" w14:paraId="09D94A81" w14:textId="77777777">
        <w:trPr>
          <w:trHeight w:val="448"/>
        </w:trPr>
        <w:tc>
          <w:tcPr>
            <w:tcW w:w="9258" w:type="dxa"/>
            <w:tcBorders>
              <w:top w:val="nil"/>
              <w:left w:val="nil"/>
              <w:bottom w:val="nil"/>
              <w:right w:val="nil"/>
            </w:tcBorders>
          </w:tcPr>
          <w:p w14:paraId="23C84DBA" w14:textId="77777777" w:rsidR="00C7252F" w:rsidRDefault="00646FD5">
            <w:pPr>
              <w:spacing w:after="22" w:line="259" w:lineRule="auto"/>
              <w:ind w:left="0" w:right="0" w:firstLine="0"/>
              <w:jc w:val="left"/>
            </w:pPr>
            <w:r>
              <w:rPr>
                <w:b/>
                <w:color w:val="414141"/>
                <w:sz w:val="20"/>
              </w:rPr>
              <w:t>Colorado State University</w:t>
            </w:r>
          </w:p>
          <w:p w14:paraId="565A9004" w14:textId="77777777" w:rsidR="00C7252F" w:rsidRDefault="00646FD5">
            <w:pPr>
              <w:spacing w:after="0" w:line="259" w:lineRule="auto"/>
              <w:ind w:left="0" w:right="0" w:firstLine="0"/>
              <w:jc w:val="left"/>
            </w:pPr>
            <w:r>
              <w:rPr>
                <w:sz w:val="16"/>
              </w:rPr>
              <w:t>PH.D. - ADVISOR: DR. BRIAN D. FOY - TOOLS AND TECHNIQUES FOR THE STUDY AND EVALUATION OF MALARIA CONTROL</w:t>
            </w:r>
          </w:p>
        </w:tc>
        <w:tc>
          <w:tcPr>
            <w:tcW w:w="1060" w:type="dxa"/>
            <w:tcBorders>
              <w:top w:val="nil"/>
              <w:left w:val="nil"/>
              <w:bottom w:val="nil"/>
              <w:right w:val="nil"/>
            </w:tcBorders>
          </w:tcPr>
          <w:p w14:paraId="6B53D32D" w14:textId="77777777" w:rsidR="00C7252F" w:rsidRDefault="00646FD5">
            <w:pPr>
              <w:spacing w:after="0" w:line="259" w:lineRule="auto"/>
              <w:ind w:left="0" w:right="0" w:firstLine="0"/>
            </w:pPr>
            <w:r>
              <w:rPr>
                <w:i/>
                <w:color w:val="414141"/>
                <w:sz w:val="18"/>
              </w:rPr>
              <w:t>Fort Collins, CO</w:t>
            </w:r>
          </w:p>
        </w:tc>
      </w:tr>
      <w:tr w:rsidR="00C7252F" w14:paraId="63E91A16" w14:textId="77777777">
        <w:trPr>
          <w:trHeight w:val="469"/>
        </w:trPr>
        <w:tc>
          <w:tcPr>
            <w:tcW w:w="9258" w:type="dxa"/>
            <w:tcBorders>
              <w:top w:val="nil"/>
              <w:left w:val="nil"/>
              <w:bottom w:val="nil"/>
              <w:right w:val="nil"/>
            </w:tcBorders>
            <w:vAlign w:val="center"/>
          </w:tcPr>
          <w:p w14:paraId="700BF2BA" w14:textId="77777777" w:rsidR="00C7252F" w:rsidRDefault="00646FD5">
            <w:pPr>
              <w:spacing w:after="0" w:line="259" w:lineRule="auto"/>
              <w:ind w:left="0" w:right="0" w:firstLine="0"/>
              <w:jc w:val="left"/>
            </w:pPr>
            <w:r>
              <w:rPr>
                <w:sz w:val="16"/>
              </w:rPr>
              <w:t>MEASURES IN WEST AFRICA</w:t>
            </w:r>
          </w:p>
        </w:tc>
        <w:tc>
          <w:tcPr>
            <w:tcW w:w="1060" w:type="dxa"/>
            <w:tcBorders>
              <w:top w:val="nil"/>
              <w:left w:val="nil"/>
              <w:bottom w:val="nil"/>
              <w:right w:val="nil"/>
            </w:tcBorders>
          </w:tcPr>
          <w:p w14:paraId="156BCECC" w14:textId="77777777" w:rsidR="00C7252F" w:rsidRDefault="00646FD5">
            <w:pPr>
              <w:spacing w:after="0" w:line="259" w:lineRule="auto"/>
              <w:ind w:left="0" w:right="0" w:firstLine="0"/>
              <w:jc w:val="right"/>
            </w:pPr>
            <w:r>
              <w:rPr>
                <w:i/>
                <w:sz w:val="16"/>
              </w:rPr>
              <w:t>2011-2016</w:t>
            </w:r>
          </w:p>
        </w:tc>
      </w:tr>
      <w:tr w:rsidR="00C7252F" w14:paraId="44EC663E" w14:textId="77777777">
        <w:trPr>
          <w:trHeight w:val="635"/>
        </w:trPr>
        <w:tc>
          <w:tcPr>
            <w:tcW w:w="9258" w:type="dxa"/>
            <w:tcBorders>
              <w:top w:val="nil"/>
              <w:left w:val="nil"/>
              <w:bottom w:val="nil"/>
              <w:right w:val="nil"/>
            </w:tcBorders>
            <w:vAlign w:val="bottom"/>
          </w:tcPr>
          <w:p w14:paraId="009A9DC1" w14:textId="77777777" w:rsidR="00C7252F" w:rsidRDefault="00646FD5">
            <w:pPr>
              <w:spacing w:after="22" w:line="259" w:lineRule="auto"/>
              <w:ind w:left="0" w:right="0" w:firstLine="0"/>
              <w:jc w:val="left"/>
            </w:pPr>
            <w:r>
              <w:rPr>
                <w:b/>
                <w:color w:val="414141"/>
                <w:sz w:val="20"/>
              </w:rPr>
              <w:t>Montana State University</w:t>
            </w:r>
          </w:p>
          <w:p w14:paraId="46A2ADD5" w14:textId="77777777" w:rsidR="00C7252F" w:rsidRDefault="00646FD5">
            <w:pPr>
              <w:spacing w:after="0" w:line="259" w:lineRule="auto"/>
              <w:ind w:left="0" w:right="0" w:firstLine="0"/>
              <w:jc w:val="left"/>
            </w:pPr>
            <w:r>
              <w:rPr>
                <w:sz w:val="16"/>
              </w:rPr>
              <w:t>BS - ADVISOR: DR. EDWARD DRATZ - SEEKING A NOVEL SCREEN FOR HUMAN DISEASE: A FOUNDATION FOR CHARACTERIZATION</w:t>
            </w:r>
          </w:p>
        </w:tc>
        <w:tc>
          <w:tcPr>
            <w:tcW w:w="1060" w:type="dxa"/>
            <w:tcBorders>
              <w:top w:val="nil"/>
              <w:left w:val="nil"/>
              <w:bottom w:val="nil"/>
              <w:right w:val="nil"/>
            </w:tcBorders>
            <w:vAlign w:val="center"/>
          </w:tcPr>
          <w:p w14:paraId="69F3B179" w14:textId="77777777" w:rsidR="00C7252F" w:rsidRDefault="00646FD5">
            <w:pPr>
              <w:spacing w:after="0" w:line="259" w:lineRule="auto"/>
              <w:ind w:left="107" w:right="0" w:firstLine="0"/>
              <w:jc w:val="left"/>
            </w:pPr>
            <w:r>
              <w:rPr>
                <w:i/>
                <w:color w:val="414141"/>
                <w:sz w:val="18"/>
              </w:rPr>
              <w:t>Bozeman, MT</w:t>
            </w:r>
          </w:p>
        </w:tc>
      </w:tr>
      <w:tr w:rsidR="00C7252F" w14:paraId="42F07156" w14:textId="77777777">
        <w:trPr>
          <w:trHeight w:val="1384"/>
        </w:trPr>
        <w:tc>
          <w:tcPr>
            <w:tcW w:w="9258" w:type="dxa"/>
            <w:tcBorders>
              <w:top w:val="nil"/>
              <w:left w:val="nil"/>
              <w:bottom w:val="nil"/>
              <w:right w:val="nil"/>
            </w:tcBorders>
            <w:vAlign w:val="center"/>
          </w:tcPr>
          <w:p w14:paraId="3C1B38F5" w14:textId="77777777" w:rsidR="00C7252F" w:rsidRDefault="00646FD5">
            <w:pPr>
              <w:spacing w:after="702" w:line="259" w:lineRule="auto"/>
              <w:ind w:left="0" w:right="0" w:firstLine="0"/>
              <w:jc w:val="left"/>
            </w:pPr>
            <w:r>
              <w:rPr>
                <w:sz w:val="16"/>
              </w:rPr>
              <w:t>OF ALBUMIN-BOUND LIPIDS AND OTHER COMPOUNDS IN HUMAN BLOOD PLASMA</w:t>
            </w:r>
          </w:p>
          <w:p w14:paraId="7B64E013" w14:textId="77777777" w:rsidR="00C7252F" w:rsidRDefault="00646FD5">
            <w:pPr>
              <w:spacing w:after="0" w:line="259" w:lineRule="auto"/>
              <w:ind w:left="0" w:right="-1017" w:firstLine="0"/>
              <w:jc w:val="left"/>
            </w:pPr>
            <w:r>
              <w:rPr>
                <w:b/>
                <w:color w:val="414141"/>
                <w:sz w:val="32"/>
              </w:rPr>
              <w:t>Emp</w:t>
            </w:r>
            <w:r>
              <w:rPr>
                <w:b/>
                <w:color w:val="333333"/>
                <w:sz w:val="32"/>
              </w:rPr>
              <w:t>loyment</w:t>
            </w:r>
            <w:r>
              <w:rPr>
                <w:rFonts w:ascii="Calibri" w:eastAsia="Calibri" w:hAnsi="Calibri" w:cs="Calibri"/>
                <w:noProof/>
                <w:color w:val="000000"/>
              </w:rPr>
              <mc:AlternateContent>
                <mc:Choice Requires="wpg">
                  <w:drawing>
                    <wp:inline distT="0" distB="0" distL="0" distR="0" wp14:anchorId="3DB68052" wp14:editId="1D65B012">
                      <wp:extent cx="5350371" cy="11387"/>
                      <wp:effectExtent l="0" t="0" r="0" b="0"/>
                      <wp:docPr id="3869" name="Group 3869"/>
                      <wp:cNvGraphicFramePr/>
                      <a:graphic xmlns:a="http://schemas.openxmlformats.org/drawingml/2006/main">
                        <a:graphicData uri="http://schemas.microsoft.com/office/word/2010/wordprocessingGroup">
                          <wpg:wgp>
                            <wpg:cNvGrpSpPr/>
                            <wpg:grpSpPr>
                              <a:xfrm>
                                <a:off x="0" y="0"/>
                                <a:ext cx="5350371" cy="11387"/>
                                <a:chOff x="0" y="0"/>
                                <a:chExt cx="5350371" cy="11387"/>
                              </a:xfrm>
                            </wpg:grpSpPr>
                            <wps:wsp>
                              <wps:cNvPr id="46" name="Shape 46"/>
                              <wps:cNvSpPr/>
                              <wps:spPr>
                                <a:xfrm>
                                  <a:off x="0" y="0"/>
                                  <a:ext cx="5350371" cy="0"/>
                                </a:xfrm>
                                <a:custGeom>
                                  <a:avLst/>
                                  <a:gdLst/>
                                  <a:ahLst/>
                                  <a:cxnLst/>
                                  <a:rect l="0" t="0" r="0" b="0"/>
                                  <a:pathLst>
                                    <a:path w="5350371">
                                      <a:moveTo>
                                        <a:pt x="0" y="0"/>
                                      </a:moveTo>
                                      <a:lnTo>
                                        <a:pt x="535037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69" style="width:421.289pt;height:0.8966pt;mso-position-horizontal-relative:char;mso-position-vertical-relative:line" coordsize="53503,113">
                      <v:shape id="Shape 46" style="position:absolute;width:53503;height:0;left:0;top:0;" coordsize="5350371,0" path="m0,0l5350371,0">
                        <v:stroke weight="0.8966pt" endcap="flat" joinstyle="miter" miterlimit="10" on="true" color="#5d5d5d"/>
                        <v:fill on="false" color="#000000" opacity="0"/>
                      </v:shape>
                    </v:group>
                  </w:pict>
                </mc:Fallback>
              </mc:AlternateContent>
            </w:r>
          </w:p>
        </w:tc>
        <w:tc>
          <w:tcPr>
            <w:tcW w:w="1060" w:type="dxa"/>
            <w:tcBorders>
              <w:top w:val="nil"/>
              <w:left w:val="nil"/>
              <w:bottom w:val="nil"/>
              <w:right w:val="nil"/>
            </w:tcBorders>
          </w:tcPr>
          <w:p w14:paraId="67F52745" w14:textId="77777777" w:rsidR="00C7252F" w:rsidRDefault="00646FD5">
            <w:pPr>
              <w:spacing w:after="0" w:line="259" w:lineRule="auto"/>
              <w:ind w:left="0" w:right="0" w:firstLine="0"/>
              <w:jc w:val="right"/>
            </w:pPr>
            <w:r>
              <w:rPr>
                <w:i/>
                <w:sz w:val="16"/>
              </w:rPr>
              <w:t>2005-2009</w:t>
            </w:r>
          </w:p>
        </w:tc>
      </w:tr>
      <w:tr w:rsidR="00C7252F" w14:paraId="143A4AA4" w14:textId="77777777">
        <w:trPr>
          <w:trHeight w:val="608"/>
        </w:trPr>
        <w:tc>
          <w:tcPr>
            <w:tcW w:w="9258" w:type="dxa"/>
            <w:tcBorders>
              <w:top w:val="nil"/>
              <w:left w:val="nil"/>
              <w:bottom w:val="nil"/>
              <w:right w:val="nil"/>
            </w:tcBorders>
            <w:vAlign w:val="bottom"/>
          </w:tcPr>
          <w:p w14:paraId="1D38BFF8" w14:textId="77777777" w:rsidR="00C7252F" w:rsidRDefault="00646FD5">
            <w:pPr>
              <w:spacing w:after="22" w:line="259" w:lineRule="auto"/>
              <w:ind w:left="0" w:right="0" w:firstLine="0"/>
              <w:jc w:val="left"/>
            </w:pPr>
            <w:r>
              <w:rPr>
                <w:b/>
                <w:color w:val="414141"/>
                <w:sz w:val="20"/>
              </w:rPr>
              <w:t>National Institutes of Health</w:t>
            </w:r>
          </w:p>
          <w:p w14:paraId="25294AC3" w14:textId="77777777" w:rsidR="00C7252F" w:rsidRDefault="00646FD5">
            <w:pPr>
              <w:spacing w:after="0" w:line="259" w:lineRule="auto"/>
              <w:ind w:left="0" w:right="0" w:firstLine="0"/>
              <w:jc w:val="left"/>
            </w:pPr>
            <w:r>
              <w:rPr>
                <w:sz w:val="16"/>
              </w:rPr>
              <w:t>MALARIA RESEARCH PROGRAM POSTDOCTORAL FELLOW - ADVISOR: DR. TOVI LEHMANN - DRY SEASON PERSISTENCE</w:t>
            </w:r>
          </w:p>
        </w:tc>
        <w:tc>
          <w:tcPr>
            <w:tcW w:w="1060" w:type="dxa"/>
            <w:tcBorders>
              <w:top w:val="nil"/>
              <w:left w:val="nil"/>
              <w:bottom w:val="nil"/>
              <w:right w:val="nil"/>
            </w:tcBorders>
            <w:vAlign w:val="center"/>
          </w:tcPr>
          <w:p w14:paraId="3C25E120" w14:textId="77777777" w:rsidR="00C7252F" w:rsidRDefault="00646FD5">
            <w:pPr>
              <w:spacing w:after="0" w:line="259" w:lineRule="auto"/>
              <w:ind w:left="139" w:right="0" w:firstLine="0"/>
              <w:jc w:val="left"/>
            </w:pPr>
            <w:r>
              <w:rPr>
                <w:i/>
                <w:color w:val="414141"/>
                <w:sz w:val="18"/>
              </w:rPr>
              <w:t>Rockville, MD</w:t>
            </w:r>
          </w:p>
        </w:tc>
      </w:tr>
      <w:tr w:rsidR="00C7252F" w14:paraId="7B877F71" w14:textId="77777777">
        <w:trPr>
          <w:trHeight w:val="469"/>
        </w:trPr>
        <w:tc>
          <w:tcPr>
            <w:tcW w:w="9258" w:type="dxa"/>
            <w:tcBorders>
              <w:top w:val="nil"/>
              <w:left w:val="nil"/>
              <w:bottom w:val="nil"/>
              <w:right w:val="nil"/>
            </w:tcBorders>
            <w:vAlign w:val="center"/>
          </w:tcPr>
          <w:p w14:paraId="1B4E2A08" w14:textId="77777777" w:rsidR="00C7252F" w:rsidRDefault="00646FD5">
            <w:pPr>
              <w:spacing w:after="0" w:line="259" w:lineRule="auto"/>
              <w:ind w:left="0" w:right="0" w:firstLine="0"/>
              <w:jc w:val="left"/>
            </w:pPr>
            <w:r>
              <w:rPr>
                <w:sz w:val="16"/>
              </w:rPr>
              <w:t>MECHANISMS OF ANOPHELES COLUZZII IN MALI</w:t>
            </w:r>
          </w:p>
        </w:tc>
        <w:tc>
          <w:tcPr>
            <w:tcW w:w="1060" w:type="dxa"/>
            <w:tcBorders>
              <w:top w:val="nil"/>
              <w:left w:val="nil"/>
              <w:bottom w:val="nil"/>
              <w:right w:val="nil"/>
            </w:tcBorders>
          </w:tcPr>
          <w:p w14:paraId="20AF2E14" w14:textId="77777777" w:rsidR="00C7252F" w:rsidRDefault="00646FD5">
            <w:pPr>
              <w:spacing w:after="0" w:line="259" w:lineRule="auto"/>
              <w:ind w:left="0" w:right="0" w:firstLine="0"/>
              <w:jc w:val="right"/>
            </w:pPr>
            <w:r>
              <w:rPr>
                <w:i/>
                <w:sz w:val="16"/>
              </w:rPr>
              <w:t>2016-Present</w:t>
            </w:r>
          </w:p>
        </w:tc>
      </w:tr>
      <w:tr w:rsidR="00C7252F" w14:paraId="2D96849F" w14:textId="77777777">
        <w:trPr>
          <w:trHeight w:val="436"/>
        </w:trPr>
        <w:tc>
          <w:tcPr>
            <w:tcW w:w="9258" w:type="dxa"/>
            <w:tcBorders>
              <w:top w:val="nil"/>
              <w:left w:val="nil"/>
              <w:bottom w:val="nil"/>
              <w:right w:val="nil"/>
            </w:tcBorders>
            <w:vAlign w:val="bottom"/>
          </w:tcPr>
          <w:p w14:paraId="18310B83" w14:textId="77777777" w:rsidR="00C7252F" w:rsidRDefault="00646FD5">
            <w:pPr>
              <w:spacing w:after="0" w:line="259" w:lineRule="auto"/>
              <w:ind w:left="0" w:right="0" w:firstLine="0"/>
              <w:jc w:val="left"/>
            </w:pPr>
            <w:r>
              <w:rPr>
                <w:b/>
                <w:color w:val="414141"/>
                <w:sz w:val="20"/>
              </w:rPr>
              <w:t>Colorado State University</w:t>
            </w:r>
          </w:p>
        </w:tc>
        <w:tc>
          <w:tcPr>
            <w:tcW w:w="1060" w:type="dxa"/>
            <w:tcBorders>
              <w:top w:val="nil"/>
              <w:left w:val="nil"/>
              <w:bottom w:val="nil"/>
              <w:right w:val="nil"/>
            </w:tcBorders>
            <w:vAlign w:val="bottom"/>
          </w:tcPr>
          <w:p w14:paraId="2C936500" w14:textId="77777777" w:rsidR="00C7252F" w:rsidRDefault="00646FD5">
            <w:pPr>
              <w:spacing w:after="0" w:line="259" w:lineRule="auto"/>
              <w:ind w:left="0" w:right="0" w:firstLine="0"/>
            </w:pPr>
            <w:r>
              <w:rPr>
                <w:i/>
                <w:color w:val="414141"/>
                <w:sz w:val="18"/>
              </w:rPr>
              <w:t>Fort Collins, CO</w:t>
            </w:r>
          </w:p>
        </w:tc>
      </w:tr>
      <w:tr w:rsidR="00C7252F" w14:paraId="480CE8F9" w14:textId="77777777">
        <w:trPr>
          <w:trHeight w:val="397"/>
        </w:trPr>
        <w:tc>
          <w:tcPr>
            <w:tcW w:w="9258" w:type="dxa"/>
            <w:tcBorders>
              <w:top w:val="nil"/>
              <w:left w:val="nil"/>
              <w:bottom w:val="nil"/>
              <w:right w:val="nil"/>
            </w:tcBorders>
          </w:tcPr>
          <w:p w14:paraId="026A9684" w14:textId="77777777" w:rsidR="00C7252F" w:rsidRDefault="00646FD5">
            <w:pPr>
              <w:spacing w:after="0" w:line="259" w:lineRule="auto"/>
              <w:ind w:left="0" w:right="0" w:firstLine="0"/>
              <w:jc w:val="left"/>
            </w:pPr>
            <w:r>
              <w:rPr>
                <w:sz w:val="16"/>
              </w:rPr>
              <w:t>GRADUATE TEACHING ASSISTANT - IMMUNOLOGY LABORATORY, PARASITOLOGY AND VECTOR BIOLOGY</w:t>
            </w:r>
          </w:p>
        </w:tc>
        <w:tc>
          <w:tcPr>
            <w:tcW w:w="1060" w:type="dxa"/>
            <w:tcBorders>
              <w:top w:val="nil"/>
              <w:left w:val="nil"/>
              <w:bottom w:val="nil"/>
              <w:right w:val="nil"/>
            </w:tcBorders>
          </w:tcPr>
          <w:p w14:paraId="4E1CF5C2" w14:textId="77777777" w:rsidR="00C7252F" w:rsidRDefault="00646FD5">
            <w:pPr>
              <w:spacing w:after="0" w:line="259" w:lineRule="auto"/>
              <w:ind w:left="0" w:right="0" w:firstLine="0"/>
              <w:jc w:val="right"/>
            </w:pPr>
            <w:r>
              <w:rPr>
                <w:i/>
                <w:sz w:val="16"/>
              </w:rPr>
              <w:t>2011-2012</w:t>
            </w:r>
          </w:p>
        </w:tc>
      </w:tr>
      <w:tr w:rsidR="00C7252F" w14:paraId="796042B3" w14:textId="77777777">
        <w:trPr>
          <w:trHeight w:val="782"/>
        </w:trPr>
        <w:tc>
          <w:tcPr>
            <w:tcW w:w="9258" w:type="dxa"/>
            <w:tcBorders>
              <w:top w:val="nil"/>
              <w:left w:val="nil"/>
              <w:bottom w:val="nil"/>
              <w:right w:val="nil"/>
            </w:tcBorders>
            <w:vAlign w:val="center"/>
          </w:tcPr>
          <w:p w14:paraId="32526C9A" w14:textId="77777777" w:rsidR="00C7252F" w:rsidRDefault="00646FD5">
            <w:pPr>
              <w:spacing w:after="22" w:line="259" w:lineRule="auto"/>
              <w:ind w:left="0" w:right="0" w:firstLine="0"/>
              <w:jc w:val="left"/>
            </w:pPr>
            <w:r>
              <w:rPr>
                <w:b/>
                <w:color w:val="414141"/>
                <w:sz w:val="20"/>
              </w:rPr>
              <w:t>National Institutes of Health</w:t>
            </w:r>
          </w:p>
          <w:p w14:paraId="1F1D291D" w14:textId="77777777" w:rsidR="00C7252F" w:rsidRDefault="00646FD5">
            <w:pPr>
              <w:spacing w:after="0" w:line="259" w:lineRule="auto"/>
              <w:ind w:left="0" w:right="0" w:firstLine="0"/>
              <w:jc w:val="left"/>
            </w:pPr>
            <w:r>
              <w:rPr>
                <w:sz w:val="16"/>
              </w:rPr>
              <w:t>POST-BACCALAUREATE IRTA - ADVISOR: DR. TOM SCHWAN - DEVELOPMENT OF A VACCINE CANDIDATE AGAINST THE</w:t>
            </w:r>
          </w:p>
        </w:tc>
        <w:tc>
          <w:tcPr>
            <w:tcW w:w="1060" w:type="dxa"/>
            <w:tcBorders>
              <w:top w:val="nil"/>
              <w:left w:val="nil"/>
              <w:bottom w:val="nil"/>
              <w:right w:val="nil"/>
            </w:tcBorders>
            <w:vAlign w:val="bottom"/>
          </w:tcPr>
          <w:p w14:paraId="3CBEF6DB" w14:textId="77777777" w:rsidR="00C7252F" w:rsidRDefault="00646FD5">
            <w:pPr>
              <w:spacing w:after="182" w:line="259" w:lineRule="auto"/>
              <w:ind w:left="119" w:right="0" w:firstLine="0"/>
              <w:jc w:val="left"/>
            </w:pPr>
            <w:r>
              <w:rPr>
                <w:i/>
                <w:color w:val="414141"/>
                <w:sz w:val="18"/>
              </w:rPr>
              <w:t>Hamilton, MT</w:t>
            </w:r>
          </w:p>
          <w:p w14:paraId="051107AE" w14:textId="77777777" w:rsidR="00C7252F" w:rsidRDefault="00646FD5">
            <w:pPr>
              <w:spacing w:after="0" w:line="259" w:lineRule="auto"/>
              <w:ind w:left="0" w:right="0" w:firstLine="0"/>
              <w:jc w:val="right"/>
            </w:pPr>
            <w:r>
              <w:rPr>
                <w:i/>
                <w:sz w:val="16"/>
              </w:rPr>
              <w:t>2009-2011</w:t>
            </w:r>
          </w:p>
        </w:tc>
      </w:tr>
    </w:tbl>
    <w:p w14:paraId="7CEBB879" w14:textId="77777777" w:rsidR="00C7252F" w:rsidRDefault="00646FD5">
      <w:pPr>
        <w:spacing w:after="708" w:line="259" w:lineRule="auto"/>
        <w:ind w:left="0" w:right="0" w:firstLine="0"/>
        <w:jc w:val="left"/>
      </w:pPr>
      <w:r>
        <w:rPr>
          <w:sz w:val="16"/>
        </w:rPr>
        <w:t>TICK-BORNE RELAPSING FEVER AGENT BORRELIA HERMSII</w:t>
      </w:r>
    </w:p>
    <w:p w14:paraId="7A10E613" w14:textId="77777777" w:rsidR="00C7252F" w:rsidRDefault="00646FD5">
      <w:pPr>
        <w:pStyle w:val="Heading1"/>
        <w:ind w:left="-5"/>
      </w:pPr>
      <w:r>
        <w:rPr>
          <w:color w:val="414141"/>
        </w:rPr>
        <w:t>Sum</w:t>
      </w:r>
      <w:r>
        <w:t>mary of Skills</w:t>
      </w:r>
      <w:r>
        <w:rPr>
          <w:rFonts w:ascii="Calibri" w:eastAsia="Calibri" w:hAnsi="Calibri" w:cs="Calibri"/>
          <w:noProof/>
          <w:color w:val="000000"/>
          <w:sz w:val="22"/>
        </w:rPr>
        <mc:AlternateContent>
          <mc:Choice Requires="wpg">
            <w:drawing>
              <wp:inline distT="0" distB="0" distL="0" distR="0" wp14:anchorId="612053B1" wp14:editId="30378D23">
                <wp:extent cx="4881715" cy="11387"/>
                <wp:effectExtent l="0" t="0" r="0" b="0"/>
                <wp:docPr id="3201" name="Group 3201"/>
                <wp:cNvGraphicFramePr/>
                <a:graphic xmlns:a="http://schemas.openxmlformats.org/drawingml/2006/main">
                  <a:graphicData uri="http://schemas.microsoft.com/office/word/2010/wordprocessingGroup">
                    <wpg:wgp>
                      <wpg:cNvGrpSpPr/>
                      <wpg:grpSpPr>
                        <a:xfrm>
                          <a:off x="0" y="0"/>
                          <a:ext cx="4881715" cy="11387"/>
                          <a:chOff x="0" y="0"/>
                          <a:chExt cx="4881715" cy="11387"/>
                        </a:xfrm>
                      </wpg:grpSpPr>
                      <wps:wsp>
                        <wps:cNvPr id="63" name="Shape 63"/>
                        <wps:cNvSpPr/>
                        <wps:spPr>
                          <a:xfrm>
                            <a:off x="0" y="0"/>
                            <a:ext cx="4881715" cy="0"/>
                          </a:xfrm>
                          <a:custGeom>
                            <a:avLst/>
                            <a:gdLst/>
                            <a:ahLst/>
                            <a:cxnLst/>
                            <a:rect l="0" t="0" r="0" b="0"/>
                            <a:pathLst>
                              <a:path w="4881715">
                                <a:moveTo>
                                  <a:pt x="0" y="0"/>
                                </a:moveTo>
                                <a:lnTo>
                                  <a:pt x="4881715"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1" style="width:384.387pt;height:0.8966pt;mso-position-horizontal-relative:char;mso-position-vertical-relative:line" coordsize="48817,113">
                <v:shape id="Shape 63" style="position:absolute;width:48817;height:0;left:0;top:0;" coordsize="4881715,0" path="m0,0l4881715,0">
                  <v:stroke weight="0.8966pt" endcap="flat" joinstyle="miter" miterlimit="10" on="true" color="#5d5d5d"/>
                  <v:fill on="false" color="#000000" opacity="0"/>
                </v:shape>
              </v:group>
            </w:pict>
          </mc:Fallback>
        </mc:AlternateContent>
      </w:r>
    </w:p>
    <w:p w14:paraId="75576B4C" w14:textId="77777777" w:rsidR="00646FD5" w:rsidRDefault="00646FD5" w:rsidP="00646FD5">
      <w:pPr>
        <w:numPr>
          <w:ilvl w:val="0"/>
          <w:numId w:val="1"/>
        </w:numPr>
        <w:ind w:right="112"/>
      </w:pPr>
    </w:p>
    <w:p w14:paraId="35BC4150" w14:textId="77777777" w:rsidR="00646FD5" w:rsidRDefault="00646FD5" w:rsidP="00646FD5">
      <w:pPr>
        <w:numPr>
          <w:ilvl w:val="0"/>
          <w:numId w:val="1"/>
        </w:numPr>
        <w:ind w:right="112"/>
      </w:pPr>
      <w:r>
        <w:t xml:space="preserve">  *</w:t>
      </w:r>
      <w:r>
        <w:tab/>
        <w:t>Domestic and international field experience including work in French and English-speaking West Africa. Involved entomological surveillance (aspiration catches, human landing catch, CDC light traps, larval collection, tick dragging), taxonomic identification, work with human volunteers, analysis and collection of human blood samples, and involvement in clinical trials (Ivermectin MDA as an anti-malarial endectocide).</w:t>
      </w:r>
    </w:p>
    <w:p w14:paraId="122279E6" w14:textId="77777777" w:rsidR="00646FD5" w:rsidRDefault="00646FD5" w:rsidP="00646FD5">
      <w:pPr>
        <w:numPr>
          <w:ilvl w:val="0"/>
          <w:numId w:val="1"/>
        </w:numPr>
        <w:ind w:right="112"/>
      </w:pPr>
      <w:r>
        <w:t xml:space="preserve">  *</w:t>
      </w:r>
      <w:r>
        <w:tab/>
        <w:t>Extensive wet lab experience including PCR, RT-PCR, QT-NASBA, droplet digital PCR, next-generation sequencing, molecular cloning, generation of expression vectors, and generation of transgenic cell lines, including novel assay development for these approaches. Immunological techniques including western blotting, ELISA, immunohistochemistry, and vaccine production.</w:t>
      </w:r>
    </w:p>
    <w:p w14:paraId="4FAB2C3E" w14:textId="77777777" w:rsidR="00646FD5" w:rsidRDefault="00646FD5" w:rsidP="00646FD5">
      <w:pPr>
        <w:numPr>
          <w:ilvl w:val="0"/>
          <w:numId w:val="1"/>
        </w:numPr>
        <w:ind w:right="112"/>
      </w:pPr>
      <w:r>
        <w:t xml:space="preserve">  *</w:t>
      </w:r>
      <w:r>
        <w:tab/>
        <w:t xml:space="preserve">Fluency in R, with extensive experiences in data manipulation/wrangling of complex data sets, GIS/mapping, analysis of next-generation sequencing data sets (16S microbiome/RNA-seq/WGS), machine </w:t>
      </w:r>
      <w:r>
        <w:lastRenderedPageBreak/>
        <w:t>learning, dashboard development for field projects with Shiny/</w:t>
      </w:r>
      <w:proofErr w:type="spellStart"/>
      <w:r>
        <w:t>REDcap</w:t>
      </w:r>
      <w:proofErr w:type="spellEnd"/>
      <w:r>
        <w:t>, extraction of weather data for climatic data.</w:t>
      </w:r>
    </w:p>
    <w:p w14:paraId="74CD2F7F" w14:textId="77777777" w:rsidR="00646FD5" w:rsidRDefault="00646FD5" w:rsidP="00646FD5">
      <w:pPr>
        <w:numPr>
          <w:ilvl w:val="0"/>
          <w:numId w:val="1"/>
        </w:numPr>
        <w:ind w:right="112"/>
      </w:pPr>
      <w:r>
        <w:t xml:space="preserve">  *</w:t>
      </w:r>
      <w:r>
        <w:tab/>
        <w:t>Insect vector husbandry (rearing, maintenance, feeding experiments) including *</w:t>
      </w:r>
      <w:proofErr w:type="spellStart"/>
      <w:r>
        <w:t>Ornithodoros</w:t>
      </w:r>
      <w:proofErr w:type="spellEnd"/>
      <w:r>
        <w:t>* soft ticks, and *Anopheles*, *Culex*, *Aedes* mosquitoes.</w:t>
      </w:r>
    </w:p>
    <w:p w14:paraId="7EA40754" w14:textId="77777777" w:rsidR="00C7252F" w:rsidRDefault="00646FD5" w:rsidP="00646FD5">
      <w:pPr>
        <w:numPr>
          <w:ilvl w:val="0"/>
          <w:numId w:val="1"/>
        </w:numPr>
        <w:ind w:right="112" w:hanging="175"/>
      </w:pPr>
      <w:r>
        <w:t xml:space="preserve">  *</w:t>
      </w:r>
      <w:r>
        <w:tab/>
        <w:t>Training and experience in the use and handling of experimental laboratory mice, and a variety of wild animals. Experience in the collection of blood samples through various sites for serological testing.</w:t>
      </w:r>
    </w:p>
    <w:p w14:paraId="75BA2CCE" w14:textId="77777777" w:rsidR="00C7252F" w:rsidRDefault="00646FD5">
      <w:pPr>
        <w:pStyle w:val="Heading1"/>
        <w:ind w:left="-5"/>
      </w:pPr>
      <w:r>
        <w:rPr>
          <w:color w:val="414141"/>
        </w:rPr>
        <w:t>Pub</w:t>
      </w:r>
      <w:r>
        <w:t>lications</w:t>
      </w:r>
      <w:r>
        <w:rPr>
          <w:rFonts w:ascii="Calibri" w:eastAsia="Calibri" w:hAnsi="Calibri" w:cs="Calibri"/>
          <w:noProof/>
          <w:color w:val="000000"/>
          <w:sz w:val="22"/>
        </w:rPr>
        <mc:AlternateContent>
          <mc:Choice Requires="wpg">
            <w:drawing>
              <wp:inline distT="0" distB="0" distL="0" distR="0" wp14:anchorId="5E2E3767" wp14:editId="2E105365">
                <wp:extent cx="5384381" cy="11387"/>
                <wp:effectExtent l="0" t="0" r="0" b="0"/>
                <wp:docPr id="3148" name="Group 3148"/>
                <wp:cNvGraphicFramePr/>
                <a:graphic xmlns:a="http://schemas.openxmlformats.org/drawingml/2006/main">
                  <a:graphicData uri="http://schemas.microsoft.com/office/word/2010/wordprocessingGroup">
                    <wpg:wgp>
                      <wpg:cNvGrpSpPr/>
                      <wpg:grpSpPr>
                        <a:xfrm>
                          <a:off x="0" y="0"/>
                          <a:ext cx="5384381" cy="11387"/>
                          <a:chOff x="0" y="0"/>
                          <a:chExt cx="5384381" cy="11387"/>
                        </a:xfrm>
                      </wpg:grpSpPr>
                      <wps:wsp>
                        <wps:cNvPr id="112" name="Shape 112"/>
                        <wps:cNvSpPr/>
                        <wps:spPr>
                          <a:xfrm>
                            <a:off x="0" y="0"/>
                            <a:ext cx="5384381" cy="0"/>
                          </a:xfrm>
                          <a:custGeom>
                            <a:avLst/>
                            <a:gdLst/>
                            <a:ahLst/>
                            <a:cxnLst/>
                            <a:rect l="0" t="0" r="0" b="0"/>
                            <a:pathLst>
                              <a:path w="5384381">
                                <a:moveTo>
                                  <a:pt x="0" y="0"/>
                                </a:moveTo>
                                <a:lnTo>
                                  <a:pt x="538438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8" style="width:423.967pt;height:0.8966pt;mso-position-horizontal-relative:char;mso-position-vertical-relative:line" coordsize="53843,113">
                <v:shape id="Shape 112" style="position:absolute;width:53843;height:0;left:0;top:0;" coordsize="5384381,0" path="m0,0l5384381,0">
                  <v:stroke weight="0.8966pt" endcap="flat" joinstyle="miter" miterlimit="10" on="true" color="#5d5d5d"/>
                  <v:fill on="false" color="#000000" opacity="0"/>
                </v:shape>
              </v:group>
            </w:pict>
          </mc:Fallback>
        </mc:AlternateContent>
      </w:r>
    </w:p>
    <w:p w14:paraId="0255CE74" w14:textId="77777777" w:rsidR="00C7252F" w:rsidRDefault="00646FD5">
      <w:pPr>
        <w:numPr>
          <w:ilvl w:val="0"/>
          <w:numId w:val="2"/>
        </w:numPr>
        <w:ind w:right="112" w:hanging="175"/>
      </w:pPr>
      <w:r>
        <w:t xml:space="preserve">Huestis DL, Dao A, Diallo M, Sanogo ZL, Samake D, Yaro AS, </w:t>
      </w:r>
      <w:proofErr w:type="spellStart"/>
      <w:r>
        <w:t>Ousman</w:t>
      </w:r>
      <w:proofErr w:type="spellEnd"/>
      <w:r>
        <w:t xml:space="preserve"> Y, Linton Y-M, Krishna A, Veru L,</w:t>
      </w:r>
      <w:r>
        <w:t xml:space="preserve"> </w:t>
      </w:r>
      <w:r>
        <w:rPr>
          <w:b/>
        </w:rPr>
        <w:t>Krajacich BJ</w:t>
      </w:r>
      <w:r>
        <w:t xml:space="preserve">, Faiman R, Florio J, Chapman JW, Reynolds DR, </w:t>
      </w:r>
      <w:proofErr w:type="spellStart"/>
      <w:r>
        <w:t>Weetman</w:t>
      </w:r>
      <w:proofErr w:type="spellEnd"/>
      <w:r>
        <w:t xml:space="preserve"> D, Mitchell R, Donnelly MJ, Talamas E, Chamorro L,StrobachEandLehmannT.Windbornelong-distancemigrationofmalariamosquitoesintheSahel. Nature. In press. 2019.</w:t>
      </w:r>
    </w:p>
    <w:p w14:paraId="30DDF61C" w14:textId="77777777" w:rsidR="00C7252F" w:rsidRDefault="00646FD5">
      <w:pPr>
        <w:numPr>
          <w:ilvl w:val="0"/>
          <w:numId w:val="2"/>
        </w:numPr>
        <w:ind w:right="112" w:hanging="175"/>
      </w:pPr>
      <w:r>
        <w:t>Faiman R, Dao A, Yaro AS, Diall</w:t>
      </w:r>
      <w:r>
        <w:t xml:space="preserve">o M, Djibril S, </w:t>
      </w:r>
      <w:proofErr w:type="spellStart"/>
      <w:r>
        <w:t>Sonogo</w:t>
      </w:r>
      <w:proofErr w:type="spellEnd"/>
      <w:r>
        <w:t xml:space="preserve"> ZL, Ousmane Y, Sullivan M, Veru L, </w:t>
      </w:r>
      <w:r>
        <w:rPr>
          <w:b/>
        </w:rPr>
        <w:t>Krajacich BJ</w:t>
      </w:r>
      <w:r>
        <w:t>, Krishna A, Matthews J, France CAM, Hamer G, Hobson KA, Lehmann T. Marking mosquitoes in their natural larval sites using2H-enrichedwater: apromisingapproachfortrackingoverextendedtempo</w:t>
      </w:r>
      <w:r>
        <w:t xml:space="preserve">ralandspatialscales. Methods in Ecology and Evolution. 2019. </w:t>
      </w:r>
      <w:r>
        <w:rPr>
          <w:rFonts w:ascii="Courier New" w:eastAsia="Courier New" w:hAnsi="Courier New" w:cs="Courier New"/>
        </w:rPr>
        <w:t>doi:10.1111/2041-210x.13210</w:t>
      </w:r>
    </w:p>
    <w:p w14:paraId="4E374BF7" w14:textId="77777777" w:rsidR="00C7252F" w:rsidRDefault="00646FD5">
      <w:pPr>
        <w:numPr>
          <w:ilvl w:val="0"/>
          <w:numId w:val="2"/>
        </w:numPr>
        <w:ind w:right="112" w:hanging="175"/>
      </w:pPr>
      <w:r>
        <w:rPr>
          <w:b/>
        </w:rPr>
        <w:t>Krajacich BJ</w:t>
      </w:r>
      <w:r>
        <w:t>, Huestis DL, Dao A, Yaro AS, Diallo M, Krishna A, Xu J, Lehmann T. Investigation of the Seasonal Microbiome of Anopheles coluzzii in Mali. PLOS ONE. 2018.</w:t>
      </w:r>
      <w:r>
        <w:t xml:space="preserve"> 13(3): e0194899</w:t>
      </w:r>
    </w:p>
    <w:p w14:paraId="3A6A31A0" w14:textId="77777777" w:rsidR="00C7252F" w:rsidRDefault="00646FD5">
      <w:pPr>
        <w:numPr>
          <w:ilvl w:val="0"/>
          <w:numId w:val="2"/>
        </w:numPr>
        <w:ind w:right="112" w:hanging="175"/>
      </w:pPr>
      <w:r>
        <w:rPr>
          <w:b/>
        </w:rPr>
        <w:t>Krajacich BJ</w:t>
      </w:r>
      <w:r>
        <w:t xml:space="preserve">, Meyers JI, </w:t>
      </w:r>
      <w:proofErr w:type="spellStart"/>
      <w:r>
        <w:t>Alout</w:t>
      </w:r>
      <w:proofErr w:type="spellEnd"/>
      <w:r>
        <w:t xml:space="preserve"> H, </w:t>
      </w:r>
      <w:proofErr w:type="spellStart"/>
      <w:r>
        <w:t>Dabiré</w:t>
      </w:r>
      <w:proofErr w:type="spellEnd"/>
      <w:r>
        <w:t xml:space="preserve"> KR, Dowell FE, Foy BD. Validation of Near Infrared Spectroscopy for age-grading of wild Anopheles gambiae. Parasites and Vectors. 2017. 10:552</w:t>
      </w:r>
    </w:p>
    <w:p w14:paraId="16FE9A60" w14:textId="77777777" w:rsidR="00C7252F" w:rsidRDefault="00646FD5">
      <w:pPr>
        <w:numPr>
          <w:ilvl w:val="0"/>
          <w:numId w:val="2"/>
        </w:numPr>
        <w:ind w:right="112" w:hanging="175"/>
      </w:pPr>
      <w:proofErr w:type="spellStart"/>
      <w:r>
        <w:t>Fauver</w:t>
      </w:r>
      <w:proofErr w:type="spellEnd"/>
      <w:r>
        <w:t xml:space="preserve">, JR, </w:t>
      </w:r>
      <w:proofErr w:type="spellStart"/>
      <w:r>
        <w:t>Grubaugh</w:t>
      </w:r>
      <w:proofErr w:type="spellEnd"/>
      <w:r>
        <w:t xml:space="preserve"> ND, </w:t>
      </w:r>
      <w:r>
        <w:rPr>
          <w:b/>
        </w:rPr>
        <w:t>Krajacich BJ</w:t>
      </w:r>
      <w:r>
        <w:t xml:space="preserve">, </w:t>
      </w:r>
      <w:proofErr w:type="spellStart"/>
      <w:r>
        <w:t>Weger</w:t>
      </w:r>
      <w:proofErr w:type="spellEnd"/>
      <w:r>
        <w:t xml:space="preserve"> J, </w:t>
      </w:r>
      <w:proofErr w:type="spellStart"/>
      <w:r>
        <w:t>Fakoli</w:t>
      </w:r>
      <w:proofErr w:type="spellEnd"/>
      <w:r>
        <w:t xml:space="preserve"> </w:t>
      </w:r>
      <w:r>
        <w:t xml:space="preserve">LS, </w:t>
      </w:r>
      <w:proofErr w:type="spellStart"/>
      <w:r>
        <w:t>Bolay</w:t>
      </w:r>
      <w:proofErr w:type="spellEnd"/>
      <w:r>
        <w:t xml:space="preserve"> F, </w:t>
      </w:r>
      <w:proofErr w:type="spellStart"/>
      <w:r>
        <w:t>Diclaro</w:t>
      </w:r>
      <w:proofErr w:type="spellEnd"/>
      <w:r>
        <w:t xml:space="preserve"> J, </w:t>
      </w:r>
      <w:proofErr w:type="spellStart"/>
      <w:r>
        <w:t>Dabiré</w:t>
      </w:r>
      <w:proofErr w:type="spellEnd"/>
      <w:r>
        <w:t xml:space="preserve"> KR, Foy BD, </w:t>
      </w:r>
      <w:proofErr w:type="spellStart"/>
      <w:r>
        <w:t>Brackney</w:t>
      </w:r>
      <w:proofErr w:type="spellEnd"/>
      <w:r>
        <w:t xml:space="preserve"> D, </w:t>
      </w:r>
      <w:proofErr w:type="spellStart"/>
      <w:r>
        <w:t>Ebel</w:t>
      </w:r>
      <w:proofErr w:type="spellEnd"/>
      <w:r>
        <w:t xml:space="preserve"> GD, </w:t>
      </w:r>
      <w:proofErr w:type="spellStart"/>
      <w:r>
        <w:t>Stenglein</w:t>
      </w:r>
      <w:proofErr w:type="spellEnd"/>
      <w:r>
        <w:t xml:space="preserve"> M. West African Anopheles gambiae mosquitoes harbor a taxonomically diverse </w:t>
      </w:r>
      <w:proofErr w:type="spellStart"/>
      <w:r>
        <w:t>virome</w:t>
      </w:r>
      <w:proofErr w:type="spellEnd"/>
      <w:r>
        <w:t xml:space="preserve"> including new insect-specific flaviviruses, mononegaviruses, and </w:t>
      </w:r>
      <w:proofErr w:type="spellStart"/>
      <w:r>
        <w:t>totiviruses</w:t>
      </w:r>
      <w:proofErr w:type="spellEnd"/>
      <w:r>
        <w:t>. 2016. 498:288-299</w:t>
      </w:r>
    </w:p>
    <w:p w14:paraId="407500C9" w14:textId="77777777" w:rsidR="00C7252F" w:rsidRDefault="00646FD5">
      <w:pPr>
        <w:numPr>
          <w:ilvl w:val="0"/>
          <w:numId w:val="2"/>
        </w:numPr>
        <w:ind w:right="112" w:hanging="175"/>
      </w:pPr>
      <w:proofErr w:type="spellStart"/>
      <w:r>
        <w:rPr>
          <w:b/>
        </w:rPr>
        <w:t>Kra</w:t>
      </w:r>
      <w:r>
        <w:rPr>
          <w:b/>
        </w:rPr>
        <w:t>jacichBJ</w:t>
      </w:r>
      <w:r>
        <w:t>,LopezJE,RaffelSJ,SchwanTG</w:t>
      </w:r>
      <w:proofErr w:type="spellEnd"/>
      <w:r>
        <w:t xml:space="preserve">.(2015). </w:t>
      </w:r>
      <w:proofErr w:type="spellStart"/>
      <w:r>
        <w:t>Vaccinationwiththevariabletickproteinoftherelapsing</w:t>
      </w:r>
      <w:proofErr w:type="spellEnd"/>
      <w:r>
        <w:t xml:space="preserve"> feverspirocheteBorreliahermsiiprotectsmicefrominfectionbytick-bite. </w:t>
      </w:r>
      <w:proofErr w:type="spellStart"/>
      <w:r>
        <w:t>ParasitesandVectors</w:t>
      </w:r>
      <w:proofErr w:type="spellEnd"/>
      <w:r>
        <w:t xml:space="preserve">. 2015;8(546). </w:t>
      </w:r>
      <w:r>
        <w:rPr>
          <w:rFonts w:ascii="Courier New" w:eastAsia="Courier New" w:hAnsi="Courier New" w:cs="Courier New"/>
        </w:rPr>
        <w:t>doi:10.1186/s13071-015-1170-1</w:t>
      </w:r>
      <w:r>
        <w:t>.</w:t>
      </w:r>
    </w:p>
    <w:p w14:paraId="63ABE36D" w14:textId="77777777" w:rsidR="00C7252F" w:rsidRDefault="00646FD5">
      <w:pPr>
        <w:numPr>
          <w:ilvl w:val="0"/>
          <w:numId w:val="2"/>
        </w:numPr>
        <w:ind w:right="112" w:hanging="175"/>
      </w:pPr>
      <w:proofErr w:type="spellStart"/>
      <w:r>
        <w:t>Grubaugh</w:t>
      </w:r>
      <w:proofErr w:type="spellEnd"/>
      <w:r>
        <w:t xml:space="preserve"> ND, Sharma S, </w:t>
      </w:r>
      <w:r>
        <w:rPr>
          <w:b/>
        </w:rPr>
        <w:t>Kraja</w:t>
      </w:r>
      <w:r>
        <w:rPr>
          <w:b/>
        </w:rPr>
        <w:t>cich BJ</w:t>
      </w:r>
      <w:r>
        <w:t xml:space="preserve">, </w:t>
      </w:r>
      <w:proofErr w:type="spellStart"/>
      <w:r>
        <w:t>Fakoli</w:t>
      </w:r>
      <w:proofErr w:type="spellEnd"/>
      <w:r>
        <w:t xml:space="preserve"> LS, </w:t>
      </w:r>
      <w:proofErr w:type="spellStart"/>
      <w:r>
        <w:t>Bolay</w:t>
      </w:r>
      <w:proofErr w:type="spellEnd"/>
      <w:r>
        <w:t xml:space="preserve"> FK, </w:t>
      </w:r>
      <w:proofErr w:type="spellStart"/>
      <w:r>
        <w:t>DiClaro</w:t>
      </w:r>
      <w:proofErr w:type="spellEnd"/>
      <w:r>
        <w:t xml:space="preserve"> JW, Johnson WE, </w:t>
      </w:r>
      <w:proofErr w:type="spellStart"/>
      <w:r>
        <w:t>Ebel</w:t>
      </w:r>
      <w:proofErr w:type="spellEnd"/>
      <w:r>
        <w:t xml:space="preserve"> GD, Foy BD, </w:t>
      </w:r>
      <w:proofErr w:type="spellStart"/>
      <w:r>
        <w:t>Brackney</w:t>
      </w:r>
      <w:proofErr w:type="spellEnd"/>
      <w:r>
        <w:t xml:space="preserve"> DE. (2015). </w:t>
      </w:r>
      <w:proofErr w:type="spellStart"/>
      <w:r>
        <w:t>Xenosurveillance</w:t>
      </w:r>
      <w:proofErr w:type="spellEnd"/>
      <w:r>
        <w:t xml:space="preserve">: a novel mosquito-based approach for examining the human-pathogen landscape. </w:t>
      </w:r>
      <w:proofErr w:type="spellStart"/>
      <w:r>
        <w:t>PLoS</w:t>
      </w:r>
      <w:proofErr w:type="spellEnd"/>
      <w:r>
        <w:t xml:space="preserve"> </w:t>
      </w:r>
      <w:proofErr w:type="spellStart"/>
      <w:r>
        <w:t>Negl</w:t>
      </w:r>
      <w:proofErr w:type="spellEnd"/>
      <w:r>
        <w:t xml:space="preserve"> Trop Dis. 2015;9(3):e0003628. </w:t>
      </w:r>
      <w:r>
        <w:rPr>
          <w:rFonts w:ascii="Courier New" w:eastAsia="Courier New" w:hAnsi="Courier New" w:cs="Courier New"/>
        </w:rPr>
        <w:t>doi:10.1371/journal.pntd.00036</w:t>
      </w:r>
      <w:r>
        <w:rPr>
          <w:rFonts w:ascii="Courier New" w:eastAsia="Courier New" w:hAnsi="Courier New" w:cs="Courier New"/>
        </w:rPr>
        <w:t>28</w:t>
      </w:r>
      <w:r>
        <w:t>.</w:t>
      </w:r>
    </w:p>
    <w:p w14:paraId="5440C694" w14:textId="77777777" w:rsidR="00C7252F" w:rsidRDefault="00646FD5">
      <w:pPr>
        <w:numPr>
          <w:ilvl w:val="0"/>
          <w:numId w:val="2"/>
        </w:numPr>
        <w:ind w:right="112" w:hanging="175"/>
      </w:pPr>
      <w:r>
        <w:rPr>
          <w:b/>
        </w:rPr>
        <w:t>KrajacichBJ</w:t>
      </w:r>
      <w:r>
        <w:t xml:space="preserve">,SladeJR,MulliganRF,LaBrecqueB,AloutH,GrubaughND,MeyersJI,FakoliLS,BolayFK,BrackneyDE,BurtonTA.,SeamanJA.,DiclaroJW,DabireRK,FoyBD.(2015). </w:t>
      </w:r>
      <w:proofErr w:type="spellStart"/>
      <w:r>
        <w:t>SamplingHost-SeekingAnthropophilic</w:t>
      </w:r>
      <w:proofErr w:type="spellEnd"/>
      <w:r>
        <w:t xml:space="preserve"> Mosquito Vectors in West Africa: Comparisons of an Active Human-Bai</w:t>
      </w:r>
      <w:r>
        <w:t xml:space="preserve">ted Tent-Trap Against Gold Standard Methods. Am J Trop Med </w:t>
      </w:r>
      <w:proofErr w:type="spellStart"/>
      <w:r>
        <w:t>Hyg</w:t>
      </w:r>
      <w:proofErr w:type="spellEnd"/>
      <w:r>
        <w:t xml:space="preserve">. 2015;92(2):415–421. </w:t>
      </w:r>
      <w:r>
        <w:rPr>
          <w:rFonts w:ascii="Courier New" w:eastAsia="Courier New" w:hAnsi="Courier New" w:cs="Courier New"/>
        </w:rPr>
        <w:t>doi:10.4269/ajtmh.14-0303</w:t>
      </w:r>
      <w:r>
        <w:t>.</w:t>
      </w:r>
    </w:p>
    <w:p w14:paraId="540F10E1" w14:textId="77777777" w:rsidR="00C7252F" w:rsidRDefault="00646FD5">
      <w:pPr>
        <w:numPr>
          <w:ilvl w:val="0"/>
          <w:numId w:val="2"/>
        </w:numPr>
        <w:ind w:right="112" w:hanging="175"/>
      </w:pPr>
      <w:r>
        <w:rPr>
          <w:b/>
        </w:rPr>
        <w:t>Krajacich BJ</w:t>
      </w:r>
      <w:r>
        <w:t xml:space="preserve">, Slade J.R., Mulligan R.F., </w:t>
      </w:r>
      <w:proofErr w:type="spellStart"/>
      <w:r>
        <w:t>LaBrecque</w:t>
      </w:r>
      <w:proofErr w:type="spellEnd"/>
      <w:r>
        <w:t xml:space="preserve"> B., </w:t>
      </w:r>
      <w:proofErr w:type="spellStart"/>
      <w:r>
        <w:t>Kobylinski</w:t>
      </w:r>
      <w:proofErr w:type="spellEnd"/>
      <w:r>
        <w:t xml:space="preserve"> K.C., Gray M., Kuklinski W.S., Burton T.A., Seaman J.A., Sylla M., Foy B.D. (20</w:t>
      </w:r>
      <w:r>
        <w:t>14). Design and Testing of a Novel, Protective Human-Baited Tent Trap for the Collection of Anthropophilic Disease Vectors. Journal of Medical Entomology. 51(1):253-263.</w:t>
      </w:r>
    </w:p>
    <w:p w14:paraId="61075DE7" w14:textId="77777777" w:rsidR="00C7252F" w:rsidRDefault="00646FD5">
      <w:pPr>
        <w:numPr>
          <w:ilvl w:val="0"/>
          <w:numId w:val="2"/>
        </w:numPr>
        <w:spacing w:after="327"/>
        <w:ind w:right="112" w:hanging="175"/>
      </w:pPr>
      <w:proofErr w:type="spellStart"/>
      <w:r>
        <w:t>LopezJ.E</w:t>
      </w:r>
      <w:proofErr w:type="spellEnd"/>
      <w:r>
        <w:t xml:space="preserve">., </w:t>
      </w:r>
      <w:proofErr w:type="spellStart"/>
      <w:r>
        <w:t>McCoyB.N,</w:t>
      </w:r>
      <w:r>
        <w:rPr>
          <w:b/>
        </w:rPr>
        <w:t>KrajacichBJ</w:t>
      </w:r>
      <w:r>
        <w:t>,SchwanT.G</w:t>
      </w:r>
      <w:proofErr w:type="spellEnd"/>
      <w:r>
        <w:t xml:space="preserve">.(2011). </w:t>
      </w:r>
      <w:proofErr w:type="spellStart"/>
      <w:r>
        <w:t>Acquisitionandsubsequenttransmission</w:t>
      </w:r>
      <w:r>
        <w:t>ofBorrelia</w:t>
      </w:r>
      <w:proofErr w:type="spellEnd"/>
      <w:r>
        <w:t xml:space="preserve"> </w:t>
      </w:r>
      <w:proofErr w:type="spellStart"/>
      <w:r>
        <w:t>hermsii</w:t>
      </w:r>
      <w:proofErr w:type="spellEnd"/>
      <w:r>
        <w:t xml:space="preserve"> by the soft tick, </w:t>
      </w:r>
      <w:proofErr w:type="spellStart"/>
      <w:r>
        <w:t>Ornithodoros</w:t>
      </w:r>
      <w:proofErr w:type="spellEnd"/>
      <w:r>
        <w:t xml:space="preserve"> </w:t>
      </w:r>
      <w:proofErr w:type="spellStart"/>
      <w:r>
        <w:t>hermsi</w:t>
      </w:r>
      <w:proofErr w:type="spellEnd"/>
      <w:r>
        <w:t>. Journal of Medical Entomology. 48(4):891-895.</w:t>
      </w:r>
    </w:p>
    <w:p w14:paraId="72AA62C6" w14:textId="77777777" w:rsidR="00C7252F" w:rsidRDefault="00646FD5">
      <w:pPr>
        <w:pStyle w:val="Heading1"/>
        <w:ind w:left="-5"/>
      </w:pPr>
      <w:r>
        <w:rPr>
          <w:color w:val="414141"/>
        </w:rPr>
        <w:t>Pre</w:t>
      </w:r>
      <w:r>
        <w:t>sentations</w:t>
      </w:r>
      <w:r>
        <w:rPr>
          <w:rFonts w:ascii="Calibri" w:eastAsia="Calibri" w:hAnsi="Calibri" w:cs="Calibri"/>
          <w:noProof/>
          <w:color w:val="000000"/>
          <w:sz w:val="22"/>
        </w:rPr>
        <mc:AlternateContent>
          <mc:Choice Requires="wpg">
            <w:drawing>
              <wp:inline distT="0" distB="0" distL="0" distR="0" wp14:anchorId="435C0F86" wp14:editId="3DCC6C9C">
                <wp:extent cx="5254409" cy="11387"/>
                <wp:effectExtent l="0" t="0" r="0" b="0"/>
                <wp:docPr id="3149" name="Group 3149"/>
                <wp:cNvGraphicFramePr/>
                <a:graphic xmlns:a="http://schemas.openxmlformats.org/drawingml/2006/main">
                  <a:graphicData uri="http://schemas.microsoft.com/office/word/2010/wordprocessingGroup">
                    <wpg:wgp>
                      <wpg:cNvGrpSpPr/>
                      <wpg:grpSpPr>
                        <a:xfrm>
                          <a:off x="0" y="0"/>
                          <a:ext cx="5254409" cy="11387"/>
                          <a:chOff x="0" y="0"/>
                          <a:chExt cx="5254409" cy="11387"/>
                        </a:xfrm>
                      </wpg:grpSpPr>
                      <wps:wsp>
                        <wps:cNvPr id="176" name="Shape 176"/>
                        <wps:cNvSpPr/>
                        <wps:spPr>
                          <a:xfrm>
                            <a:off x="0" y="0"/>
                            <a:ext cx="5254409" cy="0"/>
                          </a:xfrm>
                          <a:custGeom>
                            <a:avLst/>
                            <a:gdLst/>
                            <a:ahLst/>
                            <a:cxnLst/>
                            <a:rect l="0" t="0" r="0" b="0"/>
                            <a:pathLst>
                              <a:path w="5254409">
                                <a:moveTo>
                                  <a:pt x="0" y="0"/>
                                </a:moveTo>
                                <a:lnTo>
                                  <a:pt x="525440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9" style="width:413.733pt;height:0.8966pt;mso-position-horizontal-relative:char;mso-position-vertical-relative:line" coordsize="52544,113">
                <v:shape id="Shape 176" style="position:absolute;width:52544;height:0;left:0;top:0;" coordsize="5254409,0" path="m0,0l5254409,0">
                  <v:stroke weight="0.8966pt" endcap="flat" joinstyle="miter" miterlimit="10" on="true" color="#5d5d5d"/>
                  <v:fill on="false" color="#000000" opacity="0"/>
                </v:shape>
              </v:group>
            </w:pict>
          </mc:Fallback>
        </mc:AlternateContent>
      </w:r>
    </w:p>
    <w:p w14:paraId="0D9C2970" w14:textId="77777777" w:rsidR="00C7252F" w:rsidRDefault="00646FD5">
      <w:pPr>
        <w:numPr>
          <w:ilvl w:val="0"/>
          <w:numId w:val="3"/>
        </w:numPr>
        <w:ind w:right="112" w:hanging="175"/>
      </w:pPr>
      <w:r>
        <w:rPr>
          <w:b/>
        </w:rPr>
        <w:t>KrajacichBJ</w:t>
      </w:r>
      <w:r>
        <w:t xml:space="preserve">,GraberL,FaimanR,SullivanM,LehmannT.ExtensionoflifespaninAnophelescoluzziimosquitoes by climatic modulation. American Society </w:t>
      </w:r>
      <w:r>
        <w:t>for Tropical Medicine and Hygiene Conference – 2018 – New Orleans, LA – Oral Presentation</w:t>
      </w:r>
    </w:p>
    <w:p w14:paraId="3AEE698E" w14:textId="77777777" w:rsidR="00C7252F" w:rsidRDefault="00646FD5">
      <w:pPr>
        <w:numPr>
          <w:ilvl w:val="0"/>
          <w:numId w:val="3"/>
        </w:numPr>
        <w:ind w:right="112" w:hanging="175"/>
      </w:pPr>
      <w:r>
        <w:rPr>
          <w:b/>
        </w:rPr>
        <w:t>Krajacich BJ</w:t>
      </w:r>
      <w:r>
        <w:t>, Huestis DL, Dao A, Yaro AS, Diallo M, Krishna A, Xu J, Lehmann T. Investigation of the Seasonal Microbiome of Anopheles coluzzii in Mali. Entomological Society of America conference, 2017, Denver, CO.</w:t>
      </w:r>
    </w:p>
    <w:p w14:paraId="67544B71" w14:textId="77777777" w:rsidR="00C7252F" w:rsidRDefault="00646FD5">
      <w:pPr>
        <w:numPr>
          <w:ilvl w:val="0"/>
          <w:numId w:val="3"/>
        </w:numPr>
        <w:ind w:right="112" w:hanging="175"/>
      </w:pPr>
      <w:proofErr w:type="spellStart"/>
      <w:r>
        <w:rPr>
          <w:b/>
        </w:rPr>
        <w:lastRenderedPageBreak/>
        <w:t>KrajacichBJ</w:t>
      </w:r>
      <w:proofErr w:type="spellEnd"/>
      <w:r>
        <w:t xml:space="preserve">, Meyers J.I., </w:t>
      </w:r>
      <w:proofErr w:type="spellStart"/>
      <w:r>
        <w:t>Alout</w:t>
      </w:r>
      <w:proofErr w:type="spellEnd"/>
      <w:r>
        <w:t xml:space="preserve"> H., </w:t>
      </w:r>
      <w:proofErr w:type="spellStart"/>
      <w:r>
        <w:t>Dabiré</w:t>
      </w:r>
      <w:proofErr w:type="spellEnd"/>
      <w:r>
        <w:t xml:space="preserve"> R.K., Dowell F.E., Foy B.D., Validation of Near Infrared Spectroscopy for the age-grading of wild Anopheles gambiae. Oral Presentation at the JHMRI’s “The Future of Malaria Research” conference 2016, Rockville, MD.</w:t>
      </w:r>
    </w:p>
    <w:p w14:paraId="27DF2C9B" w14:textId="77777777" w:rsidR="00C7252F" w:rsidRDefault="00646FD5">
      <w:pPr>
        <w:numPr>
          <w:ilvl w:val="0"/>
          <w:numId w:val="3"/>
        </w:numPr>
        <w:ind w:right="112" w:hanging="175"/>
      </w:pPr>
      <w:r>
        <w:rPr>
          <w:b/>
        </w:rPr>
        <w:t>Krajacich</w:t>
      </w:r>
      <w:r>
        <w:rPr>
          <w:b/>
        </w:rPr>
        <w:t>BJ</w:t>
      </w:r>
      <w:r>
        <w:t>,Molina-CruzA.,Barillas-MuryC.,Foy,B.D.,Useofmosquitobloodmealsasepidemiologicaltools to study malaria transmission. Oral Presentation at 2016 CVMBS Research Day.</w:t>
      </w:r>
    </w:p>
    <w:p w14:paraId="37BF0822" w14:textId="77777777" w:rsidR="00C7252F" w:rsidRDefault="00646FD5">
      <w:pPr>
        <w:numPr>
          <w:ilvl w:val="0"/>
          <w:numId w:val="3"/>
        </w:numPr>
        <w:ind w:right="112" w:hanging="175"/>
      </w:pPr>
      <w:r>
        <w:rPr>
          <w:b/>
        </w:rPr>
        <w:t>KrajacichBJ</w:t>
      </w:r>
      <w:r>
        <w:t>,Molina-CruzA.,GrubaughN.D.,BrackneyD.E.,AloutH.,MeyersJ.I.,FakoliL.S.,BolayF.K.</w:t>
      </w:r>
      <w:r>
        <w:t xml:space="preserve">,DiClaro J.W., </w:t>
      </w:r>
      <w:proofErr w:type="spellStart"/>
      <w:r>
        <w:t>DabiréR.K</w:t>
      </w:r>
      <w:proofErr w:type="spellEnd"/>
      <w:r>
        <w:t>., Barillas-</w:t>
      </w:r>
      <w:proofErr w:type="spellStart"/>
      <w:r>
        <w:t>MuryC</w:t>
      </w:r>
      <w:proofErr w:type="spellEnd"/>
      <w:r>
        <w:t xml:space="preserve">., Foy, B.D., </w:t>
      </w:r>
      <w:proofErr w:type="spellStart"/>
      <w:r>
        <w:t>Developmentandutilizationofmolecularmethodsforthedetection</w:t>
      </w:r>
      <w:proofErr w:type="spellEnd"/>
      <w:r>
        <w:t xml:space="preserve"> of Plasmodium falciparum in mosquito bloodmeals. 2015 Keystone Symposia Meeting – The Arthropod Vector: The Controller of Transmission.</w:t>
      </w:r>
    </w:p>
    <w:p w14:paraId="36A7C151" w14:textId="77777777" w:rsidR="00C7252F" w:rsidRDefault="00646FD5">
      <w:pPr>
        <w:numPr>
          <w:ilvl w:val="0"/>
          <w:numId w:val="3"/>
        </w:numPr>
        <w:ind w:right="112" w:hanging="175"/>
      </w:pPr>
      <w:r>
        <w:rPr>
          <w:b/>
        </w:rPr>
        <w:t>Krajac</w:t>
      </w:r>
      <w:r>
        <w:rPr>
          <w:b/>
        </w:rPr>
        <w:t>ich BJ</w:t>
      </w:r>
      <w:r>
        <w:t xml:space="preserve">, </w:t>
      </w:r>
      <w:proofErr w:type="spellStart"/>
      <w:r>
        <w:t>Grubaugh</w:t>
      </w:r>
      <w:proofErr w:type="spellEnd"/>
      <w:r>
        <w:t xml:space="preserve"> ND, </w:t>
      </w:r>
      <w:proofErr w:type="spellStart"/>
      <w:r>
        <w:t>Brackney</w:t>
      </w:r>
      <w:proofErr w:type="spellEnd"/>
      <w:r>
        <w:t xml:space="preserve"> DE, </w:t>
      </w:r>
      <w:proofErr w:type="spellStart"/>
      <w:r>
        <w:t>Alout</w:t>
      </w:r>
      <w:proofErr w:type="spellEnd"/>
      <w:r>
        <w:t xml:space="preserve"> H, Meyers JI, </w:t>
      </w:r>
      <w:proofErr w:type="spellStart"/>
      <w:r>
        <w:t>Fakoli</w:t>
      </w:r>
      <w:proofErr w:type="spellEnd"/>
      <w:r>
        <w:t xml:space="preserve"> LS, </w:t>
      </w:r>
      <w:proofErr w:type="spellStart"/>
      <w:r>
        <w:t>Bolay</w:t>
      </w:r>
      <w:proofErr w:type="spellEnd"/>
      <w:r>
        <w:t xml:space="preserve"> FK, </w:t>
      </w:r>
      <w:proofErr w:type="spellStart"/>
      <w:r>
        <w:t>DiClaro</w:t>
      </w:r>
      <w:proofErr w:type="spellEnd"/>
      <w:r>
        <w:t xml:space="preserve"> JW, </w:t>
      </w:r>
      <w:proofErr w:type="spellStart"/>
      <w:r>
        <w:t>Dabiré</w:t>
      </w:r>
      <w:proofErr w:type="spellEnd"/>
      <w:r>
        <w:t xml:space="preserve"> RK, Foy BD. Detection of Plasmodium falciparum in the Bloodmeal of Anopheles gambiae using Quantitative Nucleic Acid Sequence Based Amplification (QT-NASBA). Amer</w:t>
      </w:r>
      <w:r>
        <w:t>ican Society for Tropical Medicine and Hygiene 63nd Annual Meeting 2014.</w:t>
      </w:r>
    </w:p>
    <w:p w14:paraId="5CB00668" w14:textId="77777777" w:rsidR="00C7252F" w:rsidRDefault="00646FD5">
      <w:pPr>
        <w:numPr>
          <w:ilvl w:val="0"/>
          <w:numId w:val="3"/>
        </w:numPr>
        <w:ind w:right="112" w:hanging="175"/>
      </w:pPr>
      <w:r>
        <w:rPr>
          <w:b/>
        </w:rPr>
        <w:t>Krajacich BJ</w:t>
      </w:r>
      <w:r>
        <w:t xml:space="preserve">, Slade J.R., Mulligan R.F., </w:t>
      </w:r>
      <w:proofErr w:type="spellStart"/>
      <w:r>
        <w:t>LaBrecque</w:t>
      </w:r>
      <w:proofErr w:type="spellEnd"/>
      <w:r>
        <w:t xml:space="preserve"> B., </w:t>
      </w:r>
      <w:proofErr w:type="spellStart"/>
      <w:r>
        <w:t>Kobylinski</w:t>
      </w:r>
      <w:proofErr w:type="spellEnd"/>
      <w:r>
        <w:t xml:space="preserve"> K.C., Gray M., Sylla M., Burton T.A., Kuklinski W.S., Seaman J.A., </w:t>
      </w:r>
      <w:proofErr w:type="spellStart"/>
      <w:r>
        <w:t>DiClaro</w:t>
      </w:r>
      <w:proofErr w:type="spellEnd"/>
      <w:r>
        <w:t xml:space="preserve"> J.W. II, </w:t>
      </w:r>
      <w:proofErr w:type="spellStart"/>
      <w:r>
        <w:t>Fakoli</w:t>
      </w:r>
      <w:proofErr w:type="spellEnd"/>
      <w:r>
        <w:t xml:space="preserve"> L.S. III, </w:t>
      </w:r>
      <w:proofErr w:type="spellStart"/>
      <w:r>
        <w:t>Dabiré</w:t>
      </w:r>
      <w:proofErr w:type="spellEnd"/>
      <w:r>
        <w:t xml:space="preserve"> R.K., </w:t>
      </w:r>
      <w:proofErr w:type="spellStart"/>
      <w:r>
        <w:t>Bol</w:t>
      </w:r>
      <w:r>
        <w:t>ay</w:t>
      </w:r>
      <w:proofErr w:type="spellEnd"/>
      <w:r>
        <w:t xml:space="preserve"> F.K., Foy B.D. Demonstration and Analysis of a Safe, Novel, Human-baited Tent Trap for the Collection of Anthropophagic Disease Vectors. American Society for Tropical Medicine and Hygiene 62nd Annual Meeting 2013.</w:t>
      </w:r>
    </w:p>
    <w:p w14:paraId="67F2B6A5" w14:textId="77777777" w:rsidR="00C7252F" w:rsidRDefault="00646FD5">
      <w:pPr>
        <w:numPr>
          <w:ilvl w:val="0"/>
          <w:numId w:val="3"/>
        </w:numPr>
        <w:ind w:right="112" w:hanging="175"/>
      </w:pPr>
      <w:r>
        <w:rPr>
          <w:b/>
        </w:rPr>
        <w:t>Krajacich BJ</w:t>
      </w:r>
      <w:r>
        <w:t xml:space="preserve">, Slade J.R., </w:t>
      </w:r>
      <w:proofErr w:type="spellStart"/>
      <w:r>
        <w:t>Kobylinski</w:t>
      </w:r>
      <w:proofErr w:type="spellEnd"/>
      <w:r>
        <w:t xml:space="preserve"> K.</w:t>
      </w:r>
      <w:r>
        <w:t>C., Gray M., Burton T.A., Kuklinski W.S., Seaman J.A., Sylla M., Foy B.D. Demonstration and Analysis of a Safe, Novel, Human-baited Tent Trap for the Collection of Anthropophagic Disease Vectors. 2013 CMB/MCIN/BMB/MIP Spring Poster Symposium.</w:t>
      </w:r>
    </w:p>
    <w:p w14:paraId="6555C33D" w14:textId="77777777" w:rsidR="00C7252F" w:rsidRDefault="00646FD5">
      <w:pPr>
        <w:numPr>
          <w:ilvl w:val="0"/>
          <w:numId w:val="3"/>
        </w:numPr>
        <w:ind w:right="112" w:hanging="175"/>
      </w:pPr>
      <w:r>
        <w:rPr>
          <w:b/>
        </w:rPr>
        <w:t>Krajacich BJ</w:t>
      </w:r>
      <w:r>
        <w:t>,</w:t>
      </w:r>
      <w:r>
        <w:t xml:space="preserve"> Bowden J.N., Gillespie, G.D.,</w:t>
      </w:r>
      <w:proofErr w:type="spellStart"/>
      <w:r>
        <w:t>Dratz</w:t>
      </w:r>
      <w:proofErr w:type="spellEnd"/>
      <w:r>
        <w:t xml:space="preserve">, E.A., Seeking a Novel Screen for Disease: Fluorescence Lifetime Monitoring of Plasma Thermal Denaturation. 2008 MSU Student Research Celebration. </w:t>
      </w:r>
      <w:r>
        <w:rPr>
          <w:b/>
        </w:rPr>
        <w:t>Krajacich BJ</w:t>
      </w:r>
      <w:r>
        <w:t xml:space="preserve">, Slade J.R., </w:t>
      </w:r>
      <w:proofErr w:type="spellStart"/>
      <w:r>
        <w:t>Kobylinski</w:t>
      </w:r>
      <w:proofErr w:type="spellEnd"/>
      <w:r>
        <w:t xml:space="preserve"> K.C., Gray M., Burton T.A., Kuklinsk</w:t>
      </w:r>
      <w:r>
        <w:t>i W.S., Seaman J.A., Sylla M., Foy B.D. Demonstration and Analysis of a Safe, Novel, Human-baited Tent Trap for the Collection of Anthropophagic Disease Vectors. 2013 CVMBS Research Day.</w:t>
      </w:r>
    </w:p>
    <w:p w14:paraId="262FD932" w14:textId="77777777" w:rsidR="00C7252F" w:rsidRDefault="00646FD5">
      <w:pPr>
        <w:numPr>
          <w:ilvl w:val="0"/>
          <w:numId w:val="3"/>
        </w:numPr>
        <w:spacing w:after="299"/>
        <w:ind w:right="112" w:hanging="175"/>
      </w:pPr>
      <w:r>
        <w:rPr>
          <w:b/>
        </w:rPr>
        <w:t>Krajacich BJ</w:t>
      </w:r>
      <w:r>
        <w:t xml:space="preserve">, Bowden J.N., </w:t>
      </w:r>
      <w:proofErr w:type="spellStart"/>
      <w:r>
        <w:t>Dratz</w:t>
      </w:r>
      <w:proofErr w:type="spellEnd"/>
      <w:r>
        <w:t xml:space="preserve">, E.A., 2009. Seeking a Novel Screen </w:t>
      </w:r>
      <w:r>
        <w:t>for Human Disease: A Foundation for CharacterizationofAlbumin-BoundLipidsandOtherCompoundsinHumanBloodPlasma. 2009MSUStudent Research Celebration.</w:t>
      </w:r>
    </w:p>
    <w:p w14:paraId="14AC2B6F" w14:textId="77777777" w:rsidR="00C7252F" w:rsidRDefault="00646FD5">
      <w:pPr>
        <w:pStyle w:val="Heading1"/>
        <w:ind w:left="-5"/>
      </w:pPr>
      <w:r>
        <w:rPr>
          <w:color w:val="414141"/>
        </w:rPr>
        <w:t>Pro</w:t>
      </w:r>
      <w:r>
        <w:t>fessional Memberships</w:t>
      </w:r>
      <w:r>
        <w:rPr>
          <w:rFonts w:ascii="Calibri" w:eastAsia="Calibri" w:hAnsi="Calibri" w:cs="Calibri"/>
          <w:noProof/>
          <w:color w:val="000000"/>
          <w:sz w:val="22"/>
        </w:rPr>
        <mc:AlternateContent>
          <mc:Choice Requires="wpg">
            <w:drawing>
              <wp:inline distT="0" distB="0" distL="0" distR="0" wp14:anchorId="666F69D9" wp14:editId="5B3C871E">
                <wp:extent cx="4146449" cy="11387"/>
                <wp:effectExtent l="0" t="0" r="0" b="0"/>
                <wp:docPr id="3428" name="Group 3428"/>
                <wp:cNvGraphicFramePr/>
                <a:graphic xmlns:a="http://schemas.openxmlformats.org/drawingml/2006/main">
                  <a:graphicData uri="http://schemas.microsoft.com/office/word/2010/wordprocessingGroup">
                    <wpg:wgp>
                      <wpg:cNvGrpSpPr/>
                      <wpg:grpSpPr>
                        <a:xfrm>
                          <a:off x="0" y="0"/>
                          <a:ext cx="4146449" cy="11387"/>
                          <a:chOff x="0" y="0"/>
                          <a:chExt cx="4146449" cy="11387"/>
                        </a:xfrm>
                      </wpg:grpSpPr>
                      <wps:wsp>
                        <wps:cNvPr id="243" name="Shape 243"/>
                        <wps:cNvSpPr/>
                        <wps:spPr>
                          <a:xfrm>
                            <a:off x="0" y="0"/>
                            <a:ext cx="4146449" cy="0"/>
                          </a:xfrm>
                          <a:custGeom>
                            <a:avLst/>
                            <a:gdLst/>
                            <a:ahLst/>
                            <a:cxnLst/>
                            <a:rect l="0" t="0" r="0" b="0"/>
                            <a:pathLst>
                              <a:path w="4146449">
                                <a:moveTo>
                                  <a:pt x="0" y="0"/>
                                </a:moveTo>
                                <a:lnTo>
                                  <a:pt x="41464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8" style="width:326.492pt;height:0.8966pt;mso-position-horizontal-relative:char;mso-position-vertical-relative:line" coordsize="41464,113">
                <v:shape id="Shape 243" style="position:absolute;width:41464;height:0;left:0;top:0;" coordsize="4146449,0" path="m0,0l4146449,0">
                  <v:stroke weight="0.8966pt" endcap="flat" joinstyle="miter" miterlimit="10" on="true" color="#5d5d5d"/>
                  <v:fill on="false" color="#000000" opacity="0"/>
                </v:shape>
              </v:group>
            </w:pict>
          </mc:Fallback>
        </mc:AlternateContent>
      </w:r>
    </w:p>
    <w:p w14:paraId="2C0AF3C1" w14:textId="77777777" w:rsidR="00C7252F" w:rsidRDefault="00646FD5">
      <w:pPr>
        <w:numPr>
          <w:ilvl w:val="0"/>
          <w:numId w:val="4"/>
        </w:numPr>
        <w:ind w:right="112" w:hanging="175"/>
      </w:pPr>
      <w:r>
        <w:t>American Society for Tropical Medicine and Hygiene (ASTMH) – since 2011</w:t>
      </w:r>
    </w:p>
    <w:p w14:paraId="3B35EFF5" w14:textId="77777777" w:rsidR="00C7252F" w:rsidRDefault="00646FD5">
      <w:pPr>
        <w:numPr>
          <w:ilvl w:val="0"/>
          <w:numId w:val="4"/>
        </w:numPr>
        <w:spacing w:after="327"/>
        <w:ind w:right="112" w:hanging="175"/>
      </w:pPr>
      <w:r>
        <w:t>American Co</w:t>
      </w:r>
      <w:r>
        <w:t>mmittee of Medical Entomology (ACME) – since 2011</w:t>
      </w:r>
    </w:p>
    <w:p w14:paraId="1F43505D" w14:textId="77777777" w:rsidR="00C7252F" w:rsidRDefault="00646FD5">
      <w:pPr>
        <w:pStyle w:val="Heading1"/>
        <w:ind w:left="-5"/>
      </w:pPr>
      <w:r>
        <w:rPr>
          <w:color w:val="414141"/>
        </w:rPr>
        <w:t>Com</w:t>
      </w:r>
      <w:r>
        <w:t>munity Outreach and Service</w:t>
      </w:r>
      <w:r>
        <w:rPr>
          <w:rFonts w:ascii="Calibri" w:eastAsia="Calibri" w:hAnsi="Calibri" w:cs="Calibri"/>
          <w:noProof/>
          <w:color w:val="000000"/>
          <w:sz w:val="22"/>
        </w:rPr>
        <mc:AlternateContent>
          <mc:Choice Requires="wpg">
            <w:drawing>
              <wp:inline distT="0" distB="0" distL="0" distR="0" wp14:anchorId="3C186935" wp14:editId="0F88F1E5">
                <wp:extent cx="3505924" cy="11387"/>
                <wp:effectExtent l="0" t="0" r="0" b="0"/>
                <wp:docPr id="3429" name="Group 3429"/>
                <wp:cNvGraphicFramePr/>
                <a:graphic xmlns:a="http://schemas.openxmlformats.org/drawingml/2006/main">
                  <a:graphicData uri="http://schemas.microsoft.com/office/word/2010/wordprocessingGroup">
                    <wpg:wgp>
                      <wpg:cNvGrpSpPr/>
                      <wpg:grpSpPr>
                        <a:xfrm>
                          <a:off x="0" y="0"/>
                          <a:ext cx="3505924" cy="11387"/>
                          <a:chOff x="0" y="0"/>
                          <a:chExt cx="3505924" cy="11387"/>
                        </a:xfrm>
                      </wpg:grpSpPr>
                      <wps:wsp>
                        <wps:cNvPr id="250" name="Shape 250"/>
                        <wps:cNvSpPr/>
                        <wps:spPr>
                          <a:xfrm>
                            <a:off x="0" y="0"/>
                            <a:ext cx="3505924" cy="0"/>
                          </a:xfrm>
                          <a:custGeom>
                            <a:avLst/>
                            <a:gdLst/>
                            <a:ahLst/>
                            <a:cxnLst/>
                            <a:rect l="0" t="0" r="0" b="0"/>
                            <a:pathLst>
                              <a:path w="3505924">
                                <a:moveTo>
                                  <a:pt x="0" y="0"/>
                                </a:moveTo>
                                <a:lnTo>
                                  <a:pt x="3505924"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9" style="width:276.057pt;height:0.8966pt;mso-position-horizontal-relative:char;mso-position-vertical-relative:line" coordsize="35059,113">
                <v:shape id="Shape 250" style="position:absolute;width:35059;height:0;left:0;top:0;" coordsize="3505924,0" path="m0,0l3505924,0">
                  <v:stroke weight="0.8966pt" endcap="flat" joinstyle="miter" miterlimit="10" on="true" color="#5d5d5d"/>
                  <v:fill on="false" color="#000000" opacity="0"/>
                </v:shape>
              </v:group>
            </w:pict>
          </mc:Fallback>
        </mc:AlternateContent>
      </w:r>
    </w:p>
    <w:p w14:paraId="746EC8C3" w14:textId="77777777" w:rsidR="00C7252F" w:rsidRDefault="00646FD5">
      <w:pPr>
        <w:numPr>
          <w:ilvl w:val="0"/>
          <w:numId w:val="5"/>
        </w:numPr>
        <w:ind w:right="112" w:hanging="175"/>
      </w:pPr>
      <w:r>
        <w:rPr>
          <w:b/>
        </w:rPr>
        <w:t>Journal Referee</w:t>
      </w:r>
      <w:r>
        <w:t xml:space="preserve">, Parasites and Vectors, Nature: Scientific Reports, Malaria Journal, </w:t>
      </w:r>
      <w:proofErr w:type="spellStart"/>
      <w:r>
        <w:t>PeerJ</w:t>
      </w:r>
      <w:proofErr w:type="spellEnd"/>
      <w:r>
        <w:t>, PLOS Biology, PLOS ONE</w:t>
      </w:r>
    </w:p>
    <w:p w14:paraId="5918DDE5" w14:textId="77777777" w:rsidR="00C7252F" w:rsidRDefault="00646FD5">
      <w:pPr>
        <w:numPr>
          <w:ilvl w:val="0"/>
          <w:numId w:val="5"/>
        </w:numPr>
        <w:spacing w:after="320"/>
        <w:ind w:right="112" w:hanging="175"/>
      </w:pPr>
      <w:r>
        <w:rPr>
          <w:b/>
        </w:rPr>
        <w:t>Guest Community Scientist</w:t>
      </w:r>
      <w:r>
        <w:t>, HB Woodlawn Secondary Program, A</w:t>
      </w:r>
      <w:r>
        <w:t>rlington, VA</w:t>
      </w:r>
    </w:p>
    <w:p w14:paraId="2A057A2D" w14:textId="77777777" w:rsidR="00C7252F" w:rsidRDefault="00646FD5">
      <w:pPr>
        <w:pStyle w:val="Heading1"/>
        <w:ind w:left="-5"/>
      </w:pPr>
      <w:r>
        <w:rPr>
          <w:color w:val="414141"/>
        </w:rPr>
        <w:t>Awa</w:t>
      </w:r>
      <w:r>
        <w:t>rds and Grants</w:t>
      </w:r>
      <w:r>
        <w:rPr>
          <w:rFonts w:ascii="Calibri" w:eastAsia="Calibri" w:hAnsi="Calibri" w:cs="Calibri"/>
          <w:noProof/>
          <w:color w:val="000000"/>
          <w:sz w:val="22"/>
        </w:rPr>
        <mc:AlternateContent>
          <mc:Choice Requires="wpg">
            <w:drawing>
              <wp:inline distT="0" distB="0" distL="0" distR="0" wp14:anchorId="13B4974A" wp14:editId="121CB519">
                <wp:extent cx="4825035" cy="11387"/>
                <wp:effectExtent l="0" t="0" r="0" b="0"/>
                <wp:docPr id="3430" name="Group 3430"/>
                <wp:cNvGraphicFramePr/>
                <a:graphic xmlns:a="http://schemas.openxmlformats.org/drawingml/2006/main">
                  <a:graphicData uri="http://schemas.microsoft.com/office/word/2010/wordprocessingGroup">
                    <wpg:wgp>
                      <wpg:cNvGrpSpPr/>
                      <wpg:grpSpPr>
                        <a:xfrm>
                          <a:off x="0" y="0"/>
                          <a:ext cx="4825035" cy="11387"/>
                          <a:chOff x="0" y="0"/>
                          <a:chExt cx="4825035" cy="11387"/>
                        </a:xfrm>
                      </wpg:grpSpPr>
                      <wps:wsp>
                        <wps:cNvPr id="260" name="Shape 260"/>
                        <wps:cNvSpPr/>
                        <wps:spPr>
                          <a:xfrm>
                            <a:off x="0" y="0"/>
                            <a:ext cx="4825035" cy="0"/>
                          </a:xfrm>
                          <a:custGeom>
                            <a:avLst/>
                            <a:gdLst/>
                            <a:ahLst/>
                            <a:cxnLst/>
                            <a:rect l="0" t="0" r="0" b="0"/>
                            <a:pathLst>
                              <a:path w="4825035">
                                <a:moveTo>
                                  <a:pt x="0" y="0"/>
                                </a:moveTo>
                                <a:lnTo>
                                  <a:pt x="4825035"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30" style="width:379.924pt;height:0.8966pt;mso-position-horizontal-relative:char;mso-position-vertical-relative:line" coordsize="48250,113">
                <v:shape id="Shape 260" style="position:absolute;width:48250;height:0;left:0;top:0;" coordsize="4825035,0" path="m0,0l4825035,0">
                  <v:stroke weight="0.8966pt" endcap="flat" joinstyle="miter" miterlimit="10" on="true" color="#5d5d5d"/>
                  <v:fill on="false" color="#000000" opacity="0"/>
                </v:shape>
              </v:group>
            </w:pict>
          </mc:Fallback>
        </mc:AlternateContent>
      </w:r>
    </w:p>
    <w:p w14:paraId="2F2CDDFA" w14:textId="77777777" w:rsidR="00646FD5" w:rsidRDefault="00646FD5" w:rsidP="00646FD5">
      <w:pPr>
        <w:numPr>
          <w:ilvl w:val="0"/>
          <w:numId w:val="6"/>
        </w:numPr>
        <w:spacing w:after="8"/>
        <w:ind w:right="112"/>
      </w:pPr>
      <w:r>
        <w:t xml:space="preserve">  * Summer 2018 – Awarded Travel Bursary to attend </w:t>
      </w:r>
      <w:proofErr w:type="spellStart"/>
      <w:r>
        <w:t>Wellcome</w:t>
      </w:r>
      <w:proofErr w:type="spellEnd"/>
      <w:r>
        <w:t xml:space="preserve"> Trust / Sanger Institute Genomic Epidemiology of Malaria conference in </w:t>
      </w:r>
      <w:proofErr w:type="spellStart"/>
      <w:r>
        <w:t>Hinxton</w:t>
      </w:r>
      <w:proofErr w:type="spellEnd"/>
      <w:r>
        <w:t>, UK</w:t>
      </w:r>
    </w:p>
    <w:p w14:paraId="674C7A30" w14:textId="77777777" w:rsidR="00646FD5" w:rsidRDefault="00646FD5" w:rsidP="00646FD5">
      <w:pPr>
        <w:numPr>
          <w:ilvl w:val="0"/>
          <w:numId w:val="6"/>
        </w:numPr>
        <w:spacing w:after="8"/>
        <w:ind w:right="112"/>
      </w:pPr>
      <w:r>
        <w:t xml:space="preserve"> * Supplemental Funding Request – FY2017 – National Institutes of Health  -  “Acquisition of the Thermo-Scientific </w:t>
      </w:r>
      <w:proofErr w:type="spellStart"/>
      <w:r>
        <w:t>KingFisher</w:t>
      </w:r>
      <w:proofErr w:type="spellEnd"/>
      <w:r>
        <w:t xml:space="preserve"> Flex Robot for High throughput DNA/RNA extraction” - $55,312.50</w:t>
      </w:r>
    </w:p>
    <w:p w14:paraId="7BF87061" w14:textId="77777777" w:rsidR="00646FD5" w:rsidRDefault="00646FD5" w:rsidP="00646FD5">
      <w:pPr>
        <w:numPr>
          <w:ilvl w:val="0"/>
          <w:numId w:val="6"/>
        </w:numPr>
        <w:spacing w:after="8"/>
        <w:ind w:right="112"/>
      </w:pPr>
      <w:r>
        <w:t xml:space="preserve"> * Fall 2016-Fall 2019 – Awarded Malaria Research Program Postdoctoral Fellowship</w:t>
      </w:r>
    </w:p>
    <w:p w14:paraId="04FC3D7E" w14:textId="77777777" w:rsidR="00646FD5" w:rsidRDefault="00646FD5" w:rsidP="00646FD5">
      <w:pPr>
        <w:numPr>
          <w:ilvl w:val="0"/>
          <w:numId w:val="6"/>
        </w:numPr>
        <w:spacing w:after="8"/>
        <w:ind w:right="112"/>
      </w:pPr>
      <w:r>
        <w:t xml:space="preserve"> * Fall 2014 – Department of Microbiology, Immunology, and Pathology Travel Grant to attend the American Society for Tropical Medicine and Hygiene annual meeting. </w:t>
      </w:r>
    </w:p>
    <w:p w14:paraId="5BCFAED0" w14:textId="77777777" w:rsidR="00646FD5" w:rsidRDefault="00646FD5" w:rsidP="00646FD5">
      <w:pPr>
        <w:numPr>
          <w:ilvl w:val="0"/>
          <w:numId w:val="6"/>
        </w:numPr>
        <w:spacing w:after="8"/>
        <w:ind w:right="112"/>
      </w:pPr>
      <w:r>
        <w:t xml:space="preserve"> * Fall 2009 – Recipient of National Institutes of Health Post-Baccalaureate Intramural Research Training Award</w:t>
      </w:r>
    </w:p>
    <w:p w14:paraId="49724990" w14:textId="77777777" w:rsidR="00646FD5" w:rsidRDefault="00646FD5" w:rsidP="00646FD5">
      <w:pPr>
        <w:numPr>
          <w:ilvl w:val="0"/>
          <w:numId w:val="6"/>
        </w:numPr>
        <w:spacing w:after="8"/>
        <w:ind w:right="112"/>
      </w:pPr>
      <w:r>
        <w:lastRenderedPageBreak/>
        <w:t xml:space="preserve"> * Fall 2008 – </w:t>
      </w:r>
      <w:proofErr w:type="spellStart"/>
      <w:r>
        <w:t>IdeA</w:t>
      </w:r>
      <w:proofErr w:type="spellEnd"/>
      <w:r>
        <w:t xml:space="preserve"> Network for Biomedical Research Excellence (INBRE) Program Grant</w:t>
      </w:r>
    </w:p>
    <w:p w14:paraId="407CF7A6" w14:textId="77777777" w:rsidR="00646FD5" w:rsidRDefault="00646FD5" w:rsidP="00646FD5">
      <w:pPr>
        <w:numPr>
          <w:ilvl w:val="0"/>
          <w:numId w:val="6"/>
        </w:numPr>
        <w:spacing w:after="8"/>
        <w:ind w:right="112"/>
      </w:pPr>
      <w:r>
        <w:t xml:space="preserve"> * Summer 2008 – Montana State University’s University Scholar’s Program Funding Grant</w:t>
      </w:r>
    </w:p>
    <w:p w14:paraId="15356915" w14:textId="77777777" w:rsidR="00C7252F" w:rsidRDefault="00646FD5" w:rsidP="00646FD5">
      <w:pPr>
        <w:numPr>
          <w:ilvl w:val="0"/>
          <w:numId w:val="6"/>
        </w:numPr>
        <w:spacing w:after="8"/>
        <w:ind w:right="112"/>
      </w:pPr>
      <w:r>
        <w:t xml:space="preserve"> * Spring 2008 – </w:t>
      </w:r>
      <w:proofErr w:type="spellStart"/>
      <w:r>
        <w:t>IdeA</w:t>
      </w:r>
      <w:proofErr w:type="spellEnd"/>
      <w:r>
        <w:t xml:space="preserve"> Network for Biomedical Research Excellence (INBRE) Program Grant</w:t>
      </w:r>
      <w:bookmarkStart w:id="0" w:name="_GoBack"/>
      <w:bookmarkEnd w:id="0"/>
    </w:p>
    <w:sectPr w:rsidR="00C7252F">
      <w:footerReference w:type="even" r:id="rId16"/>
      <w:footerReference w:type="default" r:id="rId17"/>
      <w:footerReference w:type="first" r:id="rId18"/>
      <w:pgSz w:w="11906" w:h="16838"/>
      <w:pgMar w:top="445" w:right="667" w:bottom="1232" w:left="794" w:header="720" w:footer="5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09B3" w14:textId="77777777" w:rsidR="00000000" w:rsidRDefault="00646FD5">
      <w:pPr>
        <w:spacing w:after="0" w:line="240" w:lineRule="auto"/>
      </w:pPr>
      <w:r>
        <w:separator/>
      </w:r>
    </w:p>
  </w:endnote>
  <w:endnote w:type="continuationSeparator" w:id="0">
    <w:p w14:paraId="7731E7A8" w14:textId="77777777" w:rsidR="00000000" w:rsidRDefault="0064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5BF5" w14:textId="77777777" w:rsidR="00C7252F" w:rsidRDefault="00646FD5">
    <w:pPr>
      <w:tabs>
        <w:tab w:val="center" w:pos="5159"/>
        <w:tab w:val="right" w:pos="10445"/>
      </w:tabs>
      <w:spacing w:after="0" w:line="259" w:lineRule="auto"/>
      <w:ind w:left="0" w:right="0" w:firstLine="0"/>
      <w:jc w:val="left"/>
    </w:pPr>
    <w:r>
      <w:rPr>
        <w:color w:val="999999"/>
        <w:sz w:val="16"/>
      </w:rPr>
      <w:t>SEPTEMBER 2019</w:t>
    </w:r>
    <w:r>
      <w:rPr>
        <w:color w:val="999999"/>
        <w:sz w:val="16"/>
      </w:rPr>
      <w:tab/>
      <w:t>BEN KRAJACICH · CURRICULUM VITAE</w:t>
    </w:r>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D76D2" w14:textId="77777777" w:rsidR="00C7252F" w:rsidRDefault="00646FD5">
    <w:pPr>
      <w:tabs>
        <w:tab w:val="center" w:pos="5159"/>
        <w:tab w:val="right" w:pos="10445"/>
      </w:tabs>
      <w:spacing w:after="0" w:line="259" w:lineRule="auto"/>
      <w:ind w:left="0" w:right="0" w:firstLine="0"/>
      <w:jc w:val="left"/>
    </w:pPr>
    <w:r>
      <w:rPr>
        <w:color w:val="999999"/>
        <w:sz w:val="16"/>
      </w:rPr>
      <w:t>SEPTEMBER 2019</w:t>
    </w:r>
    <w:r>
      <w:rPr>
        <w:color w:val="999999"/>
        <w:sz w:val="16"/>
      </w:rPr>
      <w:tab/>
      <w:t>BEN KRAJACICH · CURRICULUM VITAE</w:t>
    </w:r>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0B739" w14:textId="77777777" w:rsidR="00C7252F" w:rsidRDefault="00646FD5">
    <w:pPr>
      <w:tabs>
        <w:tab w:val="center" w:pos="5159"/>
        <w:tab w:val="right" w:pos="10445"/>
      </w:tabs>
      <w:spacing w:after="0" w:line="259" w:lineRule="auto"/>
      <w:ind w:left="0" w:right="0" w:firstLine="0"/>
      <w:jc w:val="left"/>
    </w:pPr>
    <w:r>
      <w:rPr>
        <w:color w:val="999999"/>
        <w:sz w:val="16"/>
      </w:rPr>
      <w:t>SEPTEMBER 2019</w:t>
    </w:r>
    <w:r>
      <w:rPr>
        <w:color w:val="999999"/>
        <w:sz w:val="16"/>
      </w:rPr>
      <w:tab/>
      <w:t>BEN KRAJACICH · CURRICULUM VITAE</w:t>
    </w:r>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90AE4" w14:textId="77777777" w:rsidR="00000000" w:rsidRDefault="00646FD5">
      <w:pPr>
        <w:spacing w:after="0" w:line="240" w:lineRule="auto"/>
      </w:pPr>
      <w:r>
        <w:separator/>
      </w:r>
    </w:p>
  </w:footnote>
  <w:footnote w:type="continuationSeparator" w:id="0">
    <w:p w14:paraId="7D12F299" w14:textId="77777777" w:rsidR="00000000" w:rsidRDefault="00646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3D6"/>
    <w:multiLevelType w:val="hybridMultilevel"/>
    <w:tmpl w:val="B210C2B6"/>
    <w:lvl w:ilvl="0" w:tplc="4DD664B8">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57E206C6">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352E7FEA">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C5A002CE">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D4F43224">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D9ECCA1A">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F3161BBE">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9D1E3002">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4170EA04">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1" w15:restartNumberingAfterBreak="0">
    <w:nsid w:val="1AAC7FA4"/>
    <w:multiLevelType w:val="hybridMultilevel"/>
    <w:tmpl w:val="F378CCB8"/>
    <w:lvl w:ilvl="0" w:tplc="35D472E4">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FCE0D2E6">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7AB6F8E0">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32787D2C">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9F8C7076">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00A89B0E">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E03023E0">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B8A89C3A">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DB665684">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2" w15:restartNumberingAfterBreak="0">
    <w:nsid w:val="20DF355B"/>
    <w:multiLevelType w:val="hybridMultilevel"/>
    <w:tmpl w:val="625AA9E6"/>
    <w:lvl w:ilvl="0" w:tplc="47527A38">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1B866E1A">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40F8005E">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585C1B0C">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0C9CFB6A">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D9F8817E">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3620B8A8">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9E06D798">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8ED63A20">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3" w15:restartNumberingAfterBreak="0">
    <w:nsid w:val="279D6A9B"/>
    <w:multiLevelType w:val="hybridMultilevel"/>
    <w:tmpl w:val="1BFC06A8"/>
    <w:lvl w:ilvl="0" w:tplc="96B061C0">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89F03794">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94783D02">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CEB6A422">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51C4491A">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F03E21D0">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A6A6BC80">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EEC20C8E">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E0966A9C">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4" w15:restartNumberingAfterBreak="0">
    <w:nsid w:val="2EED7CD4"/>
    <w:multiLevelType w:val="hybridMultilevel"/>
    <w:tmpl w:val="24D42A20"/>
    <w:lvl w:ilvl="0" w:tplc="9CAC2308">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5B961F56">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67602D90">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45B45CC0">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C492B2DA">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019E82BA">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A024F7CE">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3CA6FAD8">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F39C2C8A">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5" w15:restartNumberingAfterBreak="0">
    <w:nsid w:val="40DE4FB6"/>
    <w:multiLevelType w:val="hybridMultilevel"/>
    <w:tmpl w:val="65BEB830"/>
    <w:lvl w:ilvl="0" w:tplc="B71A0056">
      <w:start w:val="1"/>
      <w:numFmt w:val="bullet"/>
      <w:lvlText w:val="•"/>
      <w:lvlJc w:val="left"/>
      <w:pPr>
        <w:ind w:left="5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476EA34E">
      <w:start w:val="1"/>
      <w:numFmt w:val="bullet"/>
      <w:lvlText w:val="o"/>
      <w:lvlJc w:val="left"/>
      <w:pPr>
        <w:ind w:left="14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5F1E76DC">
      <w:start w:val="1"/>
      <w:numFmt w:val="bullet"/>
      <w:lvlText w:val="▪"/>
      <w:lvlJc w:val="left"/>
      <w:pPr>
        <w:ind w:left="21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6C627EAA">
      <w:start w:val="1"/>
      <w:numFmt w:val="bullet"/>
      <w:lvlText w:val="•"/>
      <w:lvlJc w:val="left"/>
      <w:pPr>
        <w:ind w:left="28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DD105BAA">
      <w:start w:val="1"/>
      <w:numFmt w:val="bullet"/>
      <w:lvlText w:val="o"/>
      <w:lvlJc w:val="left"/>
      <w:pPr>
        <w:ind w:left="361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E88A8624">
      <w:start w:val="1"/>
      <w:numFmt w:val="bullet"/>
      <w:lvlText w:val="▪"/>
      <w:lvlJc w:val="left"/>
      <w:pPr>
        <w:ind w:left="433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8EA03352">
      <w:start w:val="1"/>
      <w:numFmt w:val="bullet"/>
      <w:lvlText w:val="•"/>
      <w:lvlJc w:val="left"/>
      <w:pPr>
        <w:ind w:left="505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4336F7BE">
      <w:start w:val="1"/>
      <w:numFmt w:val="bullet"/>
      <w:lvlText w:val="o"/>
      <w:lvlJc w:val="left"/>
      <w:pPr>
        <w:ind w:left="577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BD62D88C">
      <w:start w:val="1"/>
      <w:numFmt w:val="bullet"/>
      <w:lvlText w:val="▪"/>
      <w:lvlJc w:val="left"/>
      <w:pPr>
        <w:ind w:left="649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52F"/>
    <w:rsid w:val="00646FD5"/>
    <w:rsid w:val="00C7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E049"/>
  <w15:docId w15:val="{06C9A221-9129-4A89-81C0-A6DF2D6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6" w:line="264" w:lineRule="auto"/>
      <w:ind w:left="185" w:right="127" w:hanging="185"/>
      <w:jc w:val="both"/>
    </w:pPr>
    <w:rPr>
      <w:rFonts w:ascii="Times New Roman" w:eastAsia="Times New Roman" w:hAnsi="Times New Roman" w:cs="Times New Roman"/>
      <w:color w:val="5D5D5D"/>
    </w:rPr>
  </w:style>
  <w:style w:type="paragraph" w:styleId="Heading1">
    <w:name w:val="heading 1"/>
    <w:next w:val="Normal"/>
    <w:link w:val="Heading1Char"/>
    <w:uiPriority w:val="9"/>
    <w:qFormat/>
    <w:pPr>
      <w:keepNext/>
      <w:keepLines/>
      <w:spacing w:after="22"/>
      <w:ind w:left="10" w:hanging="10"/>
      <w:outlineLvl w:val="0"/>
    </w:pPr>
    <w:rPr>
      <w:rFonts w:ascii="Times New Roman" w:eastAsia="Times New Roman" w:hAnsi="Times New Roman" w:cs="Times New Roman"/>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benkraj"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enkraj"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kraj.netlify.com/" TargetMode="External"/><Relationship Id="rId5" Type="http://schemas.openxmlformats.org/officeDocument/2006/relationships/styles" Target="styles.xml"/><Relationship Id="rId15" Type="http://schemas.openxmlformats.org/officeDocument/2006/relationships/hyperlink" Target="https://twitter.com/bkraj" TargetMode="External"/><Relationship Id="rId10" Type="http://schemas.openxmlformats.org/officeDocument/2006/relationships/hyperlink" Target="http://bkraj.netlify.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witter.com/bkr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2" ma:contentTypeDescription="Create a new document." ma:contentTypeScope="" ma:versionID="94df67f4ac1dabe499f458364a2f8a63">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92e8d01812c88b91f913472055279e17"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983AF7D-68B7-41ED-AA0C-5A78F4866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B6F46-EB6C-419C-8E2B-A7A73AD4EBF3}">
  <ds:schemaRefs>
    <ds:schemaRef ds:uri="http://schemas.microsoft.com/sharepoint/v3/contenttype/forms"/>
  </ds:schemaRefs>
</ds:datastoreItem>
</file>

<file path=customXml/itemProps3.xml><?xml version="1.0" encoding="utf-8"?>
<ds:datastoreItem xmlns:ds="http://schemas.openxmlformats.org/officeDocument/2006/customXml" ds:itemID="{EB5AA498-31A7-46C2-B9EF-7EF19CE5AC08}">
  <ds:schemaRefs>
    <ds:schemaRef ds:uri="http://schemas.microsoft.com/office/2006/metadata/properties"/>
    <ds:schemaRef ds:uri="http://purl.org/dc/terms/"/>
    <ds:schemaRef ds:uri="http://schemas.microsoft.com/sharepoint/v3"/>
    <ds:schemaRef ds:uri="http://schemas.microsoft.com/office/2006/documentManagement/types"/>
    <ds:schemaRef ds:uri="0b516ab0-04e4-4c88-99cd-523706b96b1a"/>
    <ds:schemaRef ds:uri="http://www.w3.org/XML/1998/namespace"/>
    <ds:schemaRef ds:uri="http://purl.org/dc/elements/1.1/"/>
    <ds:schemaRef ds:uri="http://schemas.microsoft.com/office/infopath/2007/PartnerControls"/>
    <ds:schemaRef ds:uri="http://schemas.openxmlformats.org/package/2006/metadata/core-properties"/>
    <ds:schemaRef ds:uri="589fc4a7-9825-4918-b2d3-6237c872ffb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Krajacich, Ben (NIH/NIAID) [F]</dc:creator>
  <cp:keywords/>
  <cp:lastModifiedBy>Krajacich, Ben (NIH/NIAID) [F]</cp:lastModifiedBy>
  <cp:revision>2</cp:revision>
  <dcterms:created xsi:type="dcterms:W3CDTF">2019-10-18T18:34:00Z</dcterms:created>
  <dcterms:modified xsi:type="dcterms:W3CDTF">2019-10-18T18:34:00Z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ies>
</file>