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"/>
        <w:gridCol w:w="4680"/>
        <w:gridCol w:w="5112"/>
      </w:tblGrid>
      <w:tr>
        <w:tc>
          <w:tcPr>
            <w:tcW w:type="dxa" w:w="3715"/>
          </w:tcPr>
          <w:p>
            <w:r>
              <w:drawing>
                <wp:inline xmlns:a="http://schemas.openxmlformats.org/drawingml/2006/main" xmlns:pic="http://schemas.openxmlformats.org/drawingml/2006/picture">
                  <wp:extent cx="411480" cy="4114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411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15"/>
          </w:tcPr>
          <w:p>
            <w:r/>
            <w:r>
              <w:rPr>
                <w:rFonts w:ascii="Arial" w:hAnsi="Arial"/>
                <w:b/>
                <w:color w:val="0F1726"/>
                <w:sz w:val="28"/>
              </w:rPr>
              <w:t>LeCrown Development</w:t>
            </w:r>
          </w:p>
          <w:p>
            <w:r>
              <w:rPr>
                <w:rFonts w:ascii="Arial" w:hAnsi="Arial"/>
                <w:b/>
                <w:color w:val="4F5D6B"/>
                <w:sz w:val="15"/>
              </w:rPr>
              <w:t>ENTERPRISE AI • DATA PLATFORMS • CLOUD ENGINEERING</w:t>
            </w:r>
          </w:p>
        </w:tc>
        <w:tc>
          <w:tcPr>
            <w:tcW w:type="dxa" w:w="3715"/>
            <w:vAlign w:val="center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color w:val="4F5D6B"/>
                <w:sz w:val="14"/>
              </w:rPr>
              <w:t>Benjamin LaGrone | Founder &amp; Principal Technology Consultant</w:t>
              <w:br/>
              <w:t>Houston, TX 77024 | (910) 236-9853</w:t>
              <w:br/>
              <w:t>benjamin.lagrone@lecrowndevelopment.com | lecrowndevelopment.com</w:t>
            </w:r>
          </w:p>
        </w:tc>
      </w:tr>
    </w:tbl>
    <w:p>
      <w:pPr>
        <w:jc w:val="center"/>
      </w:pPr>
      <w:r>
        <w:rPr>
          <w:rFonts w:ascii="Arial" w:hAnsi="Arial"/>
          <w:b/>
          <w:color w:val="0F1726"/>
          <w:sz w:val="34"/>
        </w:rPr>
        <w:t>CAPABILITY STATEMENT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146"/>
      </w:tblGrid>
      <w:tr>
        <w:tc>
          <w:tcPr>
            <w:tcW w:type="dxa" w:w="11146"/>
            <w:vAlign w:val="center"/>
            <w:shd w:fill="073C57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CORE COMPETENCIES</w:t>
            </w:r>
          </w:p>
        </w:tc>
      </w:tr>
    </w:tbl>
    <w:p>
      <w:r>
        <w:t>LeCrown Development designs and delivers governed enterprise technology that moves complex initiatives from strategy to secure, measurable operation. Founder-led execution combines architecture, engineering and delivery leadership in one accountable team.</w:t>
      </w:r>
    </w:p>
    <w:p>
      <w:pPr>
        <w:ind w:left="173" w:hanging="144"/>
      </w:pPr>
      <w:r>
        <w:t>• Enterprise data and AI platform architecture, governance, MLOps and knowledge systems</w:t>
      </w:r>
    </w:p>
    <w:p>
      <w:pPr>
        <w:ind w:left="173" w:hanging="144"/>
      </w:pPr>
      <w:r>
        <w:t>• Cloud modernization, platform engineering, DevSecOps, infrastructure as code and FinOps</w:t>
      </w:r>
    </w:p>
    <w:p>
      <w:pPr>
        <w:ind w:left="173" w:hanging="144"/>
      </w:pPr>
      <w:r>
        <w:t>• Custom software, portals, APIs, workflow automation, systems integration and decision support</w:t>
      </w:r>
    </w:p>
    <w:p>
      <w:pPr>
        <w:ind w:left="173" w:hanging="144"/>
      </w:pPr>
      <w:r>
        <w:t>• Technology strategy, solution architecture, program delivery and operating-model design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1146"/>
      </w:tblGrid>
      <w:tr>
        <w:tc>
          <w:tcPr>
            <w:tcW w:type="dxa" w:w="11146"/>
            <w:vAlign w:val="center"/>
            <w:shd w:fill="073C57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COMPANY EXPERIENCE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715"/>
        <w:gridCol w:w="3715"/>
        <w:gridCol w:w="3715"/>
      </w:tblGrid>
      <w:tr>
        <w:tc>
          <w:tcPr>
            <w:tcW w:type="dxa" w:w="3715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Sysco | Enterprise Data &amp; AI Platform Architecture (Key Personnel, 2024-present)</w:t>
              <w:br/>
              <w:t>Designed governed cloud-platform patterns, self-service provisioning, identity and policy controls, reusable delivery capabilities and operating-model guidance for enterprise data and AI teams.</w:t>
            </w:r>
          </w:p>
        </w:tc>
        <w:tc>
          <w:tcPr>
            <w:tcW w:type="dxa" w:w="3715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LeCrown Development | Secure Digital Portals &amp; Automation (2025-present)</w:t>
              <w:br/>
              <w:t>Architected and delivered client portals, authenticated document workflows, intake automation, service integrations and containerized cloud deployments from discovery through production.</w:t>
            </w:r>
          </w:p>
        </w:tc>
        <w:tc>
          <w:tcPr>
            <w:tcW w:type="dxa" w:w="3715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Energy &amp; Industrial Enterprises | Cloud, Data &amp; Application Delivery (Key Personnel)</w:t>
              <w:br/>
              <w:t>Led solution architecture, software delivery, integration and modernization initiatives in asset-intensive, regulated operating environments with globally distributed stakeholders.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46"/>
      </w:tblGrid>
      <w:tr>
        <w:tc>
          <w:tcPr>
            <w:tcW w:type="dxa" w:w="11146"/>
            <w:vAlign w:val="center"/>
            <w:shd w:fill="073C57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DIFFERENTIATORS — DOCUMENTED DELIVERY OUTCOMES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786"/>
        <w:gridCol w:w="2786"/>
        <w:gridCol w:w="2786"/>
        <w:gridCol w:w="2786"/>
      </w:tblGrid>
      <w:tr>
        <w:tc>
          <w:tcPr>
            <w:tcW w:type="dxa" w:w="2786"/>
            <w:vAlign w:val="center"/>
            <w:shd w:fill="EAF5F3"/>
          </w:tcPr>
          <w:p>
            <w:r/>
            <w:r>
              <w:rPr>
                <w:rFonts w:ascii="Arial" w:hAnsi="Arial"/>
                <w:b/>
                <w:color w:val="073C57"/>
                <w:sz w:val="16"/>
              </w:rPr>
              <w:t>50% cycle and cost reduction achieved through automated data-pipeline delivery.</w:t>
            </w:r>
          </w:p>
        </w:tc>
        <w:tc>
          <w:tcPr>
            <w:tcW w:type="dxa" w:w="2786"/>
            <w:vAlign w:val="center"/>
            <w:shd w:fill="EAF5F3"/>
          </w:tcPr>
          <w:p>
            <w:r/>
            <w:r>
              <w:rPr>
                <w:rFonts w:ascii="Arial" w:hAnsi="Arial"/>
                <w:b/>
                <w:color w:val="073C57"/>
                <w:sz w:val="16"/>
              </w:rPr>
              <w:t>$20M+ in program value protected through architecture and quality governance.</w:t>
            </w:r>
          </w:p>
        </w:tc>
        <w:tc>
          <w:tcPr>
            <w:tcW w:type="dxa" w:w="2786"/>
            <w:vAlign w:val="center"/>
            <w:shd w:fill="EAF5F3"/>
          </w:tcPr>
          <w:p>
            <w:r/>
            <w:r>
              <w:rPr>
                <w:rFonts w:ascii="Arial" w:hAnsi="Arial"/>
                <w:b/>
                <w:color w:val="073C57"/>
                <w:sz w:val="16"/>
              </w:rPr>
              <w:t>30% delivery improvement achieved through Agile and DevOps transformation.</w:t>
            </w:r>
          </w:p>
        </w:tc>
        <w:tc>
          <w:tcPr>
            <w:tcW w:type="dxa" w:w="2786"/>
            <w:vAlign w:val="center"/>
            <w:shd w:fill="EAF5F3"/>
          </w:tcPr>
          <w:p>
            <w:r/>
            <w:r>
              <w:rPr>
                <w:rFonts w:ascii="Arial" w:hAnsi="Arial"/>
                <w:b/>
                <w:color w:val="073C57"/>
                <w:sz w:val="16"/>
              </w:rPr>
              <w:t>75% cost savings achieved through targeted business-process automation.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1146"/>
      </w:tblGrid>
      <w:tr>
        <w:tc>
          <w:tcPr>
            <w:tcW w:type="dxa" w:w="11146"/>
            <w:vAlign w:val="center"/>
            <w:shd w:fill="073C57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COMPANY DATA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573"/>
        <w:gridCol w:w="5573"/>
      </w:tblGrid>
      <w:tr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/>
                <w:color w:val="073C57"/>
                <w:sz w:val="14"/>
              </w:rPr>
              <w:t>NAICS</w:t>
            </w:r>
          </w:p>
        </w:tc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541512 (Primary)  |  541511  |  541519  |  541611</w:t>
            </w:r>
          </w:p>
        </w:tc>
      </w:tr>
      <w:tr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/>
                <w:color w:val="073C57"/>
                <w:sz w:val="14"/>
              </w:rPr>
              <w:t>PSC</w:t>
            </w:r>
          </w:p>
        </w:tc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DA01  |  DD01</w:t>
            </w:r>
          </w:p>
        </w:tc>
      </w:tr>
      <w:tr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/>
                <w:color w:val="073C57"/>
                <w:sz w:val="14"/>
              </w:rPr>
              <w:t>NIGP</w:t>
            </w:r>
          </w:p>
        </w:tc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918-71  |  920-40  |  920-45  |  920-37</w:t>
            </w:r>
          </w:p>
        </w:tc>
      </w:tr>
      <w:tr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/>
                <w:color w:val="073C57"/>
                <w:sz w:val="14"/>
              </w:rPr>
              <w:t>Service Area</w:t>
            </w:r>
          </w:p>
        </w:tc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Nationwide delivery | Houston-based</w:t>
            </w:r>
          </w:p>
        </w:tc>
      </w:tr>
      <w:tr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/>
                <w:color w:val="073C57"/>
                <w:sz w:val="14"/>
              </w:rPr>
              <w:t>Delivery</w:t>
            </w:r>
          </w:p>
        </w:tc>
        <w:tc>
          <w:tcPr>
            <w:tcW w:type="dxa" w:w="5573"/>
            <w:vAlign w:val="center"/>
          </w:tcPr>
          <w:p>
            <w:r/>
            <w:r>
              <w:rPr>
                <w:rFonts w:ascii="Arial" w:hAnsi="Arial"/>
                <w:b w:val="0"/>
                <w:color w:val="0F1726"/>
                <w:sz w:val="14"/>
              </w:rPr>
              <w:t>Remote, hybrid and on-site | Prime or subcontractor</w:t>
            </w:r>
          </w:p>
        </w:tc>
      </w:tr>
    </w:tbl>
    <w:p>
      <w:r>
        <w:t>Credentials: Azure Data Fundamentals • Azure Databricks Platform Architect • Scrum Master Certified • B.S., University of Houston</w:t>
      </w:r>
    </w:p>
    <w:p>
      <w:r>
        <w:rPr>
          <w:color w:val="4F5D6B"/>
          <w:sz w:val="12"/>
        </w:rPr>
        <w:t>Selected outcomes reflect documented key-personnel engagements. References and supporting detail are available for qualified opportunities. LeCrown Development is available for prime, subcontract and teaming engagements.</w:t>
      </w:r>
    </w:p>
    <w:sectPr w:rsidR="00FC693F" w:rsidRPr="0006063C" w:rsidSect="00034616">
      <w:pgSz w:w="12240" w:h="15840"/>
      <w:pgMar w:top="461" w:right="547" w:bottom="461" w:left="5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