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
        <w:gridCol w:w="4680"/>
        <w:gridCol w:w="5112"/>
      </w:tblGrid>
      <w:tr>
        <w:tc>
          <w:tcPr>
            <w:tcW w:type="dxa" w:w="3715"/>
          </w:tcPr>
          <w:p>
            <w:r>
              <w:drawing>
                <wp:inline xmlns:a="http://schemas.openxmlformats.org/drawingml/2006/main" xmlns:pic="http://schemas.openxmlformats.org/drawingml/2006/picture">
                  <wp:extent cx="411480" cy="411480"/>
                  <wp:docPr id="1" name="Picture 1"/>
                  <wp:cNvGraphicFramePr>
                    <a:graphicFrameLocks noChangeAspect="1"/>
                  </wp:cNvGraphicFramePr>
                  <a:graphic>
                    <a:graphicData uri="http://schemas.openxmlformats.org/drawingml/2006/picture">
                      <pic:pic>
                        <pic:nvPicPr>
                          <pic:cNvPr id="0" name="logo-mark.png"/>
                          <pic:cNvPicPr/>
                        </pic:nvPicPr>
                        <pic:blipFill>
                          <a:blip r:embed="rId9"/>
                          <a:stretch>
                            <a:fillRect/>
                          </a:stretch>
                        </pic:blipFill>
                        <pic:spPr>
                          <a:xfrm>
                            <a:off x="0" y="0"/>
                            <a:ext cx="411480" cy="411480"/>
                          </a:xfrm>
                          <a:prstGeom prst="rect"/>
                        </pic:spPr>
                      </pic:pic>
                    </a:graphicData>
                  </a:graphic>
                </wp:inline>
              </w:drawing>
            </w:r>
          </w:p>
        </w:tc>
        <w:tc>
          <w:tcPr>
            <w:tcW w:type="dxa" w:w="3715"/>
          </w:tcPr>
          <w:p>
            <w:r/>
            <w:r>
              <w:rPr>
                <w:rFonts w:ascii="Arial" w:hAnsi="Arial"/>
                <w:b/>
                <w:color w:val="0F1726"/>
                <w:sz w:val="28"/>
              </w:rPr>
              <w:t>LeCrown Development</w:t>
            </w:r>
          </w:p>
          <w:p>
            <w:r>
              <w:rPr>
                <w:rFonts w:ascii="Arial" w:hAnsi="Arial"/>
                <w:b/>
                <w:color w:val="4F5D6B"/>
                <w:sz w:val="15"/>
              </w:rPr>
              <w:t>ENTERPRISE AI • DATA PLATFORMS • CLOUD ENGINEERING</w:t>
            </w:r>
          </w:p>
        </w:tc>
        <w:tc>
          <w:tcPr>
            <w:tcW w:type="dxa" w:w="3715"/>
            <w:vAlign w:val="center"/>
          </w:tcPr>
          <w:p>
            <w:pPr>
              <w:jc w:val="right"/>
            </w:pPr>
            <w:r/>
            <w:r>
              <w:rPr>
                <w:rFonts w:ascii="Arial" w:hAnsi="Arial"/>
                <w:b w:val="0"/>
                <w:color w:val="4F5D6B"/>
                <w:sz w:val="15"/>
              </w:rPr>
              <w:t>Benjamin LaGrone | Principal Technology Consultant</w:t>
              <w:br/>
              <w:t>Houston, TX 77024 | (910) 236-9853</w:t>
              <w:br/>
              <w:t>benjamin.lagrone@lecrowndevelopment.com | lecrowndevelopment.com</w:t>
            </w:r>
          </w:p>
        </w:tc>
      </w:tr>
    </w:tbl>
    <w:p>
      <w:pPr>
        <w:jc w:val="center"/>
      </w:pPr>
      <w:r>
        <w:rPr>
          <w:rFonts w:ascii="Arial" w:hAnsi="Arial"/>
          <w:b/>
          <w:color w:val="0F1726"/>
          <w:sz w:val="34"/>
        </w:rPr>
        <w:t>CAPABILITY STATEMENT</w:t>
      </w:r>
    </w:p>
    <w:tbl>
      <w:tblPr>
        <w:tblW w:type="auto" w:w="0"/>
        <w:tblLook w:firstColumn="1" w:firstRow="1" w:lastColumn="0" w:lastRow="0" w:noHBand="0" w:noVBand="1" w:val="04A0"/>
      </w:tblPr>
      <w:tblGrid>
        <w:gridCol w:w="11146"/>
      </w:tblGrid>
      <w:tr>
        <w:tc>
          <w:tcPr>
            <w:tcW w:type="dxa" w:w="11146"/>
            <w:vAlign w:val="center"/>
            <w:shd w:fill="073C57"/>
          </w:tcPr>
          <w:p>
            <w:r/>
            <w:r>
              <w:rPr>
                <w:rFonts w:ascii="Arial" w:hAnsi="Arial"/>
                <w:b/>
                <w:color w:val="FFFFFF"/>
                <w:sz w:val="18"/>
              </w:rPr>
              <w:t>CORE COMPETENCIES</w:t>
            </w:r>
          </w:p>
        </w:tc>
      </w:tr>
    </w:tbl>
    <w:p>
      <w:r>
        <w:t>We help agencies and prime contractors protect sensitive data, reduce operating cost and replace manual work with secure, auditable software and AI-enabled workflows. Fortune 100 companies have entrusted our key personnel to deliver complex data and technology initiatives from requirements through turnkey operation.</w:t>
      </w:r>
    </w:p>
    <w:p>
      <w:pPr>
        <w:ind w:left="173" w:hanging="144"/>
      </w:pPr>
      <w:r>
        <w:t>• Cybersecurity &amp; data protection — least-privilege access, identity controls, encryption, audit trails, secure cloud design and DevSecOps</w:t>
      </w:r>
    </w:p>
    <w:p>
      <w:pPr>
        <w:ind w:left="173" w:hanging="144"/>
      </w:pPr>
      <w:r>
        <w:t>• IT modernization &amp; workflow automation — replace manual handoffs and disconnected tools with integrated, measurable software workflows</w:t>
      </w:r>
    </w:p>
    <w:p>
      <w:pPr>
        <w:ind w:left="173" w:hanging="144"/>
      </w:pPr>
      <w:r>
        <w:t>• AI &amp; data innovation — governed AI, reusable data platforms, MLOps, knowledge systems and human oversight for responsible decisions</w:t>
      </w:r>
    </w:p>
    <w:p>
      <w:pPr>
        <w:ind w:left="173" w:hanging="144"/>
      </w:pPr>
      <w:r>
        <w:t>• Turnkey systems delivery — discovery, system design, engineering, integration, deployment, documentation and knowledge transfer</w:t>
      </w:r>
    </w:p>
    <w:tbl>
      <w:tblPr>
        <w:tblW w:type="auto" w:w="0"/>
        <w:tblLook w:firstColumn="1" w:firstRow="1" w:lastColumn="0" w:lastRow="0" w:noHBand="0" w:noVBand="1" w:val="04A0"/>
      </w:tblPr>
      <w:tblGrid>
        <w:gridCol w:w="11146"/>
      </w:tblGrid>
      <w:tr>
        <w:tc>
          <w:tcPr>
            <w:tcW w:type="dxa" w:w="11146"/>
            <w:vAlign w:val="center"/>
            <w:shd w:fill="073C57"/>
          </w:tcPr>
          <w:p>
            <w:r/>
            <w:r>
              <w:rPr>
                <w:rFonts w:ascii="Arial" w:hAnsi="Arial"/>
                <w:b/>
                <w:color w:val="FFFFFF"/>
                <w:sz w:val="18"/>
              </w:rPr>
              <w:t>COMPANY EXPERIENCE</w:t>
            </w:r>
          </w:p>
        </w:tc>
      </w:tr>
    </w:tbl>
    <w:tbl>
      <w:tblPr>
        <w:tblW w:type="auto" w:w="0"/>
        <w:tblLook w:firstColumn="1" w:firstRow="1" w:lastColumn="0" w:lastRow="0" w:noHBand="0" w:noVBand="1" w:val="04A0"/>
      </w:tblPr>
      <w:tblGrid>
        <w:gridCol w:w="5573"/>
        <w:gridCol w:w="5573"/>
      </w:tblGrid>
      <w:tr>
        <w:tc>
          <w:tcPr>
            <w:tcW w:type="dxa" w:w="5573"/>
            <w:vAlign w:val="center"/>
          </w:tcPr>
          <w:p>
            <w:r/>
            <w:r>
              <w:rPr>
                <w:rFonts w:ascii="Arial" w:hAnsi="Arial"/>
                <w:b w:val="0"/>
                <w:color w:val="0F1726"/>
                <w:sz w:val="14"/>
              </w:rPr>
              <w:t>Sysco | Fortune 100 Food Distribution (Subcontractor through Revolution Technologies, 2024-present)</w:t>
              <w:br/>
              <w:t>Entrusted with enterprise data and AI platform delivery in a high-volume operating environment. Designed secure self-service patterns, role-based access, policy controls and auditable workflows that help teams deliver faster without weakening protection of company data.</w:t>
            </w:r>
          </w:p>
        </w:tc>
        <w:tc>
          <w:tcPr>
            <w:tcW w:type="dxa" w:w="5573"/>
            <w:vAlign w:val="center"/>
          </w:tcPr>
          <w:p>
            <w:r/>
            <w:r>
              <w:rPr>
                <w:rFonts w:ascii="Arial" w:hAnsi="Arial"/>
                <w:b w:val="0"/>
                <w:color w:val="0F1726"/>
                <w:sz w:val="14"/>
              </w:rPr>
              <w:t>Energy &amp; Industrial (ExxonMobil, Shell, bp, SLB, McDermott and Oceaneering)</w:t>
              <w:br/>
              <w:t>Served major corporations as a subcontractor through Cynet Systems, PTG, Accenture and Avanade. Simplified complex business and technical requirements, connected data and applications, and delivered cloud, software and automation improvements that reduced manual work, cost and operational risk.</w:t>
            </w:r>
          </w:p>
        </w:tc>
      </w:tr>
    </w:tbl>
    <w:tbl>
      <w:tblPr>
        <w:tblW w:type="auto" w:w="0"/>
        <w:tblLook w:firstColumn="1" w:firstRow="1" w:lastColumn="0" w:lastRow="0" w:noHBand="0" w:noVBand="1" w:val="04A0"/>
      </w:tblPr>
      <w:tblGrid>
        <w:gridCol w:w="11146"/>
      </w:tblGrid>
      <w:tr>
        <w:tc>
          <w:tcPr>
            <w:tcW w:type="dxa" w:w="11146"/>
            <w:vAlign w:val="center"/>
            <w:shd w:fill="073C57"/>
          </w:tcPr>
          <w:p>
            <w:r/>
            <w:r>
              <w:rPr>
                <w:rFonts w:ascii="Arial" w:hAnsi="Arial"/>
                <w:b/>
                <w:color w:val="FFFFFF"/>
                <w:sz w:val="18"/>
              </w:rPr>
              <w:t>DIFFERENTIATORS — DOCUMENTED DELIVERY OUTCOMES</w:t>
            </w:r>
          </w:p>
        </w:tc>
      </w:tr>
    </w:tbl>
    <w:tbl>
      <w:tblPr>
        <w:tblW w:type="auto" w:w="0"/>
        <w:tblLook w:firstColumn="1" w:firstRow="1" w:lastColumn="0" w:lastRow="0" w:noHBand="0" w:noVBand="1" w:val="04A0"/>
      </w:tblPr>
      <w:tblGrid>
        <w:gridCol w:w="2786"/>
        <w:gridCol w:w="2786"/>
        <w:gridCol w:w="2786"/>
        <w:gridCol w:w="2786"/>
      </w:tblGrid>
      <w:tr>
        <w:tc>
          <w:tcPr>
            <w:tcW w:type="dxa" w:w="2786"/>
            <w:vAlign w:val="center"/>
            <w:shd w:fill="EAF5F3"/>
          </w:tcPr>
          <w:p>
            <w:r/>
            <w:r>
              <w:rPr>
                <w:rFonts w:ascii="Arial" w:hAnsi="Arial"/>
                <w:b w:val="0"/>
                <w:color w:val="073C57"/>
                <w:sz w:val="15"/>
              </w:rPr>
              <w:t>SECURE BY DESIGN</w:t>
              <w:br/>
              <w:t>Cybersecurity is built into access, data handling, deployment and auditability—not added after delivery. This reduces exposure and makes systems easier to govern.</w:t>
            </w:r>
          </w:p>
        </w:tc>
        <w:tc>
          <w:tcPr>
            <w:tcW w:type="dxa" w:w="2786"/>
            <w:vAlign w:val="center"/>
            <w:shd w:fill="EAF5F3"/>
          </w:tcPr>
          <w:p>
            <w:r/>
            <w:r>
              <w:rPr>
                <w:rFonts w:ascii="Arial" w:hAnsi="Arial"/>
                <w:b w:val="0"/>
                <w:color w:val="073C57"/>
                <w:sz w:val="15"/>
              </w:rPr>
              <w:t>CAPABILITY SEED METHOD</w:t>
              <w:br/>
              <w:t>Start with one high-value workflow, prove it securely, document the pattern and reuse it. Each engagement leaves a repeatable capability—not a one-off prototype.</w:t>
            </w:r>
          </w:p>
        </w:tc>
        <w:tc>
          <w:tcPr>
            <w:tcW w:type="dxa" w:w="2786"/>
            <w:vAlign w:val="center"/>
            <w:shd w:fill="EAF5F3"/>
          </w:tcPr>
          <w:p>
            <w:r/>
            <w:r>
              <w:rPr>
                <w:rFonts w:ascii="Arial" w:hAnsi="Arial"/>
                <w:b w:val="0"/>
                <w:color w:val="073C57"/>
                <w:sz w:val="15"/>
              </w:rPr>
              <w:t>MEASURABLE EFFICIENCY</w:t>
              <w:br/>
              <w:t>Documented engagements achieved 50% cycle and cost reduction, 30% delivery improvement, 75% process-cost savings and protected $20M+ in program value.</w:t>
            </w:r>
          </w:p>
        </w:tc>
        <w:tc>
          <w:tcPr>
            <w:tcW w:type="dxa" w:w="2786"/>
            <w:vAlign w:val="center"/>
            <w:shd w:fill="EAF5F3"/>
          </w:tcPr>
          <w:p>
            <w:r/>
            <w:r>
              <w:rPr>
                <w:rFonts w:ascii="Arial" w:hAnsi="Arial"/>
                <w:b w:val="0"/>
                <w:color w:val="073C57"/>
                <w:sz w:val="15"/>
              </w:rPr>
              <w:t>COMPLEXITY MADE CLEAR</w:t>
              <w:br/>
              <w:t>Translate cyber, data, AI and policy requirements into plain-language decisions, working software, operator guidance and accountable handoff.</w:t>
            </w:r>
          </w:p>
        </w:tc>
      </w:tr>
    </w:tbl>
    <w:tbl>
      <w:tblPr>
        <w:tblW w:type="auto" w:w="0"/>
        <w:tblLook w:firstColumn="1" w:firstRow="1" w:lastColumn="0" w:lastRow="0" w:noHBand="0" w:noVBand="1" w:val="04A0"/>
      </w:tblPr>
      <w:tblGrid>
        <w:gridCol w:w="11146"/>
      </w:tblGrid>
      <w:tr>
        <w:tc>
          <w:tcPr>
            <w:tcW w:type="dxa" w:w="11146"/>
            <w:vAlign w:val="center"/>
            <w:shd w:fill="073C57"/>
          </w:tcPr>
          <w:p>
            <w:r/>
            <w:r>
              <w:rPr>
                <w:rFonts w:ascii="Arial" w:hAnsi="Arial"/>
                <w:b/>
                <w:color w:val="FFFFFF"/>
                <w:sz w:val="18"/>
              </w:rPr>
              <w:t>COMPANY DATA</w:t>
            </w:r>
          </w:p>
        </w:tc>
      </w:tr>
    </w:tbl>
    <w:tbl>
      <w:tblPr>
        <w:tblW w:type="auto" w:w="0"/>
        <w:tblLook w:firstColumn="1" w:firstRow="1" w:lastColumn="0" w:lastRow="0" w:noHBand="0" w:noVBand="1" w:val="04A0"/>
      </w:tblPr>
      <w:tblGrid>
        <w:gridCol w:w="5573"/>
        <w:gridCol w:w="5573"/>
      </w:tblGrid>
      <w:tr>
        <w:tc>
          <w:tcPr>
            <w:tcW w:type="dxa" w:w="5573"/>
            <w:vAlign w:val="center"/>
          </w:tcPr>
          <w:p>
            <w:r/>
            <w:r>
              <w:rPr>
                <w:rFonts w:ascii="Arial" w:hAnsi="Arial"/>
                <w:b/>
                <w:color w:val="073C57"/>
                <w:sz w:val="14"/>
              </w:rPr>
              <w:t>NAICS</w:t>
            </w:r>
          </w:p>
        </w:tc>
        <w:tc>
          <w:tcPr>
            <w:tcW w:type="dxa" w:w="5573"/>
            <w:vAlign w:val="center"/>
          </w:tcPr>
          <w:p>
            <w:r/>
            <w:r>
              <w:rPr>
                <w:rFonts w:ascii="Arial" w:hAnsi="Arial"/>
                <w:b w:val="0"/>
                <w:color w:val="0F1726"/>
                <w:sz w:val="14"/>
              </w:rPr>
              <w:t>541512 (Primary)  |  541511  |  541519  |  541611</w:t>
            </w:r>
          </w:p>
        </w:tc>
      </w:tr>
      <w:tr>
        <w:tc>
          <w:tcPr>
            <w:tcW w:type="dxa" w:w="5573"/>
            <w:vAlign w:val="center"/>
          </w:tcPr>
          <w:p>
            <w:r/>
            <w:r>
              <w:rPr>
                <w:rFonts w:ascii="Arial" w:hAnsi="Arial"/>
                <w:b/>
                <w:color w:val="073C57"/>
                <w:sz w:val="14"/>
              </w:rPr>
              <w:t>PSC</w:t>
            </w:r>
          </w:p>
        </w:tc>
        <w:tc>
          <w:tcPr>
            <w:tcW w:type="dxa" w:w="5573"/>
            <w:vAlign w:val="center"/>
          </w:tcPr>
          <w:p>
            <w:r/>
            <w:r>
              <w:rPr>
                <w:rFonts w:ascii="Arial" w:hAnsi="Arial"/>
                <w:b w:val="0"/>
                <w:color w:val="0F1726"/>
                <w:sz w:val="14"/>
              </w:rPr>
              <w:t>DA01  |  DD01</w:t>
            </w:r>
          </w:p>
        </w:tc>
      </w:tr>
      <w:tr>
        <w:tc>
          <w:tcPr>
            <w:tcW w:type="dxa" w:w="5573"/>
            <w:vAlign w:val="center"/>
          </w:tcPr>
          <w:p>
            <w:r/>
            <w:r>
              <w:rPr>
                <w:rFonts w:ascii="Arial" w:hAnsi="Arial"/>
                <w:b/>
                <w:color w:val="073C57"/>
                <w:sz w:val="14"/>
              </w:rPr>
              <w:t>NIGP</w:t>
            </w:r>
          </w:p>
        </w:tc>
        <w:tc>
          <w:tcPr>
            <w:tcW w:type="dxa" w:w="5573"/>
            <w:vAlign w:val="center"/>
          </w:tcPr>
          <w:p>
            <w:r/>
            <w:r>
              <w:rPr>
                <w:rFonts w:ascii="Arial" w:hAnsi="Arial"/>
                <w:b w:val="0"/>
                <w:color w:val="0F1726"/>
                <w:sz w:val="14"/>
              </w:rPr>
              <w:t>918-71  |  920-40  |  920-45  |  920-37</w:t>
            </w:r>
          </w:p>
        </w:tc>
      </w:tr>
      <w:tr>
        <w:tc>
          <w:tcPr>
            <w:tcW w:type="dxa" w:w="5573"/>
            <w:vAlign w:val="center"/>
          </w:tcPr>
          <w:p>
            <w:r/>
            <w:r>
              <w:rPr>
                <w:rFonts w:ascii="Arial" w:hAnsi="Arial"/>
                <w:b/>
                <w:color w:val="073C57"/>
                <w:sz w:val="14"/>
              </w:rPr>
              <w:t>Service Area</w:t>
            </w:r>
          </w:p>
        </w:tc>
        <w:tc>
          <w:tcPr>
            <w:tcW w:type="dxa" w:w="5573"/>
            <w:vAlign w:val="center"/>
          </w:tcPr>
          <w:p>
            <w:r/>
            <w:r>
              <w:rPr>
                <w:rFonts w:ascii="Arial" w:hAnsi="Arial"/>
                <w:b w:val="0"/>
                <w:color w:val="0F1726"/>
                <w:sz w:val="14"/>
              </w:rPr>
              <w:t>Nationwide delivery | Houston-based</w:t>
            </w:r>
          </w:p>
        </w:tc>
      </w:tr>
      <w:tr>
        <w:tc>
          <w:tcPr>
            <w:tcW w:type="dxa" w:w="5573"/>
            <w:vAlign w:val="center"/>
          </w:tcPr>
          <w:p>
            <w:r/>
            <w:r>
              <w:rPr>
                <w:rFonts w:ascii="Arial" w:hAnsi="Arial"/>
                <w:b/>
                <w:color w:val="073C57"/>
                <w:sz w:val="14"/>
              </w:rPr>
              <w:t>Delivery</w:t>
            </w:r>
          </w:p>
        </w:tc>
        <w:tc>
          <w:tcPr>
            <w:tcW w:type="dxa" w:w="5573"/>
            <w:vAlign w:val="center"/>
          </w:tcPr>
          <w:p>
            <w:r/>
            <w:r>
              <w:rPr>
                <w:rFonts w:ascii="Arial" w:hAnsi="Arial"/>
                <w:b w:val="0"/>
                <w:color w:val="0F1726"/>
                <w:sz w:val="14"/>
              </w:rPr>
              <w:t>Remote, hybrid and on-site | Prime or subcontractor</w:t>
            </w:r>
          </w:p>
        </w:tc>
      </w:tr>
    </w:tbl>
    <w:p>
      <w:r>
        <w:t>Credentials: Azure Data Fundamentals • Azure Databricks Platform Architect • Scrum Master Certified • B.S., University of Houston</w:t>
      </w:r>
    </w:p>
    <w:p>
      <w:r>
        <w:t>Book &amp; Publications: Author, HTML5 and CSS3 Responsive Web Design Cookbook (Packt) • Technical publications and OSDU contributions</w:t>
      </w:r>
    </w:p>
    <w:p>
      <w:r>
        <w:rPr>
          <w:color w:val="4F5D6B"/>
          <w:sz w:val="12"/>
        </w:rPr>
        <w:t>Selected outcomes reflect documented key-personnel engagements. References and supporting detail are available for qualified opportunities. LeCrown Development is available for prime, subcontract and teaming engagements.</w:t>
      </w:r>
    </w:p>
    <w:sectPr w:rsidR="00FC693F" w:rsidRPr="0006063C" w:rsidSect="00034616">
      <w:pgSz w:w="12240" w:h="15840"/>
      <w:pgMar w:top="461" w:right="547" w:bottom="461" w:left="5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