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Due Diligence Requirement Manifest</w:t>
      </w:r>
    </w:p>
    <w:p>
      <w:pPr>
        <w:jc w:val="center"/>
      </w:pPr>
      <w:r>
        <w:rPr>
          <w:sz w:val="20"/>
        </w:rPr>
        <w:t>12999 Main St, Houston, TX 77035</w:t>
      </w:r>
    </w:p>
    <w:p>
      <w:r>
        <w:rPr>
          <w:b/>
        </w:rPr>
        <w:t xml:space="preserve">Project: </w:t>
      </w:r>
      <w:r>
        <w:t>Commercial Auto Storage Acquisition / Property Appraisal</w:t>
      </w:r>
    </w:p>
    <w:p>
      <w:r>
        <w:rPr>
          <w:b/>
        </w:rPr>
        <w:t xml:space="preserve">Target property: </w:t>
      </w:r>
      <w:r>
        <w:t>12999 Main St, Houston, TX 77035</w:t>
      </w:r>
    </w:p>
    <w:p>
      <w:r>
        <w:rPr>
          <w:b/>
        </w:rPr>
        <w:t xml:space="preserve">Parcel ID: </w:t>
      </w:r>
      <w:r>
        <w:t>0410520000414</w:t>
      </w:r>
    </w:p>
    <w:p>
      <w:r>
        <w:rPr>
          <w:b/>
        </w:rPr>
        <w:t xml:space="preserve">Prepared for: </w:t>
      </w:r>
      <w:r>
        <w:t>Stephanie Benitez</w:t>
      </w:r>
    </w:p>
    <w:p>
      <w:r>
        <w:rPr>
          <w:b/>
        </w:rPr>
        <w:t xml:space="preserve">Prepared by: </w:t>
      </w:r>
      <w:r>
        <w:t>Benjamin LaGrone, LeCrown Development Corp</w:t>
      </w:r>
    </w:p>
    <w:p>
      <w:r>
        <w:rPr>
          <w:b/>
        </w:rPr>
        <w:t xml:space="preserve">Date: </w:t>
      </w:r>
      <w:r>
        <w:t>May 29, 2026</w:t>
      </w:r>
    </w:p>
    <w:p>
      <w:pPr>
        <w:pStyle w:val="Heading1"/>
      </w:pPr>
      <w:r>
        <w:t>1. Financial Records &amp; Quality of Earnings</w:t>
      </w:r>
    </w:p>
    <w:p>
      <w:pPr>
        <w:pStyle w:val="ListBullet"/>
      </w:pPr>
      <w:r>
        <w:t>Federal and state tax returns for the last 3 open tax years.</w:t>
      </w:r>
    </w:p>
    <w:p>
      <w:pPr>
        <w:pStyle w:val="ListBullet"/>
      </w:pPr>
      <w:r>
        <w:t>Profit &amp; Loss statements and balance sheets for the past 3 to 5 years.</w:t>
      </w:r>
    </w:p>
    <w:p>
      <w:pPr>
        <w:pStyle w:val="ListBullet"/>
      </w:pPr>
      <w:r>
        <w:t>Year-to-date financial statements compared against the same period last year.</w:t>
      </w:r>
    </w:p>
    <w:p>
      <w:pPr>
        <w:pStyle w:val="ListBullet"/>
      </w:pPr>
      <w:r>
        <w:t>Current accounts receivable aging report.</w:t>
      </w:r>
    </w:p>
    <w:p>
      <w:pPr>
        <w:pStyle w:val="Heading1"/>
      </w:pPr>
      <w:r>
        <w:t>2. Fleet &amp; Equipment Assets</w:t>
      </w:r>
    </w:p>
    <w:p>
      <w:pPr>
        <w:pStyle w:val="ListBullet"/>
      </w:pPr>
      <w:r>
        <w:t>Complete asset inventory list including yard tools, security systems, office property, and other operating assets.</w:t>
      </w:r>
    </w:p>
    <w:p>
      <w:pPr>
        <w:pStyle w:val="ListBullet"/>
      </w:pPr>
      <w:r>
        <w:t>Vehicle titles and current registrations for all operational tow trucks.</w:t>
      </w:r>
    </w:p>
    <w:p>
      <w:pPr>
        <w:pStyle w:val="ListBullet"/>
      </w:pPr>
      <w:r>
        <w:t>FMCSA/DOT compliance records and safety logs.</w:t>
      </w:r>
    </w:p>
    <w:p>
      <w:pPr>
        <w:pStyle w:val="ListBullet"/>
      </w:pPr>
      <w:r>
        <w:t>Detailed maintenance, service, and inspection logs for fleet vehicles.</w:t>
      </w:r>
    </w:p>
    <w:p>
      <w:pPr>
        <w:pStyle w:val="ListBullet"/>
      </w:pPr>
      <w:r>
        <w:t>Copies of active equipment leases, conditional sale agreements, financing terms, or outstanding loan balances on fleet assets.</w:t>
      </w:r>
    </w:p>
    <w:p>
      <w:pPr>
        <w:pStyle w:val="Heading1"/>
      </w:pPr>
      <w:r>
        <w:t>3. Real Estate &amp; Facility Details</w:t>
      </w:r>
    </w:p>
    <w:p>
      <w:pPr>
        <w:pStyle w:val="ListBullet"/>
      </w:pPr>
      <w:r>
        <w:t>Property deeds and official boundary surveys for the commercial storage lot.</w:t>
      </w:r>
    </w:p>
    <w:p>
      <w:pPr>
        <w:pStyle w:val="ListBullet"/>
      </w:pPr>
      <w:r>
        <w:t>Current municipal zoning clearance certificates or land-use confirmations.</w:t>
      </w:r>
    </w:p>
    <w:p>
      <w:pPr>
        <w:pStyle w:val="ListBullet"/>
      </w:pPr>
      <w:r>
        <w:t>Existing Phase I or Phase II Environmental Site Assessments, if available.</w:t>
      </w:r>
    </w:p>
    <w:p>
      <w:pPr>
        <w:pStyle w:val="ListBullet"/>
      </w:pPr>
      <w:r>
        <w:t>Recent property tax assessments and confirmation of zero active tax liens.</w:t>
      </w:r>
    </w:p>
    <w:p>
      <w:pPr>
        <w:pStyle w:val="ListBullet"/>
      </w:pPr>
      <w:r>
        <w:t>Commercial land or yard lease agreements if the real estate is leased rather than owned.</w:t>
      </w:r>
    </w:p>
    <w:p>
      <w:pPr>
        <w:pStyle w:val="Heading1"/>
      </w:pPr>
      <w:r>
        <w:t>4. Operations, Licensing &amp; Legal</w:t>
      </w:r>
    </w:p>
    <w:p>
      <w:pPr>
        <w:pStyle w:val="ListBullet"/>
      </w:pPr>
      <w:r>
        <w:t>Specialized municipal or state storage lot permits.</w:t>
      </w:r>
    </w:p>
    <w:p>
      <w:pPr>
        <w:pStyle w:val="ListBullet"/>
      </w:pPr>
      <w:r>
        <w:t>Towing licenses and operating certifications.</w:t>
      </w:r>
    </w:p>
    <w:p>
      <w:pPr>
        <w:pStyle w:val="ListBullet"/>
      </w:pPr>
      <w:r>
        <w:t>Active contracts or commercial agreements with police departments, auto clubs, corporate accounts, or similar counterparties.</w:t>
      </w:r>
    </w:p>
    <w:p>
      <w:pPr>
        <w:pStyle w:val="ListBullet"/>
      </w:pPr>
      <w:r>
        <w:t>Current commercial liability insurance policies, including garage keepers, fleet, and general liability coverage.</w:t>
      </w:r>
    </w:p>
    <w:p>
      <w:pPr>
        <w:pStyle w:val="ListBullet"/>
      </w:pPr>
      <w:r>
        <w:t>Disclosure of any past, pending, or threatened litigation, zoning disputes, compliance issues, or material claims.</w:t>
      </w:r>
    </w:p>
    <w:p>
      <w:pPr>
        <w:pStyle w:val="Heading1"/>
      </w:pPr>
      <w:r>
        <w:t>5. Public Records &amp; Property Verification</w:t>
      </w:r>
    </w:p>
    <w:p>
      <w:pPr>
        <w:pStyle w:val="ListBullet"/>
      </w:pPr>
      <w:r>
        <w:t>Harris County Appraisal District ownership, structure, land, and certified value records for Parcel ID 0410520000414.</w:t>
      </w:r>
    </w:p>
    <w:p>
      <w:pPr>
        <w:pStyle w:val="ListBullet"/>
      </w:pPr>
      <w:r>
        <w:t>Municipal land-use and zoning compatibility for automotive storage or impound use.</w:t>
      </w:r>
    </w:p>
    <w:p>
      <w:pPr>
        <w:pStyle w:val="ListBullet"/>
      </w:pPr>
      <w:r>
        <w:t>FEMA flood-zone mapping for Flood Zone B/X exposure and drainage or insurance implications.</w:t>
      </w:r>
    </w:p>
    <w:p>
      <w:pPr>
        <w:pStyle w:val="ListBullet"/>
      </w:pPr>
      <w:r>
        <w:t>Nearby commercial property comps on South Main St, South Post Oak Rd, and Dunlap Dr.</w:t>
      </w:r>
    </w:p>
    <w:p>
      <w:pPr>
        <w:pStyle w:val="Heading1"/>
      </w:pPr>
      <w:r>
        <w:t>Submission Notes</w:t>
      </w:r>
    </w:p>
    <w:p>
      <w:r>
        <w:t>Please provide files in PDF, spreadsheet, image, or Word format where available. If any item is unavailable, not applicable, or still being gathered, please identify that item directly so it can be tracked accurately.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