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Retainer Payment Acknowledgment</w:t>
      </w:r>
    </w:p>
    <w:p>
      <w:pPr>
        <w:jc w:val="center"/>
      </w:pPr>
      <w:r>
        <w:rPr>
          <w:sz w:val="20"/>
        </w:rPr>
        <w:t>LeCrown Development Corp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May 29,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5040"/>
          </w:tcPr>
          <w:p>
            <w:r>
              <w:t>Benjamin LaGrone, LeCrown Development Corp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5040"/>
          </w:tcPr>
          <w:p>
            <w:r>
              <w:t>Stephanie Benitez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Associated entity</w:t>
            </w:r>
          </w:p>
        </w:tc>
        <w:tc>
          <w:tcPr>
            <w:tcW w:type="dxa" w:w="5040"/>
          </w:tcPr>
          <w:p>
            <w:r>
              <w:t>A Plus Collision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040"/>
          </w:tcPr>
          <w:p>
            <w:r>
              <w:t>Commercial Auto Storage Acquisition / Property Appraisal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Target property</w:t>
            </w:r>
          </w:p>
        </w:tc>
        <w:tc>
          <w:tcPr>
            <w:tcW w:type="dxa" w:w="5040"/>
          </w:tcPr>
          <w:p>
            <w:r>
              <w:t>12999 Main St, Houston, TX 77035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Parcel ID</w:t>
            </w:r>
          </w:p>
        </w:tc>
        <w:tc>
          <w:tcPr>
            <w:tcW w:type="dxa" w:w="5040"/>
          </w:tcPr>
          <w:p>
            <w:r>
              <w:t>0410520000414</w:t>
            </w:r>
          </w:p>
        </w:tc>
      </w:tr>
    </w:tbl>
    <w:p>
      <w:pPr>
        <w:pStyle w:val="Heading1"/>
      </w:pPr>
      <w:r>
        <w:t>Payment Acknowledgment</w:t>
      </w:r>
    </w:p>
    <w:p>
      <w:r>
        <w:t>LeCrown Development Corp acknowledges receipt of the asset valuation retainer payment for the commercial auto storage acquisition and property appraisal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040"/>
          </w:tcPr>
          <w:p>
            <w:r>
              <w:t>Asset valuation retainer base payment</w:t>
            </w:r>
          </w:p>
        </w:tc>
        <w:tc>
          <w:tcPr>
            <w:tcW w:type="dxa" w:w="5040"/>
          </w:tcPr>
          <w:p>
            <w:r>
              <w:t>$2,500.00</w:t>
            </w:r>
          </w:p>
        </w:tc>
      </w:tr>
      <w:tr>
        <w:tc>
          <w:tcPr>
            <w:tcW w:type="dxa" w:w="5040"/>
          </w:tcPr>
          <w:p>
            <w:r>
              <w:t>Credit card processing / transaction total</w:t>
            </w:r>
          </w:p>
        </w:tc>
        <w:tc>
          <w:tcPr>
            <w:tcW w:type="dxa" w:w="5040"/>
          </w:tcPr>
          <w:p>
            <w:r>
              <w:t>$2,572.80</w:t>
            </w:r>
          </w:p>
        </w:tc>
      </w:tr>
    </w:tbl>
    <w:p>
      <w:pPr>
        <w:pStyle w:val="Heading1"/>
      </w:pPr>
      <w:r>
        <w:t>Scope Acknowledged</w:t>
      </w:r>
    </w:p>
    <w:p>
      <w:pPr>
        <w:pStyle w:val="ListBullet"/>
      </w:pPr>
      <w:r>
        <w:t>Business valuation and quality-of-earnings document collection</w:t>
      </w:r>
    </w:p>
    <w:p>
      <w:pPr>
        <w:pStyle w:val="ListBullet"/>
      </w:pPr>
      <w:r>
        <w:t>Fleet, equipment, and title document review</w:t>
      </w:r>
    </w:p>
    <w:p>
      <w:pPr>
        <w:pStyle w:val="ListBullet"/>
      </w:pPr>
      <w:r>
        <w:t>Real estate, zoning, tax, and flood-zone verification</w:t>
      </w:r>
    </w:p>
    <w:p>
      <w:pPr>
        <w:pStyle w:val="ListBullet"/>
      </w:pPr>
      <w:r>
        <w:t>Operating permit, insurance, contract, and legal disclosure collection</w:t>
      </w:r>
    </w:p>
    <w:p>
      <w:pPr>
        <w:pStyle w:val="ListBullet"/>
      </w:pPr>
      <w:r>
        <w:t>Client-facing document portal organization and follow-up tracking</w:t>
      </w:r>
    </w:p>
    <w:p>
      <w:pPr>
        <w:pStyle w:val="Heading1"/>
      </w:pPr>
      <w:r>
        <w:t>Communication</w:t>
      </w:r>
    </w:p>
    <w:p>
      <w:r>
        <w:t>Primary lead: Benjamin LaGrone</w:t>
      </w:r>
    </w:p>
    <w:p>
      <w:r>
        <w:t>Preferred client communication channel: SMS</w:t>
      </w:r>
    </w:p>
    <w:p>
      <w:r>
        <w:t>Client email on file: Stephaniebenitez1981@yahoo.com</w:t>
      </w:r>
    </w:p>
    <w:p>
      <w:pPr>
        <w:pStyle w:val="Heading1"/>
      </w:pPr>
      <w:r>
        <w:t>Note</w:t>
      </w:r>
    </w:p>
    <w:p>
      <w:r>
        <w:t>This acknowledgment confirms the payment information provided for project intake and due diligence tracking. It is not a tax receipt, legal opinion, appraisal certification, or closing statement.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