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D1C3" w14:textId="4BA61517" w:rsidR="00BD6FAD" w:rsidRDefault="007F190F" w:rsidP="0018757D">
      <w:pPr>
        <w:pStyle w:val="Maintext"/>
      </w:pPr>
      <w:r w:rsidRPr="00E04A11">
        <w:t>Photodetachment</w:t>
      </w:r>
      <w:r>
        <w:t xml:space="preserve"> to the ground state of C</w:t>
      </w:r>
      <w:r>
        <w:rPr>
          <w:rFonts w:ascii="Cambria" w:eastAsia="Cambria" w:hAnsi="Cambria" w:cs="Cambria"/>
          <w:vertAlign w:val="subscript"/>
        </w:rPr>
        <w:t>2</w:t>
      </w:r>
      <w:r>
        <w:t>H</w:t>
      </w:r>
      <w:r w:rsidR="0055756B">
        <w:t xml:space="preserve"> </w:t>
      </w:r>
      <w:r>
        <w:rPr>
          <w:rFonts w:ascii="Cambria" w:eastAsia="Cambria" w:hAnsi="Cambria" w:cs="Cambria"/>
        </w:rPr>
        <w:t>(</w:t>
      </w:r>
      <w:r>
        <w:rPr>
          <w:rFonts w:ascii="Cambria" w:eastAsia="Cambria" w:hAnsi="Cambria" w:cs="Cambria"/>
          <w:i/>
        </w:rPr>
        <w:t>X</w:t>
      </w:r>
      <w:r w:rsidR="0089617D">
        <w:rPr>
          <w:rFonts w:ascii="Cambria" w:eastAsia="Cambria" w:hAnsi="Cambria" w:cs="Cambria"/>
          <w:sz w:val="37"/>
          <w:vertAlign w:val="superscript"/>
        </w:rPr>
        <w:t> </w:t>
      </w:r>
      <w:r>
        <w:rPr>
          <w:rFonts w:ascii="Cambria" w:eastAsia="Cambria" w:hAnsi="Cambria" w:cs="Cambria"/>
          <w:vertAlign w:val="superscript"/>
        </w:rPr>
        <w:t>2</w:t>
      </w:r>
      <w:r>
        <w:rPr>
          <w:rFonts w:ascii="Cambria" w:eastAsia="Cambria" w:hAnsi="Cambria" w:cs="Cambria"/>
        </w:rPr>
        <w:t>Σ</w:t>
      </w:r>
      <w:r>
        <w:rPr>
          <w:rFonts w:ascii="Cambria" w:eastAsia="Cambria" w:hAnsi="Cambria" w:cs="Cambria"/>
          <w:vertAlign w:val="superscript"/>
        </w:rPr>
        <w:t>+</w:t>
      </w:r>
      <w:r>
        <w:rPr>
          <w:rFonts w:ascii="Cambria" w:eastAsia="Cambria" w:hAnsi="Cambria" w:cs="Cambria"/>
        </w:rPr>
        <w:t xml:space="preserve">) </w:t>
      </w:r>
      <w:r>
        <w:t xml:space="preserve">involves ejecting an electron from an </w:t>
      </w:r>
      <w:r>
        <w:rPr>
          <w:rFonts w:ascii="Cambria" w:eastAsia="Cambria" w:hAnsi="Cambria" w:cs="Cambria"/>
          <w:i/>
        </w:rPr>
        <w:t>s</w:t>
      </w:r>
      <w:r>
        <w:rPr>
          <w:rFonts w:ascii="Cambria" w:eastAsia="Cambria" w:hAnsi="Cambria" w:cs="Cambria"/>
        </w:rPr>
        <w:t>−</w:t>
      </w:r>
      <w:r>
        <w:t xml:space="preserve">like </w:t>
      </w:r>
      <w:r w:rsidR="00E04A11">
        <w:rPr>
          <w:rFonts w:ascii="Symbol" w:hAnsi="Symbol"/>
        </w:rPr>
        <w:t>s</w:t>
      </w:r>
      <w:r w:rsidR="00E04A11">
        <w:t xml:space="preserve"> </w:t>
      </w:r>
      <w:r w:rsidR="0018757D">
        <w:t>orbital</w:t>
      </w:r>
      <w:r w:rsidR="0018757D" w:rsidRPr="00E04A11">
        <w:t xml:space="preserve"> </w:t>
      </w:r>
      <w:r w:rsidR="0018757D">
        <w:t>(approximately 5</w:t>
      </w:r>
      <w:r w:rsidRPr="00E04A11">
        <w:t>σ</w:t>
      </w:r>
      <w:r w:rsidRPr="0018757D">
        <w:rPr>
          <w:i/>
          <w:iCs/>
          <w:vertAlign w:val="subscript"/>
        </w:rPr>
        <w:t>g</w:t>
      </w:r>
      <w:r w:rsidR="0018757D">
        <w:t xml:space="preserve"> in symmetry character),</w:t>
      </w:r>
      <w:r>
        <w:t xml:space="preserve"> whereas detachment to the excited </w:t>
      </w:r>
      <w:r w:rsidR="00D04279">
        <w:rPr>
          <w:rFonts w:ascii="Cambria" w:eastAsia="Cambria" w:hAnsi="Cambria" w:cs="Cambria"/>
          <w:i/>
        </w:rPr>
        <w:t>Ã</w:t>
      </w:r>
      <w:r w:rsidR="00D04279">
        <w:rPr>
          <w:rFonts w:ascii="Cambria" w:eastAsia="Cambria" w:hAnsi="Cambria" w:cs="Cambria"/>
          <w:i/>
          <w:vertAlign w:val="superscript"/>
        </w:rPr>
        <w:t> </w:t>
      </w:r>
      <w:r>
        <w:rPr>
          <w:rFonts w:ascii="Cambria" w:eastAsia="Cambria" w:hAnsi="Cambria" w:cs="Cambria"/>
          <w:vertAlign w:val="superscript"/>
        </w:rPr>
        <w:t>2</w:t>
      </w:r>
      <w:r>
        <w:rPr>
          <w:rFonts w:ascii="Cambria" w:eastAsia="Cambria" w:hAnsi="Cambria" w:cs="Cambria"/>
        </w:rPr>
        <w:t xml:space="preserve">Π </w:t>
      </w:r>
      <w:r>
        <w:t xml:space="preserve">state occurs from a </w:t>
      </w:r>
      <w:r>
        <w:rPr>
          <w:rFonts w:ascii="Cambria" w:eastAsia="Cambria" w:hAnsi="Cambria" w:cs="Cambria"/>
          <w:i/>
        </w:rPr>
        <w:t>p</w:t>
      </w:r>
      <w:r>
        <w:rPr>
          <w:rFonts w:ascii="Cambria" w:eastAsia="Cambria" w:hAnsi="Cambria" w:cs="Cambria"/>
        </w:rPr>
        <w:t>−</w:t>
      </w:r>
      <w:r>
        <w:t>like</w:t>
      </w:r>
      <w:r w:rsidR="0018757D">
        <w:t xml:space="preserve"> </w:t>
      </w:r>
      <w:r w:rsidR="0018757D">
        <w:rPr>
          <w:rFonts w:ascii="Cambria" w:eastAsia="Cambria" w:hAnsi="Cambria" w:cs="Cambria"/>
          <w:i/>
        </w:rPr>
        <w:t>π</w:t>
      </w:r>
      <w:r w:rsidR="0018757D">
        <w:t xml:space="preserve"> orbital (approximately</w:t>
      </w:r>
      <w:r>
        <w:t xml:space="preserve"> </w:t>
      </w:r>
      <w:r>
        <w:rPr>
          <w:rFonts w:ascii="Cambria" w:eastAsia="Cambria" w:hAnsi="Cambria" w:cs="Cambria"/>
        </w:rPr>
        <w:t>1</w:t>
      </w:r>
      <w:r>
        <w:rPr>
          <w:rFonts w:ascii="Cambria" w:eastAsia="Cambria" w:hAnsi="Cambria" w:cs="Cambria"/>
          <w:i/>
        </w:rPr>
        <w:t>π</w:t>
      </w:r>
      <w:r>
        <w:rPr>
          <w:rFonts w:ascii="Cambria" w:eastAsia="Cambria" w:hAnsi="Cambria" w:cs="Cambria"/>
          <w:i/>
          <w:vertAlign w:val="subscript"/>
        </w:rPr>
        <w:t xml:space="preserve">u </w:t>
      </w:r>
      <w:r w:rsidR="0018757D">
        <w:t>in character)</w:t>
      </w:r>
      <w:r>
        <w:t xml:space="preserve">. Therefore, the electron anisotropies may be described using the mixed </w:t>
      </w:r>
      <w:r>
        <w:rPr>
          <w:rFonts w:ascii="Cambria" w:eastAsia="Cambria" w:hAnsi="Cambria" w:cs="Cambria"/>
          <w:i/>
        </w:rPr>
        <w:t>s</w:t>
      </w:r>
      <w:r w:rsidR="0018757D">
        <w:rPr>
          <w:rFonts w:ascii="Cambria" w:eastAsia="Cambria" w:hAnsi="Cambria" w:cs="Cambria"/>
          <w:i/>
        </w:rPr>
        <w:t>-</w:t>
      </w:r>
      <w:r>
        <w:rPr>
          <w:rFonts w:ascii="Cambria" w:eastAsia="Cambria" w:hAnsi="Cambria" w:cs="Cambria"/>
          <w:i/>
        </w:rPr>
        <w:t xml:space="preserve">p </w:t>
      </w:r>
      <w:r>
        <w:t>model,</w:t>
      </w:r>
      <w:r>
        <w:rPr>
          <w:rFonts w:ascii="Calibri" w:eastAsia="Calibri" w:hAnsi="Calibri" w:cs="Calibri"/>
          <w:vertAlign w:val="superscript"/>
        </w:rPr>
        <w:t>76</w:t>
      </w:r>
    </w:p>
    <w:p w14:paraId="31E1BF93" w14:textId="2982A285" w:rsidR="00DC58FD" w:rsidRPr="00195240" w:rsidRDefault="00DC58FD" w:rsidP="00006A5E">
      <w:pPr>
        <w:pStyle w:val="Equation"/>
        <w:spacing w:before="120" w:line="360" w:lineRule="auto"/>
      </w:pPr>
      <w:r>
        <w:tab/>
      </w:r>
      <w:bookmarkStart w:id="0" w:name="_MON_1710663408"/>
      <w:bookmarkEnd w:id="0"/>
      <w:r w:rsidR="0091413D" w:rsidRPr="00E7470C">
        <w:rPr>
          <w:position w:val="-36"/>
        </w:rPr>
        <w:object w:dxaOrig="4860" w:dyaOrig="825" w14:anchorId="4FF62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3.15pt;height:41.05pt" o:ole="">
            <v:imagedata r:id="rId7" o:title=""/>
          </v:shape>
          <o:OLEObject Type="Embed" ProgID="Word.Document.12" ShapeID="_x0000_i1031" DrawAspect="Content" ObjectID="_1710763812" r:id="rId8">
            <o:FieldCodes>\s</o:FieldCodes>
          </o:OLEObject>
        </w:object>
      </w:r>
      <w:r>
        <w:tab/>
        <w:t>(11)</w:t>
      </w:r>
    </w:p>
    <w:p w14:paraId="5D926469" w14:textId="2EFC114C" w:rsidR="00AB5DD6" w:rsidRDefault="007F190F" w:rsidP="00FD75CE">
      <w:pPr>
        <w:pStyle w:val="Maintext"/>
        <w:ind w:firstLine="0"/>
      </w:pPr>
      <w:r>
        <w:t xml:space="preserve">where </w:t>
      </w:r>
      <m:oMath>
        <m:r>
          <w:rPr>
            <w:rFonts w:ascii="Cambria Math" w:hAnsi="Cambria Math"/>
          </w:rPr>
          <m:t>ϵ</m:t>
        </m:r>
      </m:oMath>
      <w:r>
        <w:rPr>
          <w:rFonts w:ascii="Cambria" w:eastAsia="Cambria" w:hAnsi="Cambria" w:cs="Cambria"/>
          <w:i/>
        </w:rPr>
        <w:t xml:space="preserve"> </w:t>
      </w:r>
      <w:r>
        <w:t>is the electron kinetic energy</w:t>
      </w:r>
      <w:r w:rsidR="00AB5DD6">
        <w:t xml:space="preserve"> and</w:t>
      </w:r>
      <w:r w:rsidR="0055756B">
        <w:t xml:space="preserve"> </w:t>
      </w:r>
      <m:oMath>
        <m:sSub>
          <m:sSubPr>
            <m:ctrlPr>
              <w:rPr>
                <w:rFonts w:ascii="Cambria Math" w:hAnsi="Cambria Math"/>
                <w:i/>
                <w:iCs/>
              </w:rPr>
            </m:ctrlPr>
          </m:sSubPr>
          <m:e>
            <m:r>
              <w:rPr>
                <w:rFonts w:ascii="Cambria Math" w:hAnsi="Cambria Math"/>
              </w:rPr>
              <m:t>γ</m:t>
            </m:r>
          </m:e>
          <m:sub>
            <m:r>
              <w:rPr>
                <w:rFonts w:ascii="Cambria Math" w:hAnsi="Cambria Math"/>
              </w:rPr>
              <m:t>p</m:t>
            </m:r>
          </m:sub>
        </m:sSub>
      </m:oMath>
      <w:r>
        <w:t xml:space="preserve"> </w:t>
      </w:r>
      <w:r w:rsidR="0055756B">
        <w:t xml:space="preserve">is the </w:t>
      </w:r>
      <w:r w:rsidR="0091413D">
        <w:t>fraction</w:t>
      </w:r>
      <w:r w:rsidR="0055756B">
        <w:t xml:space="preserve"> of </w:t>
      </w:r>
      <w:r w:rsidR="0055756B">
        <w:rPr>
          <w:rFonts w:ascii="Cambria" w:eastAsia="Cambria" w:hAnsi="Cambria" w:cs="Cambria"/>
          <w:i/>
        </w:rPr>
        <w:t xml:space="preserve">p </w:t>
      </w:r>
      <w:r w:rsidR="0055756B">
        <w:t>character</w:t>
      </w:r>
      <w:r w:rsidR="00F74192">
        <w:t xml:space="preserve"> of the detachment orbital described </w:t>
      </w:r>
      <w:proofErr w:type="gramStart"/>
      <w:r w:rsidR="00F74192">
        <w:t>as</w:t>
      </w:r>
      <w:proofErr w:type="gramEnd"/>
      <w:r w:rsidR="00F74192">
        <w:t xml:space="preserve"> </w:t>
      </w:r>
    </w:p>
    <w:p w14:paraId="1BD6AEE2" w14:textId="472ADAAE" w:rsidR="00F74192" w:rsidRPr="00195240" w:rsidRDefault="00F74192" w:rsidP="00F74192">
      <w:pPr>
        <w:pStyle w:val="Equation"/>
        <w:spacing w:before="120"/>
      </w:pPr>
      <w:r>
        <w:tab/>
      </w:r>
      <m:oMath>
        <m:d>
          <m:dPr>
            <m:begChr m:val=""/>
            <m:endChr m:val="⟩"/>
            <m:ctrlPr>
              <w:rPr>
                <w:rFonts w:ascii="Cambria Math" w:hAnsi="Cambria Math"/>
                <w:i/>
              </w:rPr>
            </m:ctrlPr>
          </m:dPr>
          <m:e>
            <m:r>
              <w:rPr>
                <w:rFonts w:ascii="Cambria Math" w:hAnsi="Cambria Math"/>
              </w:rPr>
              <m:t>|</m:t>
            </m:r>
            <m:r>
              <w:rPr>
                <w:rFonts w:ascii="Cambria Math" w:hAnsi="Cambria Math"/>
              </w:rPr>
              <m:t>ψ</m:t>
            </m:r>
          </m:e>
        </m:d>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γ</m:t>
                </m:r>
              </m:e>
              <m:sub>
                <m:r>
                  <w:rPr>
                    <w:rFonts w:ascii="Cambria Math" w:hAnsi="Cambria Math"/>
                  </w:rPr>
                  <m:t>p</m:t>
                </m:r>
              </m:sub>
            </m:sSub>
          </m:e>
        </m:ra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p</m:t>
                </m:r>
              </m:sub>
            </m:sSub>
          </m:e>
        </m:rad>
        <m:r>
          <w:rPr>
            <w:rFonts w:ascii="Cambria Math" w:hAnsi="Cambria Math"/>
          </w:rPr>
          <m:t>|</m:t>
        </m:r>
        <m:d>
          <m:dPr>
            <m:begChr m:val=""/>
            <m:endChr m:val="⟩"/>
            <m:ctrlPr>
              <w:rPr>
                <w:rFonts w:ascii="Cambria Math" w:hAnsi="Cambria Math"/>
                <w:i/>
              </w:rPr>
            </m:ctrlPr>
          </m:dPr>
          <m:e>
            <m:r>
              <w:rPr>
                <w:rFonts w:ascii="Cambria Math" w:hAnsi="Cambria Math"/>
              </w:rPr>
              <m:t>p</m:t>
            </m:r>
          </m:e>
        </m:d>
      </m:oMath>
      <w:r>
        <w:tab/>
        <w:t>(12)</w:t>
      </w:r>
    </w:p>
    <w:p w14:paraId="7497E50B" w14:textId="511C18A6" w:rsidR="00BD6FAD" w:rsidRPr="00006A5E" w:rsidRDefault="007F190F" w:rsidP="004D2263">
      <w:pPr>
        <w:pStyle w:val="Maintext"/>
        <w:ind w:firstLine="0"/>
      </w:pPr>
      <w:r w:rsidRPr="0089617D">
        <w:rPr>
          <w:i/>
          <w:iCs/>
        </w:rPr>
        <w:t>A</w:t>
      </w:r>
      <w:r w:rsidR="00FD75CE">
        <w:rPr>
          <w:vertAlign w:val="subscript"/>
        </w:rPr>
        <w:t>1</w:t>
      </w:r>
      <w:r w:rsidR="00FD75CE">
        <w:t xml:space="preserve"> and </w:t>
      </w:r>
      <w:r w:rsidR="00FD75CE">
        <w:rPr>
          <w:i/>
          <w:iCs/>
        </w:rPr>
        <w:t>B</w:t>
      </w:r>
      <w:r w:rsidR="00FD75CE">
        <w:rPr>
          <w:vertAlign w:val="subscript"/>
        </w:rPr>
        <w:t>1</w:t>
      </w:r>
      <w:r w:rsidR="00FD75CE">
        <w:t xml:space="preserve"> </w:t>
      </w:r>
      <w:r w:rsidR="00F74192">
        <w:t xml:space="preserve">in Eq. (11) </w:t>
      </w:r>
      <w:r w:rsidR="00FD75CE">
        <w:t xml:space="preserve">are the generalized </w:t>
      </w:r>
      <w:r>
        <w:t>Hanstorp</w:t>
      </w:r>
      <w:r w:rsidR="00423C04">
        <w:rPr>
          <w:vertAlign w:val="superscript"/>
        </w:rPr>
        <w:t>REF</w:t>
      </w:r>
      <w:r w:rsidR="00DD5FFA">
        <w:rPr>
          <w:vertAlign w:val="superscript"/>
        </w:rPr>
        <w:fldChar w:fldCharType="begin"/>
      </w:r>
      <w:r w:rsidR="00DD5FFA">
        <w:rPr>
          <w:vertAlign w:val="superscript"/>
        </w:rPr>
        <w:instrText xml:space="preserve"> ADDIN EN.CITE &lt;EndNote&gt;&lt;Cite&gt;&lt;Author&gt;Hanstorp&lt;/Author&gt;&lt;Year&gt;1989&lt;/Year&gt;&lt;RecNum&gt;1033&lt;/RecNum&gt;&lt;DisplayText&gt;&lt;style face="superscript"&gt;1&lt;/style&gt;&lt;/DisplayText&gt;&lt;record&gt;&lt;rec-number&gt;1033&lt;/rec-number&gt;&lt;foreign-keys&gt;&lt;key app="EN" db-id="stz0xafd5ddreoedxt1xverhdsewat599vvw" timestamp="0"&gt;1033&lt;/key&gt;&lt;/foreign-keys&gt;&lt;ref-type name="Journal Article"&gt;17&lt;/ref-type&gt;&lt;contributors&gt;&lt;authors&gt;&lt;author&gt;Hanstorp, D.&lt;/author&gt;&lt;author&gt;Bengtsson, C.&lt;/author&gt;&lt;author&gt;Larson, D.J.&lt;/author&gt;&lt;/authors&gt;&lt;/contributors&gt;&lt;titles&gt;&lt;title&gt;&lt;style face="normal" font="default" size="100%"&gt;Angular distributions in photodetachment from O&lt;/style&gt;&lt;style face="superscript" font="Symbol" charset="2" size="100%"&gt;-&lt;/style&gt;&lt;/title&gt;&lt;secondary-title&gt;Physical Review A&lt;/secondary-title&gt;&lt;/titles&gt;&lt;periodical&gt;&lt;full-title&gt;Physical Review A&lt;/full-title&gt;&lt;abbr-1&gt;Phys. Rev. A&lt;/abbr-1&gt;&lt;/periodical&gt;&lt;pages&gt;670-675&lt;/pages&gt;&lt;volume&gt;40&lt;/volume&gt;&lt;number&gt;2&lt;/number&gt;&lt;dates&gt;&lt;year&gt;1989&lt;/year&gt;&lt;/dates&gt;&lt;urls&gt;&lt;related-urls&gt;&lt;url&gt;http://pra.aps.org/abstract/PRA/v40/i2/p670_1&lt;/url&gt;&lt;/related-urls&gt;&lt;/urls&gt;&lt;/record&gt;&lt;/Cite&gt;&lt;/EndNote&gt;</w:instrText>
      </w:r>
      <w:r w:rsidR="00DD5FFA">
        <w:rPr>
          <w:vertAlign w:val="superscript"/>
        </w:rPr>
        <w:fldChar w:fldCharType="separate"/>
      </w:r>
      <w:r w:rsidR="00DD5FFA">
        <w:rPr>
          <w:noProof/>
          <w:vertAlign w:val="superscript"/>
        </w:rPr>
        <w:t>1</w:t>
      </w:r>
      <w:r w:rsidR="00DD5FFA">
        <w:rPr>
          <w:vertAlign w:val="superscript"/>
        </w:rPr>
        <w:fldChar w:fldCharType="end"/>
      </w:r>
      <w:r>
        <w:t xml:space="preserve"> coefficient</w:t>
      </w:r>
      <w:r w:rsidR="00FD75CE">
        <w:t>s describing the</w:t>
      </w:r>
      <w:r w:rsidR="007573A6">
        <w:t xml:space="preserve"> </w:t>
      </w:r>
      <w:r w:rsidR="008F066A">
        <w:t xml:space="preserve">assumed </w:t>
      </w:r>
      <w:r w:rsidR="007573A6">
        <w:t>Wigner-like</w:t>
      </w:r>
      <w:r w:rsidR="00423C04">
        <w:rPr>
          <w:vertAlign w:val="superscript"/>
        </w:rPr>
        <w:t>REF</w:t>
      </w:r>
      <w:r>
        <w:rPr>
          <w:vertAlign w:val="superscript"/>
        </w:rPr>
        <w:fldChar w:fldCharType="begin"/>
      </w:r>
      <w:r>
        <w:rPr>
          <w:vertAlign w:val="superscript"/>
        </w:rPr>
        <w:instrText xml:space="preserve"> ADDIN EN.CITE &lt;EndNote&gt;&lt;Cite&gt;&lt;Author&gt;Wigner&lt;/Author&gt;&lt;Year&gt;1948&lt;/Year&gt;&lt;RecNum&gt;1797&lt;/RecNum&gt;&lt;DisplayText&gt;&lt;style face="superscript"&gt;2&lt;/style&gt;&lt;/DisplayText&gt;&lt;record&gt;&lt;rec-number&gt;1797&lt;/rec-number&gt;&lt;foreign-keys&gt;&lt;key app="EN" db-id="stz0xafd5ddreoedxt1xverhdsewat599vvw" timestamp="0"&gt;1797&lt;/key&gt;&lt;/foreign-keys&gt;&lt;ref-type name="Journal Article"&gt;17&lt;/ref-type&gt;&lt;contributors&gt;&lt;authors&gt;&lt;author&gt;Wigner, E. P.&lt;/author&gt;&lt;/authors&gt;&lt;/contributors&gt;&lt;titles&gt;&lt;title&gt;On the behavior of cross sections near thresholds&lt;/title&gt;&lt;secondary-title&gt;Physical Review&lt;/secondary-title&gt;&lt;/titles&gt;&lt;periodical&gt;&lt;full-title&gt;Physical Review&lt;/full-title&gt;&lt;abbr-1&gt;Phys. Rev.&lt;/abbr-1&gt;&lt;/periodical&gt;&lt;pages&gt;1002-1009&lt;/pages&gt;&lt;volume&gt;73&lt;/volume&gt;&lt;number&gt;9&lt;/number&gt;&lt;dates&gt;&lt;year&gt;1948&lt;/year&gt;&lt;/dates&gt;&lt;urls&gt;&lt;/urls&gt;&lt;/record&gt;&lt;/Cite&gt;&lt;/EndNote&gt;</w:instrText>
      </w:r>
      <w:r>
        <w:rPr>
          <w:vertAlign w:val="superscript"/>
        </w:rPr>
        <w:fldChar w:fldCharType="separate"/>
      </w:r>
      <w:r>
        <w:rPr>
          <w:noProof/>
          <w:vertAlign w:val="superscript"/>
        </w:rPr>
        <w:t>2</w:t>
      </w:r>
      <w:r>
        <w:rPr>
          <w:vertAlign w:val="superscript"/>
        </w:rPr>
        <w:fldChar w:fldCharType="end"/>
      </w:r>
      <w:r w:rsidR="007573A6">
        <w:t xml:space="preserve"> </w:t>
      </w:r>
      <w:r w:rsidR="00423C04">
        <w:t>relative scaling</w:t>
      </w:r>
      <w:r w:rsidR="008F066A">
        <w:t>s</w:t>
      </w:r>
      <w:r w:rsidR="007573A6">
        <w:t xml:space="preserve"> </w:t>
      </w:r>
      <w:r w:rsidR="00423C04">
        <w:t xml:space="preserve">of the </w:t>
      </w:r>
      <w:r w:rsidR="00AB5DD6">
        <w:t xml:space="preserve">radial transition </w:t>
      </w:r>
      <w:r w:rsidR="00AB5DD6" w:rsidRPr="004D2263">
        <w:t>dipole</w:t>
      </w:r>
      <w:r w:rsidR="00AB5DD6">
        <w:t xml:space="preserve"> </w:t>
      </w:r>
      <w:r w:rsidR="008F066A">
        <w:t>matrix elements</w:t>
      </w:r>
      <w:r w:rsidR="00AB5DD6">
        <w:t xml:space="preserve"> for </w:t>
      </w:r>
      <w:r w:rsidR="008F066A">
        <w:t xml:space="preserve">different allowed </w:t>
      </w:r>
      <w:r w:rsidR="008F066A">
        <w:t>detachment channels</w:t>
      </w:r>
      <w:r w:rsidR="008F066A">
        <w:t xml:space="preserve">. </w:t>
      </w:r>
      <w:r w:rsidR="00164A36">
        <w:t xml:space="preserve">Specifically,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ϵ</m:t>
        </m:r>
      </m:oMath>
      <w:r w:rsidR="008F066A">
        <w:t xml:space="preserve"> describes the energy-dependent ratio of the </w:t>
      </w:r>
      <w:r w:rsidR="00FD75CE">
        <w:rPr>
          <w:i/>
          <w:iCs/>
        </w:rPr>
        <w:t>p</w:t>
      </w:r>
      <w:r w:rsidR="00FD75CE">
        <w:t xml:space="preserve"> </w:t>
      </w:r>
      <w:r w:rsidR="00FD75CE" w:rsidRPr="008F78E4">
        <w:sym w:font="Symbol" w:char="F0AE"/>
      </w:r>
      <w:r w:rsidR="00FD75CE">
        <w:t xml:space="preserve"> </w:t>
      </w:r>
      <w:r w:rsidR="00FD75CE">
        <w:rPr>
          <w:i/>
          <w:iCs/>
        </w:rPr>
        <w:t>d</w:t>
      </w:r>
      <w:r w:rsidR="00FD75CE">
        <w:t xml:space="preserve"> </w:t>
      </w:r>
      <w:r w:rsidR="008F066A">
        <w:t xml:space="preserve">and </w:t>
      </w:r>
      <w:r w:rsidR="008F066A">
        <w:rPr>
          <w:i/>
          <w:iCs/>
        </w:rPr>
        <w:t>p</w:t>
      </w:r>
      <w:r w:rsidR="008F066A">
        <w:t xml:space="preserve"> </w:t>
      </w:r>
      <w:r w:rsidR="008F066A" w:rsidRPr="008F78E4">
        <w:sym w:font="Symbol" w:char="F0AE"/>
      </w:r>
      <w:r w:rsidR="008F066A">
        <w:t xml:space="preserve"> </w:t>
      </w:r>
      <w:r w:rsidR="008F066A">
        <w:rPr>
          <w:i/>
          <w:iCs/>
        </w:rPr>
        <w:t>s</w:t>
      </w:r>
      <w:r w:rsidR="008F066A">
        <w:t xml:space="preserve"> </w:t>
      </w:r>
      <w:r w:rsidR="008F066A">
        <w:t xml:space="preserve">transition amplitudes, while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ϵ</m:t>
        </m:r>
      </m:oMath>
      <w:r w:rsidR="008F066A" w:rsidRPr="008F066A">
        <w:t xml:space="preserve"> </w:t>
      </w:r>
      <w:r w:rsidR="008F066A">
        <w:t>corresponds to</w:t>
      </w:r>
      <w:r w:rsidR="00FD75CE">
        <w:t xml:space="preserve"> </w:t>
      </w:r>
      <w:r w:rsidR="00164A36">
        <w:t xml:space="preserve">the </w:t>
      </w:r>
      <w:r w:rsidR="00FD75CE">
        <w:rPr>
          <w:i/>
          <w:iCs/>
        </w:rPr>
        <w:t>s</w:t>
      </w:r>
      <w:r w:rsidR="00FD75CE">
        <w:t xml:space="preserve"> </w:t>
      </w:r>
      <w:r w:rsidR="00FD75CE" w:rsidRPr="008F78E4">
        <w:sym w:font="Symbol" w:char="F0AE"/>
      </w:r>
      <w:r w:rsidR="00FD75CE">
        <w:t xml:space="preserve"> </w:t>
      </w:r>
      <w:r w:rsidR="00FD75CE">
        <w:rPr>
          <w:i/>
          <w:iCs/>
        </w:rPr>
        <w:t>p</w:t>
      </w:r>
      <w:r w:rsidR="00FD75CE">
        <w:t xml:space="preserve"> </w:t>
      </w:r>
      <w:r w:rsidR="00164A36">
        <w:t xml:space="preserve">and </w:t>
      </w:r>
      <w:r w:rsidR="00FD75CE">
        <w:rPr>
          <w:i/>
          <w:iCs/>
        </w:rPr>
        <w:t>p</w:t>
      </w:r>
      <w:r w:rsidR="00FD75CE">
        <w:t xml:space="preserve"> </w:t>
      </w:r>
      <w:r w:rsidR="00FD75CE" w:rsidRPr="008F78E4">
        <w:sym w:font="Symbol" w:char="F0AE"/>
      </w:r>
      <w:r w:rsidR="00FD75CE">
        <w:t xml:space="preserve"> </w:t>
      </w:r>
      <w:r w:rsidR="00FD75CE">
        <w:rPr>
          <w:i/>
          <w:iCs/>
        </w:rPr>
        <w:t>s</w:t>
      </w:r>
      <w:r w:rsidR="00164A36">
        <w:t xml:space="preserve"> cross-section ratio</w:t>
      </w:r>
      <w:r w:rsidR="0089617D">
        <w:t>.</w:t>
      </w:r>
      <w:r w:rsidR="00164A36">
        <w:rPr>
          <w:vertAlign w:val="superscript"/>
        </w:rPr>
        <w:t>76</w:t>
      </w:r>
      <w:r w:rsidR="00FD75CE">
        <w:t xml:space="preserve"> </w:t>
      </w:r>
      <w:r w:rsidR="00164A36">
        <w:t>It can be shown that u</w:t>
      </w:r>
      <w:r w:rsidR="00F74192">
        <w:t xml:space="preserve">nder certain approximations </w:t>
      </w:r>
      <w:r w:rsidR="00006A5E">
        <w:rPr>
          <w:i/>
          <w:iCs/>
        </w:rPr>
        <w:t>B</w:t>
      </w:r>
      <w:r w:rsidR="00006A5E">
        <w:rPr>
          <w:vertAlign w:val="subscript"/>
        </w:rPr>
        <w:t>1</w:t>
      </w:r>
      <w:r w:rsidR="00006A5E">
        <w:t>/</w:t>
      </w:r>
      <w:r w:rsidR="00006A5E">
        <w:rPr>
          <w:i/>
          <w:iCs/>
        </w:rPr>
        <w:t>A</w:t>
      </w:r>
      <w:r w:rsidR="00006A5E">
        <w:rPr>
          <w:vertAlign w:val="subscript"/>
        </w:rPr>
        <w:t>1</w:t>
      </w:r>
      <w:r w:rsidR="00006A5E">
        <w:t xml:space="preserve"> = 8/3.</w:t>
      </w:r>
      <w:r w:rsidR="004D2263">
        <w:rPr>
          <w:vertAlign w:val="superscript"/>
        </w:rPr>
        <w:t>REF</w:t>
      </w:r>
      <w:r>
        <w:rPr>
          <w:vertAlign w:val="superscript"/>
        </w:rPr>
        <w:fldChar w:fldCharType="begin"/>
      </w:r>
      <w:r>
        <w:rPr>
          <w:vertAlign w:val="superscript"/>
        </w:rPr>
        <w:instrText xml:space="preserve"> ADDIN EN.CITE &lt;EndNote&gt;&lt;Cite&gt;&lt;Author&gt;Sanov&lt;/Author&gt;&lt;Year&gt;2013&lt;/Year&gt;&lt;RecNum&gt;3592&lt;/RecNum&gt;&lt;DisplayText&gt;&lt;style face="superscript"&gt;3&lt;/style&gt;&lt;/DisplayText&gt;&lt;record&gt;&lt;rec-number&gt;3592&lt;/rec-number&gt;&lt;foreign-keys&gt;&lt;key app="EN" db-id="stz0xafd5ddreoedxt1xverhdsewat599vvw" timestamp="0"&gt;3592&lt;/key&gt;&lt;/foreign-keys&gt;&lt;ref-type name="Journal Article"&gt;17&lt;/ref-type&gt;&lt;contributors&gt;&lt;authors&gt;&lt;author&gt;Sanov, A.&lt;/author&gt;&lt;author&gt;Grumbling, E. R.&lt;/author&gt;&lt;author&gt;Goebbert, D. J.&lt;/author&gt;&lt;author&gt;Culberson, L. M.&lt;/author&gt;&lt;/authors&gt;&lt;/contributors&gt;&lt;titles&gt;&lt;title&gt;Photodetachment anisotropy for mixed s-p orbitals: 8/3 and other fractions&lt;/title&gt;&lt;secondary-title&gt;Journal of Chemical Physics&lt;/secondary-title&gt;&lt;/titles&gt;&lt;periodical&gt;&lt;full-title&gt;Journal of Chemical Physics&lt;/full-title&gt;&lt;abbr-1&gt;J. Chem. Phys.&lt;/abbr-1&gt;&lt;/periodical&gt;&lt;pages&gt;054311&lt;/pages&gt;&lt;volume&gt;138&lt;/volume&gt;&lt;dates&gt;&lt;year&gt;2013&lt;/year&gt;&lt;/dates&gt;&lt;urls&gt;&lt;/urls&gt;&lt;/record&gt;&lt;/Cite&gt;&lt;/EndNote&gt;</w:instrText>
      </w:r>
      <w:r>
        <w:rPr>
          <w:vertAlign w:val="superscript"/>
        </w:rPr>
        <w:fldChar w:fldCharType="separate"/>
      </w:r>
      <w:r>
        <w:rPr>
          <w:noProof/>
          <w:vertAlign w:val="superscript"/>
        </w:rPr>
        <w:t>3</w:t>
      </w:r>
      <w:r>
        <w:rPr>
          <w:vertAlign w:val="superscript"/>
        </w:rPr>
        <w:fldChar w:fldCharType="end"/>
      </w:r>
      <w:r w:rsidR="00006A5E">
        <w:t xml:space="preserve"> </w:t>
      </w:r>
      <w:r w:rsidR="00920AA4">
        <w:t xml:space="preserve">Finally, </w:t>
      </w:r>
      <m:oMath>
        <m:sSub>
          <m:sSubPr>
            <m:ctrlPr>
              <w:rPr>
                <w:rFonts w:ascii="Cambria Math" w:hAnsi="Cambria Math"/>
                <w:i/>
                <w:iCs/>
              </w:rPr>
            </m:ctrlPr>
          </m:sSubPr>
          <m:e>
            <m:r>
              <w:rPr>
                <w:rFonts w:ascii="Cambria Math" w:hAnsi="Cambria Math"/>
              </w:rPr>
              <m:t>δ</m:t>
            </m:r>
          </m:e>
          <m:sub>
            <m:r>
              <w:rPr>
                <w:rFonts w:ascii="Cambria Math" w:hAnsi="Cambria Math"/>
              </w:rPr>
              <m:t>2,0</m:t>
            </m:r>
          </m:sub>
        </m:sSub>
      </m:oMath>
      <w:r w:rsidR="00006A5E">
        <w:rPr>
          <w:rFonts w:eastAsiaTheme="minorEastAsia"/>
          <w:iCs/>
        </w:rPr>
        <w:t xml:space="preserve"> </w:t>
      </w:r>
      <w:r w:rsidR="00920AA4">
        <w:rPr>
          <w:rFonts w:eastAsiaTheme="minorEastAsia"/>
          <w:iCs/>
        </w:rPr>
        <w:t xml:space="preserve">in Eq. (11) </w:t>
      </w:r>
      <w:r w:rsidR="00006A5E">
        <w:rPr>
          <w:rFonts w:eastAsiaTheme="minorEastAsia"/>
          <w:iCs/>
        </w:rPr>
        <w:t xml:space="preserve">is the phase shift between the </w:t>
      </w:r>
      <w:r w:rsidR="00006A5E">
        <w:rPr>
          <w:rFonts w:eastAsiaTheme="minorEastAsia"/>
          <w:i/>
        </w:rPr>
        <w:t>s</w:t>
      </w:r>
      <w:r w:rsidR="00006A5E">
        <w:t xml:space="preserve"> and </w:t>
      </w:r>
      <w:r w:rsidR="00006A5E">
        <w:rPr>
          <w:i/>
          <w:iCs/>
        </w:rPr>
        <w:t>d</w:t>
      </w:r>
      <w:r w:rsidR="00006A5E">
        <w:t xml:space="preserve"> pa</w:t>
      </w:r>
      <w:r w:rsidR="00423C04">
        <w:t xml:space="preserve">rtial waves, which in most cases of anion photodetachment </w:t>
      </w:r>
      <w:r w:rsidR="00920AA4">
        <w:t>is</w:t>
      </w:r>
      <w:r w:rsidR="00423C04">
        <w:t xml:space="preserve"> assumed to be small, corresponding to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iCs/>
                  </w:rPr>
                </m:ctrlPr>
              </m:sSubPr>
              <m:e>
                <m:r>
                  <w:rPr>
                    <w:rFonts w:ascii="Cambria Math" w:hAnsi="Cambria Math"/>
                  </w:rPr>
                  <m:t>δ</m:t>
                </m:r>
              </m:e>
              <m:sub>
                <m:r>
                  <w:rPr>
                    <w:rFonts w:ascii="Cambria Math" w:hAnsi="Cambria Math"/>
                  </w:rPr>
                  <m:t>2,0</m:t>
                </m:r>
              </m:sub>
            </m:sSub>
          </m:e>
        </m:func>
        <m:r>
          <w:rPr>
            <w:rFonts w:ascii="Cambria Math" w:eastAsiaTheme="minorEastAsia" w:hAnsi="Cambria Math"/>
          </w:rPr>
          <m:t>≈1</m:t>
        </m:r>
      </m:oMath>
      <w:r w:rsidR="00423C04">
        <w:rPr>
          <w:rFonts w:eastAsiaTheme="minorEastAsia"/>
        </w:rPr>
        <w:t>.</w:t>
      </w:r>
    </w:p>
    <w:p w14:paraId="2292FCFD" w14:textId="70B855DF" w:rsidR="00BD6FAD" w:rsidRDefault="007F190F" w:rsidP="0091413D">
      <w:pPr>
        <w:pStyle w:val="Maintext"/>
      </w:pPr>
      <w:r>
        <w:t xml:space="preserve">From Eq. (11) </w:t>
      </w:r>
      <w:proofErr w:type="gramStart"/>
      <w:r>
        <w:t>it can be seen that detachment</w:t>
      </w:r>
      <w:proofErr w:type="gramEnd"/>
      <w:r>
        <w:t xml:space="preserve"> from a pure </w:t>
      </w:r>
      <w:r>
        <w:rPr>
          <w:rFonts w:ascii="Cambria" w:eastAsia="Cambria" w:hAnsi="Cambria" w:cs="Cambria"/>
          <w:i/>
        </w:rPr>
        <w:t xml:space="preserve">s </w:t>
      </w:r>
      <w:r>
        <w:t>orbital</w:t>
      </w:r>
      <w:r w:rsidR="0091413D">
        <w:t xml:space="preserve"> (</w:t>
      </w:r>
      <m:oMath>
        <m:sSub>
          <m:sSubPr>
            <m:ctrlPr>
              <w:rPr>
                <w:rFonts w:ascii="Cambria Math" w:hAnsi="Cambria Math"/>
                <w:i/>
                <w:iCs/>
              </w:rPr>
            </m:ctrlPr>
          </m:sSubPr>
          <m:e>
            <m:r>
              <w:rPr>
                <w:rFonts w:ascii="Cambria Math" w:hAnsi="Cambria Math"/>
              </w:rPr>
              <m:t>γ</m:t>
            </m:r>
          </m:e>
          <m:sub>
            <m:r>
              <w:rPr>
                <w:rFonts w:ascii="Cambria Math" w:hAnsi="Cambria Math"/>
              </w:rPr>
              <m:t>p</m:t>
            </m:r>
          </m:sub>
        </m:sSub>
        <m:r>
          <w:rPr>
            <w:rFonts w:ascii="Cambria Math" w:hAnsi="Cambria Math"/>
          </w:rPr>
          <m:t>=0)</m:t>
        </m:r>
      </m:oMath>
      <w:r>
        <w:t xml:space="preserve"> will have a positive anisotropy (</w:t>
      </w:r>
      <w:r>
        <w:rPr>
          <w:rFonts w:ascii="Cambria" w:eastAsia="Cambria" w:hAnsi="Cambria" w:cs="Cambria"/>
          <w:i/>
        </w:rPr>
        <w:t xml:space="preserve">β </w:t>
      </w:r>
      <w:r>
        <w:rPr>
          <w:rFonts w:ascii="Cambria" w:eastAsia="Cambria" w:hAnsi="Cambria" w:cs="Cambria"/>
        </w:rPr>
        <w:t>= +2</w:t>
      </w:r>
      <w:r>
        <w:t xml:space="preserve">), whereas detachment from a pure </w:t>
      </w:r>
      <w:r>
        <w:rPr>
          <w:rFonts w:ascii="Cambria" w:eastAsia="Cambria" w:hAnsi="Cambria" w:cs="Cambria"/>
          <w:i/>
        </w:rPr>
        <w:t xml:space="preserve">p </w:t>
      </w:r>
      <w:r>
        <w:t>orbital</w:t>
      </w:r>
      <w:r w:rsidR="0091413D">
        <w:t xml:space="preserve"> </w:t>
      </w:r>
      <w:r w:rsidR="0091413D">
        <w:t>(</w:t>
      </w:r>
      <m:oMath>
        <m:sSub>
          <m:sSubPr>
            <m:ctrlPr>
              <w:rPr>
                <w:rFonts w:ascii="Cambria Math" w:hAnsi="Cambria Math"/>
                <w:i/>
                <w:iCs/>
              </w:rPr>
            </m:ctrlPr>
          </m:sSubPr>
          <m:e>
            <m:r>
              <w:rPr>
                <w:rFonts w:ascii="Cambria Math" w:hAnsi="Cambria Math"/>
              </w:rPr>
              <m:t>γ</m:t>
            </m:r>
          </m:e>
          <m:sub>
            <m:r>
              <w:rPr>
                <w:rFonts w:ascii="Cambria Math" w:hAnsi="Cambria Math"/>
              </w:rPr>
              <m:t>p</m:t>
            </m:r>
          </m:sub>
        </m:sSub>
        <m:r>
          <w:rPr>
            <w:rFonts w:ascii="Cambria Math" w:hAnsi="Cambria Math"/>
          </w:rPr>
          <m:t>=</m:t>
        </m:r>
        <m:r>
          <w:rPr>
            <w:rFonts w:ascii="Cambria Math" w:hAnsi="Cambria Math"/>
          </w:rPr>
          <m:t>1</m:t>
        </m:r>
        <m:r>
          <w:rPr>
            <w:rFonts w:ascii="Cambria Math" w:hAnsi="Cambria Math"/>
          </w:rPr>
          <m:t>)</m:t>
        </m:r>
      </m:oMath>
      <w:r>
        <w:t xml:space="preserve"> will have a negative anisotropy for electron kinetic energies</w:t>
      </w:r>
      <w:r w:rsidR="00B20742">
        <w:t xml:space="preserve"> </w:t>
      </w:r>
      <m:oMath>
        <m:r>
          <w:rPr>
            <w:rFonts w:ascii="Cambria Math" w:hAnsi="Cambria Math"/>
          </w:rPr>
          <m:t>ϵ</m:t>
        </m:r>
        <m:r>
          <w:rPr>
            <w:rFonts w:ascii="Cambria Math" w:hAnsi="Cambria Math"/>
          </w:rPr>
          <m:t>&lt;2/</m:t>
        </m:r>
        <m:sSub>
          <m:sSubPr>
            <m:ctrlPr>
              <w:rPr>
                <w:rFonts w:ascii="Cambria Math" w:hAnsi="Cambria Math"/>
                <w:i/>
              </w:rPr>
            </m:ctrlPr>
          </m:sSubPr>
          <m:e>
            <m:r>
              <w:rPr>
                <w:rFonts w:ascii="Cambria Math" w:hAnsi="Cambria Math"/>
              </w:rPr>
              <m:t>A</m:t>
            </m:r>
          </m:e>
          <m:sub>
            <m:r>
              <w:rPr>
                <w:rFonts w:ascii="Cambria Math" w:hAnsi="Cambria Math"/>
              </w:rPr>
              <m:t>1</m:t>
            </m:r>
          </m:sub>
        </m:sSub>
      </m:oMath>
      <w:r w:rsidR="00B20742">
        <w:rPr>
          <w:rFonts w:eastAsiaTheme="minorEastAsia"/>
        </w:rPr>
        <w:t>.</w:t>
      </w:r>
      <w:r>
        <w:t xml:space="preserve"> Therefore, measuring the anisotropy </w:t>
      </w:r>
      <w:r w:rsidR="00B20742">
        <w:t xml:space="preserve">can help </w:t>
      </w:r>
      <w:r>
        <w:t xml:space="preserve">determine the electronic character of each individual transition, which may be compared to the calculated symmetries in Figure 3. The anisotropy parameters were measured for every detachment wavelength and prominent transition in the </w:t>
      </w:r>
      <w:r w:rsidRPr="00B20742">
        <w:t>C</w:t>
      </w:r>
      <w:r w:rsidR="00B20742" w:rsidRPr="00B20742">
        <w:rPr>
          <w:vertAlign w:val="subscript"/>
        </w:rPr>
        <w:t>2</w:t>
      </w:r>
      <w:r w:rsidRPr="00B20742">
        <w:t>H</w:t>
      </w:r>
      <w:r>
        <w:rPr>
          <w:rFonts w:ascii="Cambria" w:eastAsia="Cambria" w:hAnsi="Cambria" w:cs="Cambria"/>
          <w:vertAlign w:val="superscript"/>
        </w:rPr>
        <w:t xml:space="preserve">− </w:t>
      </w:r>
      <w:r>
        <w:t xml:space="preserve">photoelectron spectra from this </w:t>
      </w:r>
      <w:proofErr w:type="gramStart"/>
      <w:r>
        <w:t>work, and</w:t>
      </w:r>
      <w:proofErr w:type="gramEnd"/>
      <w:r>
        <w:t xml:space="preserve"> are presented in Figure 5. Fitting Eq. (11) to the anisotropy parameters from </w:t>
      </w:r>
      <w:r>
        <w:rPr>
          <w:rFonts w:ascii="Cambria" w:eastAsia="Cambria" w:hAnsi="Cambria" w:cs="Cambria"/>
          <w:vertAlign w:val="superscript"/>
        </w:rPr>
        <w:t>2</w:t>
      </w:r>
      <w:r>
        <w:rPr>
          <w:rFonts w:ascii="Cambria" w:eastAsia="Cambria" w:hAnsi="Cambria" w:cs="Cambria"/>
        </w:rPr>
        <w:t xml:space="preserve">Π </w:t>
      </w:r>
      <w:r>
        <w:t xml:space="preserve">state detachment, with </w:t>
      </w:r>
      <m:oMath>
        <m:sSub>
          <m:sSubPr>
            <m:ctrlPr>
              <w:rPr>
                <w:rFonts w:ascii="Cambria Math" w:hAnsi="Cambria Math"/>
                <w:i/>
                <w:iCs/>
              </w:rPr>
            </m:ctrlPr>
          </m:sSubPr>
          <m:e>
            <m:r>
              <w:rPr>
                <w:rFonts w:ascii="Cambria Math" w:hAnsi="Cambria Math"/>
              </w:rPr>
              <m:t>γ</m:t>
            </m:r>
          </m:e>
          <m:sub>
            <m:r>
              <w:rPr>
                <w:rFonts w:ascii="Cambria Math" w:hAnsi="Cambria Math"/>
              </w:rPr>
              <m:t>p</m:t>
            </m:r>
          </m:sub>
        </m:sSub>
        <m:r>
          <w:rPr>
            <w:rFonts w:ascii="Cambria Math" w:hAnsi="Cambria Math"/>
          </w:rPr>
          <m:t>=0.9</m:t>
        </m:r>
      </m:oMath>
      <w:r>
        <w:t xml:space="preserve"> produces a Hanstorp coefficient of </w:t>
      </w:r>
      <w:r>
        <w:rPr>
          <w:rFonts w:ascii="Cambria" w:eastAsia="Cambria" w:hAnsi="Cambria" w:cs="Cambria"/>
          <w:i/>
        </w:rPr>
        <w:t>A</w:t>
      </w:r>
      <w:r>
        <w:rPr>
          <w:rFonts w:ascii="Cambria" w:eastAsia="Cambria" w:hAnsi="Cambria" w:cs="Cambria"/>
          <w:vertAlign w:val="subscript"/>
        </w:rPr>
        <w:t>1</w:t>
      </w:r>
      <w:r w:rsidR="00744F66">
        <w:rPr>
          <w:rFonts w:ascii="Cambria" w:eastAsia="Cambria" w:hAnsi="Cambria" w:cs="Cambria"/>
          <w:vertAlign w:val="subscript"/>
        </w:rPr>
        <w:t xml:space="preserve"> </w:t>
      </w:r>
      <w:r>
        <w:t>=</w:t>
      </w:r>
      <w:r w:rsidR="00744F66">
        <w:t xml:space="preserve"> </w:t>
      </w:r>
      <w:r>
        <w:t xml:space="preserve">0.66(4) </w:t>
      </w:r>
      <w:proofErr w:type="gramStart"/>
      <w:r>
        <w:t>eV</w:t>
      </w:r>
      <w:r>
        <w:rPr>
          <w:rFonts w:ascii="Cambria" w:eastAsia="Cambria" w:hAnsi="Cambria" w:cs="Cambria"/>
          <w:vertAlign w:val="superscript"/>
        </w:rPr>
        <w:t>−1</w:t>
      </w:r>
      <w:proofErr w:type="gramEnd"/>
      <w:r>
        <w:t>.</w:t>
      </w:r>
    </w:p>
    <w:p w14:paraId="6AC33A74" w14:textId="77777777" w:rsidR="00744F66" w:rsidRDefault="00744F66" w:rsidP="0091413D">
      <w:pPr>
        <w:pStyle w:val="Maintext"/>
      </w:pPr>
    </w:p>
    <w:p w14:paraId="2D2E1E92" w14:textId="33C44467" w:rsidR="0091413D" w:rsidRPr="00744F66" w:rsidRDefault="00744F66" w:rsidP="0091413D">
      <w:pPr>
        <w:pStyle w:val="EndNoteBibliography"/>
        <w:spacing w:after="0"/>
        <w:ind w:left="0" w:firstLine="0"/>
        <w:rPr>
          <w:rFonts w:ascii="Times New Roman" w:hAnsi="Times New Roman" w:cs="Times New Roman"/>
        </w:rPr>
      </w:pPr>
      <w:r>
        <w:rPr>
          <w:rFonts w:ascii="Times New Roman" w:hAnsi="Times New Roman" w:cs="Times New Roman"/>
        </w:rPr>
        <w:t>REF</w:t>
      </w:r>
      <w:r w:rsidR="00DD5FFA" w:rsidRPr="00744F66">
        <w:rPr>
          <w:rFonts w:ascii="Times New Roman" w:hAnsi="Times New Roman" w:cs="Times New Roman"/>
        </w:rPr>
        <w:fldChar w:fldCharType="begin"/>
      </w:r>
      <w:r w:rsidR="00DD5FFA" w:rsidRPr="00744F66">
        <w:rPr>
          <w:rFonts w:ascii="Times New Roman" w:hAnsi="Times New Roman" w:cs="Times New Roman"/>
        </w:rPr>
        <w:instrText xml:space="preserve"> ADDIN EN.REFLIST </w:instrText>
      </w:r>
      <w:r w:rsidR="00DD5FFA" w:rsidRPr="00744F66">
        <w:rPr>
          <w:rFonts w:ascii="Times New Roman" w:hAnsi="Times New Roman" w:cs="Times New Roman"/>
        </w:rPr>
        <w:fldChar w:fldCharType="separate"/>
      </w:r>
      <w:r w:rsidR="0091413D" w:rsidRPr="00744F66">
        <w:rPr>
          <w:rFonts w:ascii="Times New Roman" w:hAnsi="Times New Roman" w:cs="Times New Roman"/>
        </w:rPr>
        <w:t>1.</w:t>
      </w:r>
      <w:r w:rsidR="0091413D" w:rsidRPr="00744F66">
        <w:rPr>
          <w:rFonts w:ascii="Times New Roman" w:hAnsi="Times New Roman" w:cs="Times New Roman"/>
        </w:rPr>
        <w:tab/>
        <w:t>Hanstorp, D.; Bengtsson, C.; Larson, D. J., Angular distributions in photodetachment from O</w:t>
      </w:r>
      <w:r w:rsidR="0091413D" w:rsidRPr="00744F66">
        <w:rPr>
          <w:rFonts w:ascii="Times New Roman" w:hAnsi="Times New Roman" w:cs="Times New Roman"/>
          <w:vertAlign w:val="superscript"/>
        </w:rPr>
        <w:t>-</w:t>
      </w:r>
      <w:r w:rsidR="0091413D" w:rsidRPr="00744F66">
        <w:rPr>
          <w:rFonts w:ascii="Times New Roman" w:hAnsi="Times New Roman" w:cs="Times New Roman"/>
        </w:rPr>
        <w:t xml:space="preserve">. </w:t>
      </w:r>
      <w:r w:rsidR="0091413D" w:rsidRPr="00744F66">
        <w:rPr>
          <w:rFonts w:ascii="Times New Roman" w:hAnsi="Times New Roman" w:cs="Times New Roman"/>
          <w:i/>
        </w:rPr>
        <w:t xml:space="preserve">Phys. Rev. A </w:t>
      </w:r>
      <w:r w:rsidR="0091413D" w:rsidRPr="00744F66">
        <w:rPr>
          <w:rFonts w:ascii="Times New Roman" w:hAnsi="Times New Roman" w:cs="Times New Roman"/>
          <w:b/>
        </w:rPr>
        <w:t>1989,</w:t>
      </w:r>
      <w:r w:rsidR="0091413D" w:rsidRPr="00744F66">
        <w:rPr>
          <w:rFonts w:ascii="Times New Roman" w:hAnsi="Times New Roman" w:cs="Times New Roman"/>
        </w:rPr>
        <w:t xml:space="preserve"> </w:t>
      </w:r>
      <w:r w:rsidR="0091413D" w:rsidRPr="00744F66">
        <w:rPr>
          <w:rFonts w:ascii="Times New Roman" w:hAnsi="Times New Roman" w:cs="Times New Roman"/>
          <w:i/>
        </w:rPr>
        <w:t>40</w:t>
      </w:r>
      <w:r w:rsidR="0091413D" w:rsidRPr="00744F66">
        <w:rPr>
          <w:rFonts w:ascii="Times New Roman" w:hAnsi="Times New Roman" w:cs="Times New Roman"/>
        </w:rPr>
        <w:t>, 670-675.</w:t>
      </w:r>
    </w:p>
    <w:p w14:paraId="02D28B4C" w14:textId="51FBCAD3" w:rsidR="0091413D" w:rsidRPr="00744F66" w:rsidRDefault="00744F66" w:rsidP="0091413D">
      <w:pPr>
        <w:pStyle w:val="EndNoteBibliography"/>
        <w:spacing w:after="0"/>
        <w:ind w:left="0" w:firstLine="0"/>
        <w:rPr>
          <w:rFonts w:ascii="Times New Roman" w:hAnsi="Times New Roman" w:cs="Times New Roman"/>
        </w:rPr>
      </w:pPr>
      <w:r>
        <w:rPr>
          <w:rFonts w:ascii="Times New Roman" w:hAnsi="Times New Roman" w:cs="Times New Roman"/>
        </w:rPr>
        <w:t>REF</w:t>
      </w:r>
      <w:r w:rsidR="0091413D" w:rsidRPr="00744F66">
        <w:rPr>
          <w:rFonts w:ascii="Times New Roman" w:hAnsi="Times New Roman" w:cs="Times New Roman"/>
        </w:rPr>
        <w:t>2.</w:t>
      </w:r>
      <w:r w:rsidR="0091413D" w:rsidRPr="00744F66">
        <w:rPr>
          <w:rFonts w:ascii="Times New Roman" w:hAnsi="Times New Roman" w:cs="Times New Roman"/>
        </w:rPr>
        <w:tab/>
        <w:t xml:space="preserve">Wigner, E. P., On the behavior of cross sections near thresholds. </w:t>
      </w:r>
      <w:r w:rsidR="0091413D" w:rsidRPr="00744F66">
        <w:rPr>
          <w:rFonts w:ascii="Times New Roman" w:hAnsi="Times New Roman" w:cs="Times New Roman"/>
          <w:i/>
        </w:rPr>
        <w:t xml:space="preserve">Phys. Rev. </w:t>
      </w:r>
      <w:r w:rsidR="0091413D" w:rsidRPr="00744F66">
        <w:rPr>
          <w:rFonts w:ascii="Times New Roman" w:hAnsi="Times New Roman" w:cs="Times New Roman"/>
          <w:b/>
        </w:rPr>
        <w:t>1948,</w:t>
      </w:r>
      <w:r w:rsidR="0091413D" w:rsidRPr="00744F66">
        <w:rPr>
          <w:rFonts w:ascii="Times New Roman" w:hAnsi="Times New Roman" w:cs="Times New Roman"/>
        </w:rPr>
        <w:t xml:space="preserve"> </w:t>
      </w:r>
      <w:r w:rsidR="0091413D" w:rsidRPr="00744F66">
        <w:rPr>
          <w:rFonts w:ascii="Times New Roman" w:hAnsi="Times New Roman" w:cs="Times New Roman"/>
          <w:i/>
        </w:rPr>
        <w:t>73</w:t>
      </w:r>
      <w:r w:rsidR="0091413D" w:rsidRPr="00744F66">
        <w:rPr>
          <w:rFonts w:ascii="Times New Roman" w:hAnsi="Times New Roman" w:cs="Times New Roman"/>
        </w:rPr>
        <w:t>, 1002-1009.</w:t>
      </w:r>
    </w:p>
    <w:p w14:paraId="00184B74" w14:textId="1D84954C" w:rsidR="00BD6FAD" w:rsidRDefault="00744F66" w:rsidP="00744F66">
      <w:pPr>
        <w:pStyle w:val="EndNoteBibliography"/>
        <w:ind w:left="0" w:firstLine="0"/>
      </w:pPr>
      <w:r>
        <w:rPr>
          <w:rFonts w:ascii="Times New Roman" w:hAnsi="Times New Roman" w:cs="Times New Roman"/>
        </w:rPr>
        <w:lastRenderedPageBreak/>
        <w:t>REF</w:t>
      </w:r>
      <w:r w:rsidR="0091413D" w:rsidRPr="00744F66">
        <w:rPr>
          <w:rFonts w:ascii="Times New Roman" w:hAnsi="Times New Roman" w:cs="Times New Roman"/>
        </w:rPr>
        <w:t>3.</w:t>
      </w:r>
      <w:r w:rsidR="0091413D" w:rsidRPr="00744F66">
        <w:rPr>
          <w:rFonts w:ascii="Times New Roman" w:hAnsi="Times New Roman" w:cs="Times New Roman"/>
        </w:rPr>
        <w:tab/>
        <w:t xml:space="preserve">Sanov, A.; Grumbling, E. R.; Goebbert, D. J.; Culberson, L. M., Photodetachment anisotropy for mixed s-p orbitals: 8/3 and other fractions. </w:t>
      </w:r>
      <w:r w:rsidR="0091413D" w:rsidRPr="00744F66">
        <w:rPr>
          <w:rFonts w:ascii="Times New Roman" w:hAnsi="Times New Roman" w:cs="Times New Roman"/>
          <w:i/>
        </w:rPr>
        <w:t xml:space="preserve">J. Chem. Phys. </w:t>
      </w:r>
      <w:r w:rsidR="0091413D" w:rsidRPr="00744F66">
        <w:rPr>
          <w:rFonts w:ascii="Times New Roman" w:hAnsi="Times New Roman" w:cs="Times New Roman"/>
          <w:b/>
        </w:rPr>
        <w:t>2013,</w:t>
      </w:r>
      <w:r w:rsidR="0091413D" w:rsidRPr="00744F66">
        <w:rPr>
          <w:rFonts w:ascii="Times New Roman" w:hAnsi="Times New Roman" w:cs="Times New Roman"/>
        </w:rPr>
        <w:t xml:space="preserve"> </w:t>
      </w:r>
      <w:r w:rsidR="0091413D" w:rsidRPr="00744F66">
        <w:rPr>
          <w:rFonts w:ascii="Times New Roman" w:hAnsi="Times New Roman" w:cs="Times New Roman"/>
          <w:i/>
        </w:rPr>
        <w:t>138</w:t>
      </w:r>
      <w:r w:rsidR="0091413D" w:rsidRPr="00744F66">
        <w:rPr>
          <w:rFonts w:ascii="Times New Roman" w:hAnsi="Times New Roman" w:cs="Times New Roman"/>
        </w:rPr>
        <w:t>, 054311.</w:t>
      </w:r>
      <w:r w:rsidR="00DD5FFA" w:rsidRPr="00744F66">
        <w:rPr>
          <w:rFonts w:ascii="Times New Roman" w:hAnsi="Times New Roman" w:cs="Times New Roman"/>
        </w:rPr>
        <w:fldChar w:fldCharType="end"/>
      </w:r>
    </w:p>
    <w:sectPr w:rsidR="00BD6FAD" w:rsidSect="0089617D">
      <w:footerReference w:type="even" r:id="rId9"/>
      <w:footerReference w:type="default" r:id="rId10"/>
      <w:footerReference w:type="first" r:id="rId11"/>
      <w:pgSz w:w="12240" w:h="15840"/>
      <w:pgMar w:top="1440" w:right="1440" w:bottom="1440" w:left="1440" w:header="720" w:footer="79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3797" w14:textId="77777777" w:rsidR="004335D9" w:rsidRDefault="007F190F">
      <w:pPr>
        <w:spacing w:after="0" w:line="240" w:lineRule="auto"/>
      </w:pPr>
      <w:r>
        <w:separator/>
      </w:r>
    </w:p>
  </w:endnote>
  <w:endnote w:type="continuationSeparator" w:id="0">
    <w:p w14:paraId="3387FD36" w14:textId="77777777" w:rsidR="004335D9" w:rsidRDefault="007F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393D" w14:textId="77777777" w:rsidR="00BD6FAD" w:rsidRDefault="007F19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5A68" w14:textId="77777777" w:rsidR="00BD6FAD" w:rsidRDefault="007F19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B634" w14:textId="77777777" w:rsidR="00BD6FAD" w:rsidRDefault="007F19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76B58" w14:textId="77777777" w:rsidR="004335D9" w:rsidRDefault="007F190F">
      <w:pPr>
        <w:spacing w:after="0" w:line="240" w:lineRule="auto"/>
      </w:pPr>
      <w:r>
        <w:separator/>
      </w:r>
    </w:p>
  </w:footnote>
  <w:footnote w:type="continuationSeparator" w:id="0">
    <w:p w14:paraId="2FCF6565" w14:textId="77777777" w:rsidR="004335D9" w:rsidRDefault="007F1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914"/>
    <w:multiLevelType w:val="hybridMultilevel"/>
    <w:tmpl w:val="E88A8E70"/>
    <w:lvl w:ilvl="0" w:tplc="F3C2E338">
      <w:start w:val="1"/>
      <w:numFmt w:val="decimal"/>
      <w:lvlText w:val="(%1)"/>
      <w:lvlJc w:val="left"/>
      <w:pPr>
        <w:ind w:left="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A27F90">
      <w:start w:val="1"/>
      <w:numFmt w:val="lowerLetter"/>
      <w:lvlText w:val="%2"/>
      <w:lvlJc w:val="left"/>
      <w:pPr>
        <w:ind w:left="1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54287C">
      <w:start w:val="1"/>
      <w:numFmt w:val="lowerRoman"/>
      <w:lvlText w:val="%3"/>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02ECAC">
      <w:start w:val="1"/>
      <w:numFmt w:val="decimal"/>
      <w:lvlText w:val="%4"/>
      <w:lvlJc w:val="left"/>
      <w:pPr>
        <w:ind w:left="2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7A184C">
      <w:start w:val="1"/>
      <w:numFmt w:val="lowerLetter"/>
      <w:lvlText w:val="%5"/>
      <w:lvlJc w:val="left"/>
      <w:pPr>
        <w:ind w:left="3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6A6B50">
      <w:start w:val="1"/>
      <w:numFmt w:val="lowerRoman"/>
      <w:lvlText w:val="%6"/>
      <w:lvlJc w:val="left"/>
      <w:pPr>
        <w:ind w:left="3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0A8DF8">
      <w:start w:val="1"/>
      <w:numFmt w:val="decimal"/>
      <w:lvlText w:val="%7"/>
      <w:lvlJc w:val="left"/>
      <w:pPr>
        <w:ind w:left="4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A06956">
      <w:start w:val="1"/>
      <w:numFmt w:val="lowerLetter"/>
      <w:lvlText w:val="%8"/>
      <w:lvlJc w:val="left"/>
      <w:pPr>
        <w:ind w:left="5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1807EA">
      <w:start w:val="1"/>
      <w:numFmt w:val="lowerRoman"/>
      <w:lvlText w:val="%9"/>
      <w:lvlJc w:val="left"/>
      <w:pPr>
        <w:ind w:left="6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Physical Chem 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z0xafd5ddreoedxt1xverhdsewat599vvw&quot;&gt;Cluster&lt;record-ids&gt;&lt;item&gt;1033&lt;/item&gt;&lt;item&gt;1797&lt;/item&gt;&lt;item&gt;3592&lt;/item&gt;&lt;/record-ids&gt;&lt;/item&gt;&lt;/Libraries&gt;"/>
  </w:docVars>
  <w:rsids>
    <w:rsidRoot w:val="00BD6FAD"/>
    <w:rsid w:val="00006A5E"/>
    <w:rsid w:val="00164A36"/>
    <w:rsid w:val="0018757D"/>
    <w:rsid w:val="002D78D2"/>
    <w:rsid w:val="00423C04"/>
    <w:rsid w:val="004335D9"/>
    <w:rsid w:val="004D2263"/>
    <w:rsid w:val="0055756B"/>
    <w:rsid w:val="00744F66"/>
    <w:rsid w:val="007573A6"/>
    <w:rsid w:val="007F190F"/>
    <w:rsid w:val="0089617D"/>
    <w:rsid w:val="008F066A"/>
    <w:rsid w:val="0091413D"/>
    <w:rsid w:val="00920AA4"/>
    <w:rsid w:val="00AB5DD6"/>
    <w:rsid w:val="00B20742"/>
    <w:rsid w:val="00BD6FAD"/>
    <w:rsid w:val="00D04279"/>
    <w:rsid w:val="00DC58FD"/>
    <w:rsid w:val="00DD5FFA"/>
    <w:rsid w:val="00E04A11"/>
    <w:rsid w:val="00F74192"/>
    <w:rsid w:val="00FD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F60068"/>
  <w15:docId w15:val="{8CBDF23B-B15D-4EAC-A7C0-8BD06FB6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417" w:lineRule="auto"/>
      <w:ind w:left="10" w:right="25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85"/>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254"/>
      <w:ind w:left="10" w:hanging="10"/>
      <w:outlineLvl w:val="1"/>
    </w:pPr>
    <w:rPr>
      <w:rFonts w:ascii="Calibri" w:eastAsia="Calibri" w:hAnsi="Calibri" w:cs="Calibri"/>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aintext">
    <w:name w:val="Main text"/>
    <w:basedOn w:val="ListParagraph"/>
    <w:qFormat/>
    <w:rsid w:val="0018757D"/>
    <w:pPr>
      <w:widowControl w:val="0"/>
      <w:spacing w:after="0" w:line="360" w:lineRule="auto"/>
      <w:ind w:left="0" w:right="0" w:firstLine="360"/>
    </w:pPr>
    <w:rPr>
      <w:rFonts w:ascii="Times New Roman" w:eastAsiaTheme="minorHAnsi" w:hAnsi="Times New Roman" w:cs="Times New Roman"/>
      <w:color w:val="auto"/>
      <w:szCs w:val="24"/>
    </w:rPr>
  </w:style>
  <w:style w:type="paragraph" w:styleId="ListParagraph">
    <w:name w:val="List Paragraph"/>
    <w:basedOn w:val="Normal"/>
    <w:uiPriority w:val="34"/>
    <w:qFormat/>
    <w:rsid w:val="00E04A11"/>
    <w:pPr>
      <w:ind w:left="720"/>
      <w:contextualSpacing/>
    </w:pPr>
  </w:style>
  <w:style w:type="paragraph" w:customStyle="1" w:styleId="Equation">
    <w:name w:val="Equation"/>
    <w:basedOn w:val="ListParagraph"/>
    <w:qFormat/>
    <w:rsid w:val="00DC58FD"/>
    <w:pPr>
      <w:tabs>
        <w:tab w:val="left" w:pos="0"/>
        <w:tab w:val="left" w:pos="1440"/>
        <w:tab w:val="right" w:pos="9270"/>
      </w:tabs>
      <w:spacing w:after="0" w:line="480" w:lineRule="auto"/>
      <w:ind w:left="0" w:right="0" w:firstLine="0"/>
    </w:pPr>
    <w:rPr>
      <w:rFonts w:ascii="Times New Roman" w:eastAsiaTheme="minorEastAsia" w:hAnsi="Times New Roman" w:cs="Times New Roman"/>
      <w:color w:val="auto"/>
      <w:szCs w:val="24"/>
    </w:rPr>
  </w:style>
  <w:style w:type="character" w:styleId="PlaceholderText">
    <w:name w:val="Placeholder Text"/>
    <w:basedOn w:val="DefaultParagraphFont"/>
    <w:uiPriority w:val="99"/>
    <w:semiHidden/>
    <w:rsid w:val="00F74192"/>
    <w:rPr>
      <w:color w:val="808080"/>
    </w:rPr>
  </w:style>
  <w:style w:type="paragraph" w:customStyle="1" w:styleId="EndNoteBibliographyTitle">
    <w:name w:val="EndNote Bibliography Title"/>
    <w:basedOn w:val="Normal"/>
    <w:link w:val="EndNoteBibliographyTitleChar"/>
    <w:rsid w:val="00DD5FFA"/>
    <w:pPr>
      <w:spacing w:after="0"/>
      <w:jc w:val="center"/>
    </w:pPr>
    <w:rPr>
      <w:noProof/>
    </w:rPr>
  </w:style>
  <w:style w:type="character" w:customStyle="1" w:styleId="EndNoteBibliographyTitleChar">
    <w:name w:val="EndNote Bibliography Title Char"/>
    <w:basedOn w:val="DefaultParagraphFont"/>
    <w:link w:val="EndNoteBibliographyTitle"/>
    <w:rsid w:val="00DD5FFA"/>
    <w:rPr>
      <w:rFonts w:ascii="Calibri" w:eastAsia="Calibri" w:hAnsi="Calibri" w:cs="Calibri"/>
      <w:noProof/>
      <w:color w:val="000000"/>
      <w:sz w:val="24"/>
    </w:rPr>
  </w:style>
  <w:style w:type="paragraph" w:customStyle="1" w:styleId="EndNoteBibliography">
    <w:name w:val="EndNote Bibliography"/>
    <w:basedOn w:val="Normal"/>
    <w:link w:val="EndNoteBibliographyChar"/>
    <w:rsid w:val="00DD5FFA"/>
    <w:pPr>
      <w:spacing w:line="240" w:lineRule="auto"/>
    </w:pPr>
    <w:rPr>
      <w:noProof/>
    </w:rPr>
  </w:style>
  <w:style w:type="character" w:customStyle="1" w:styleId="EndNoteBibliographyChar">
    <w:name w:val="EndNote Bibliography Char"/>
    <w:basedOn w:val="DefaultParagraphFont"/>
    <w:link w:val="EndNoteBibliography"/>
    <w:rsid w:val="00DD5FFA"/>
    <w:rPr>
      <w:rFonts w:ascii="Calibri" w:eastAsia="Calibri" w:hAnsi="Calibri" w:cs="Calibri"/>
      <w:noProof/>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Sanov</dc:creator>
  <cp:keywords/>
  <cp:lastModifiedBy>Andrei Sanov</cp:lastModifiedBy>
  <cp:revision>4</cp:revision>
  <dcterms:created xsi:type="dcterms:W3CDTF">2022-04-06T21:56:00Z</dcterms:created>
  <dcterms:modified xsi:type="dcterms:W3CDTF">2022-04-06T22:23:00Z</dcterms:modified>
</cp:coreProperties>
</file>